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864"/>
          <w:sz w:val="36"/>
          <w:szCs w:val="36"/>
        </w:rPr>
        <w:t xml:space="preserve">Annotated Bibliography and Reference Document</w:t>
      </w:r>
    </w:p>
    <w:p>
      <w:pPr>
        <w:spacing w:after="120"/>
        <w:jc w:val="center"/>
      </w:pPr>
      <w:r>
        <w:rPr>
          <w:rFonts w:ascii="Times New Roman" w:cs="Times New Roman" w:eastAsia="Times New Roman" w:hAnsi="Times New Roman"/>
          <w:color w:val="2E5090"/>
          <w:sz w:val="26"/>
          <w:szCs w:val="26"/>
        </w:rPr>
        <w:t xml:space="preserve">Critical Desktop Analysis of the Draft Inclusion Policy for Special Educational Needs</w:t>
      </w:r>
    </w:p>
    <w:p>
      <w:pPr>
        <w:spacing w:after="120"/>
        <w:jc w:val="center"/>
      </w:pPr>
      <w:r>
        <w:rPr>
          <w:rFonts w:ascii="Times New Roman" w:cs="Times New Roman" w:eastAsia="Times New Roman" w:hAnsi="Times New Roman"/>
          <w:color w:val="2E5090"/>
          <w:sz w:val="24"/>
          <w:szCs w:val="24"/>
        </w:rPr>
        <w:t xml:space="preserve">(Ministry of Education Guyana, 2010)</w:t>
      </w:r>
    </w:p>
    <w:p>
      <w:pPr>
        <w:pBdr>
          <w:bottom w:val="single" w:color="1F3864" w:sz="6" w:space="1"/>
        </w:pBdr>
        <w:spacing w:after="360"/>
        <w:jc w:val="center"/>
      </w:pPr>
    </w:p>
    <w:p>
      <w:pPr>
        <w:pStyle w:val="Heading1"/>
      </w:pPr>
      <w:r>
        <w:t xml:space="preserve">Introduction</w:t>
      </w:r>
    </w:p>
    <w:p>
      <w:pPr>
        <w:spacing w:after="120" w:before="120"/>
      </w:pPr>
      <w:r>
        <w:rPr>
          <w:rFonts w:ascii="Times New Roman" w:cs="Times New Roman" w:eastAsia="Times New Roman" w:hAnsi="Times New Roman"/>
          <w:sz w:val="22"/>
          <w:szCs w:val="22"/>
        </w:rPr>
        <w:t xml:space="preserve">This annotated bibliography provides a detailed summary of each source in the reference list for the study entitled </w:t>
      </w:r>
      <w:r>
        <w:rPr>
          <w:rFonts w:ascii="Times New Roman" w:cs="Times New Roman" w:eastAsia="Times New Roman" w:hAnsi="Times New Roman"/>
          <w:i/>
          <w:iCs/>
          <w:sz w:val="22"/>
          <w:szCs w:val="22"/>
        </w:rPr>
        <w:t xml:space="preserve">A Critical Desktop Analysis of the Draft Inclusion Policy for Special Educational Needs (Ministry of Education Guyana, 2010)</w:t>
      </w:r>
      <w:r>
        <w:rPr>
          <w:rFonts w:ascii="Times New Roman" w:cs="Times New Roman" w:eastAsia="Times New Roman" w:hAnsi="Times New Roman"/>
          <w:sz w:val="22"/>
          <w:szCs w:val="22"/>
        </w:rPr>
        <w:t xml:space="preserve">. Each entry includes the full reference, the type of source, an overview of its content, a summary of its key themes, and an explanation of its relevance to the study’s aims, objectives, research questions, and hypotheses.</w:t>
      </w:r>
    </w:p>
    <w:p>
      <w:pPr>
        <w:spacing w:after="120" w:before="120"/>
      </w:pPr>
      <w:r>
        <w:rPr>
          <w:rFonts w:ascii="Times New Roman" w:cs="Times New Roman" w:eastAsia="Times New Roman" w:hAnsi="Times New Roman"/>
          <w:sz w:val="22"/>
          <w:szCs w:val="22"/>
        </w:rPr>
        <w:t xml:space="preserve">The entries are presented in alphabetical order by lead author surname, consistent with Harvard referencing conventions. The annotations are designed to provide essential information about each source without fabrication, editorialisation, or misrepresentation of the original texts.</w:t>
      </w:r>
    </w:p>
    <w:p>
      <w:pPr>
        <w:spacing w:after="120" w:before="120"/>
      </w:pPr>
      <w:r>
        <w:rPr>
          <w:rFonts w:ascii="Times New Roman" w:cs="Times New Roman" w:eastAsia="Times New Roman" w:hAnsi="Times New Roman"/>
          <w:sz w:val="22"/>
          <w:szCs w:val="22"/>
        </w:rPr>
        <w:t xml:space="preserve">The study is guided by five objectives and four research questions, as set out in the research proposal. The overarching aim is to evaluate the effectiveness of the Draft Inclusion Policy as a framework for inclusive education and to identify the structural conditions that mediate the gap between policy intention and implementation practice in Guyana.</w:t>
      </w:r>
    </w:p>
    <w:p>
      <w:pPr>
        <w:spacing w:after="120" w:before="120"/>
      </w:pPr>
      <w:r>
        <w:rPr>
          <w:rFonts w:ascii="Times New Roman" w:cs="Times New Roman" w:eastAsia="Times New Roman" w:hAnsi="Times New Roman"/>
          <w:b/>
          <w:bCs/>
          <w:sz w:val="22"/>
          <w:szCs w:val="22"/>
        </w:rPr>
        <w:t xml:space="preserve">Note on this updated version: </w:t>
      </w:r>
      <w:r>
        <w:rPr>
          <w:rFonts w:ascii="Times New Roman" w:cs="Times New Roman" w:eastAsia="Times New Roman" w:hAnsi="Times New Roman"/>
          <w:sz w:val="22"/>
          <w:szCs w:val="22"/>
        </w:rPr>
        <w:t xml:space="preserve">This version incorporates verified enhancements to several entries, drawing on confirmed details from primary sources including the CRPD General Comment No. 4 (2016), the UNESCO Salamanca Statement original document, GCOPD official documentation, Guyana government reporting (DPI Guyana, Guyana Chronicle, News Room Guyana), and UNICEF Guyana &amp; Suriname. An appendix of verified contextual facts and thematic synthesis points has been appended for use in future sessions.</w:t>
      </w:r>
    </w:p>
    <w:p>
      <w:pPr>
        <w:pBdr>
          <w:bottom w:val="single" w:color="CCCCCC" w:sz="2" w:space="1"/>
        </w:pBdr>
        <w:spacing w:after="120"/>
      </w:pPr>
    </w:p>
    <w:p>
      <w:pPr>
        <w:pStyle w:val="Heading1"/>
      </w:pPr>
      <w:r>
        <w:t xml:space="preserve">Annotated Entries</w:t>
      </w:r>
    </w:p>
    <w:p>
      <w:pPr>
        <w:spacing w:after="120" w:before="360"/>
        <w:ind w:left="720" w:hanging="720"/>
      </w:pPr>
      <w:r>
        <w:rPr>
          <w:rFonts w:ascii="Times New Roman" w:cs="Times New Roman" w:eastAsia="Times New Roman" w:hAnsi="Times New Roman"/>
          <w:b/>
          <w:bCs/>
          <w:sz w:val="22"/>
          <w:szCs w:val="22"/>
        </w:rPr>
        <w:t xml:space="preserve">Ainscow, M. (2020) Promoting inclusion and equity in education: Lessons from international experiences. London: Routledge.</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book synthesises Ainscow’s extensive body of work on inclusive education, drawing on case studies and research from education systems across the globe. It examines how schools, districts, and national systems can move toward greater inclusion and equity, with particular attention to the leadership, collaboration, and organisational conditions that support or hinder inclusive reform.</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Ainscow argues that inclusion is best understood not as a fixed state but as a continuous process of increasing participation and reducing exclusion. He emphasises the importance of collaborative inquiry among teachers, the role of evidence in driving school improvement, and the need for system-level strategies that address structural barriers. He advocates for a continuous process of identifying and removing barriers to presence, participation, and achievement, utilising contextually relevant evidence, fostering a language of practice, and encouraging a culture of local experimentation. This collaborative, systemic approach ensures that inclusion is woven into the fabric of the school system rather than bolted onto an unchanged, exclusionary core.</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directly relevant to the study’s evaluation of Guyana’s Draft Inclusion Policy against international inclusive education principles (Objective 1). Ainscow’s framework for understanding inclusion as a process provides a conceptual lens through which to assess whether Guyana’s policy architecture supports ongoing development rather than treating inclusion as a one-time reform. His emphasis on collaborative professional cultures and system-level conditions also speaks to Objective 3 (structural factors contributing to the policy-practice gap).</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Ainscow, M. and Miles, S. (2008) ‘Making education for all inclusive: Where next?’, Prospects, 38(1), pp. 15–34.</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critically examines the relationship between the Education for All (EFA) movement and inclusive education, exploring tensions between the two agendas. The authors argue that EFA, while focused on expanding access, has not consistently addressed the quality or inclusiveness of the education provided, particularly for children with disabilities and other marginalised groups.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article identifies four key elements of inclusion: inclusion as a process, inclusion as concerned with the identification and removal of barriers, inclusion as the presence, participation, and achievement of all students, and inclusion as placing particular emphasis on groups at risk of marginalisation. These four elements have become widely cited in the inclusive education literature as a definitional framework.</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The four-element framework of inclusion proposed in this article provides an analytical tool for evaluating the Draft Inclusion Policy’s conceptual foundations (Objective 1 and Research Question 1). It is also relevant to Objective 4, as it allows a critical examination of whether the policy’s SEN definition adequately addresses the participation and achievement dimensions of inclusion, or whether it remains primarily concerned with access.</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Avramidis, E. and Norwich, B. (2002) ‘Teachers’ attitudes towards integration/inclusion: A review of the literature’, European Journal of Special Needs Education, 17(2), pp. 129–147.</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 (literature review)</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presents a systematic review of international research on teachers’ attitudes toward the integration and inclusion of students with special educational needs in mainstream settings. The review covers studies from multiple countries and examines the variables that influence teacher attitudes, including the nature and severity of students’ disabilities, the availability of support, and teachers’ professional training and experience.</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authors find that teachers generally hold positive attitudes toward the overall philosophy of inclusion but express reservations about its practical implementation, particularly when adequate resources, training, and support are lacking. Critically, the review reveals that while educators generally hold positive philosophical views on inclusion, they demonstrate significant practical resistance to total inclusion or a ‘zero reject’ approach. Attitudes are strongly influenced by child-related variables—specifically the nature, complexity, and severity of the disabling condition—and environmental variables, such as the availability of physical infrastructure and human support resources. Teacher-related demographic variables, such as age and gender, play a significantly lesser role. The literature thus suggests that teacher resistance is frequently a rational, pragmatic response to inadequate institutional resourcing and support, rather than ideological opposition to diversity.</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informs the study’s analysis of capacity-related factors contributing to the policy-practice gap (Objective 3). Teacher attitudes represent a critical mediating variable between policy intention and classroom practice. It is also relevant to Subsidiary Hypothesis 3, concerning the insufficiency of sustained teacher professional development in Guyana.</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Ball, S.J., Maguire, M. and Braun, A. (2012) How schools do policy: Policy enactments in secondary schools. London: Routledge.</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 (empirical research)</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Based on qualitative research in four English secondary schools, this book develops the concept of ‘policy enactment’ as an alternative to traditional models of policy implementation. The authors argue that policies are not simply ‘implemented’ in a linear, top-down fashion but are actively interpreted, translated, and enacted by school actors within specific institutional contexts.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book distinguishes between policy as text and policy as discourse. It identifies multiple types of policy actors (narrators, entrepreneurs, enthusiasts, translators, critics) and shows how material conditions, institutional histories, and professional cultures all shape the way policies are enacted in practice. Ball et al. assert that schools are not undifferentiated wholes but highly complex organisations forced to grapple with ‘policy ensembles’—clusters of often contradictory mandates that demand simultaneous prioritisation. Enactment is heavily constrained by time and space; policies compete with the daily realities of classroom survival, testing pressures, and the annual school cycle, rendering policy enactment an unstable, fragile process of ‘becoming’ rather than a definitive event. The concept of positional identity is also central: an educator’s orientation toward a policy is dictated by their positionality and power within the school.</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a key theoretical lens for understanding the gap between the Draft Inclusion Policy’s stated intentions and its practical outcomes in schools across Guyana (Objective 3 and Research Question 3). The concept of policy enactment challenges any assumption that the policy’s lack of full implementation is simply a failure of compliance, and instead directs attention to the contextual factors—material, institutional, and professional—that mediate how policy is translated into practice. It is also relevant to the central hypothesis regarding the structural conditions that produce the policy-practice gap.</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Bowen, G.A. (2009) ‘Document analysis as a qualitative research method’, Qualitative Research Journal, 9(2), pp. 27–40.</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 (methodological)</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provides a comprehensive methodological guide to document analysis as a qualitative research method. Bowen outlines the rationale for using documents as data sources, describes the analytic procedures involved (including skimming, reading, and interpretation), and discusses the advantages and limitations of the approach.</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Bowen identifies several advantages of document analysis, including its efficiency, availability, cost-effectiveness, stability, exactness, and broad coverage. He also acknowledges limitations such as insufficient detail, low retrievability, and potential biased selectivity. Bowen delineates five specific functions of documentary material in qualitative research, including providing historical background and context, bearing witness to the origins of specific legislative issues and indicating the socio-economic conditions that impinge upon current phenomena. Document analysis also serves as a primary mechanism for tracking institutional change over time, and offers a highly effective avenue for methodological triangulation, corroborating findings derived from broader academic literature.</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the methodological justification for the desktop analysis approach adopted in this study. As the research is designed as a critical desktop analysis of the Draft Inclusion Policy and related documents, Bowen’s framework directly supports the study’s research design and methodological choices (Chapter 3). It legitimises the use of policy documents, strategic plans, and related texts as primary data sources for qualitative inquiry.</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Creswell, J.W. (2014) Research design: Qualitative, quantitative, and mixed methods approaches. 4th edn. Thousand Oaks: Sage Publications.</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 (research methodology textbook)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widely used methodology textbook provides a comprehensive guide to the design and conduct of qualitative, quantitative, and mixed methods research. The fourth edition covers the philosophical assumptions underlying each approach, the key steps in the research process, and the criteria for evaluating research quality across paradigms.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Creswell presents qualitative research as an interpretive approach that seeks to understand meaning in context. He emphasises the necessity of aligning the theoretical lens with the specific qualitative strategy employed, noting that in qualitative policy evaluation, the researcher functions as the primary instrument of data collection. Creswell’s framework highlights that qualitative document analysis moves beyond the mere quantification of text to a deeper exploration of meaning, making it particularly suited for understanding the nuances of policy enactment within complex sociopolitical environments.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Creswell’s text supports the study’s methodological framework, particularly the qualitative, interpretivist approach adopted for the desktop analysis. His guidance on research design, the formulation of research questions, and the criteria for trustworthiness in qualitative research provides a foundation for the methodological decisions outlined in Chapter 3 of the study.</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Engelbrecht, P. (2020) ‘Inclusive education systems in developing contexts’, International Journal of Inclusive Education, 24(1), pp. 1–16.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examines the challenges of developing inclusive education systems in low- and middle-income countries. Engelbrecht analyses how contextual factors—including limited resources, large class sizes, insufficient teacher training, and the legacy of colonial education systems—shape the prospects for inclusive reform in developing contexts.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Drawing on complexity theory, Engelbrecht focuses on path dependencies that lock developing nations into historical patterns of categorisation and segregated schooling. He argues that historical investments in segregation and systemic drivers of inequality confound the expectation of a linear progression toward inclusivity. Rather than merely identifying contemporary barriers, researchers must understand the complex policy ecology where historical path dependencies coexist with new ‘emergences’—local innovations and shifts in practice driven by system actors. Engelbrecht argues that policy ecologies in the Global South require deeply contextualised, non-linear solutions rather than the mere importation of Western legislative frameworks.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directly relevant to the study’s focus on the structural and contextual factors that mediate inclusive education in Guyana (Objective 3 and Research Question 3). Engelbrecht’s analysis of path dependencies in post-colonial states provides a comparative frame for understanding the Guyanese context, where historical investments in segregation and chronic resource limitations have constrained progress toward inclusion. It also informs the development of context-sensitive recommendations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Florian, L. (ed.) (2014) The SAGE handbook of special education. 2nd edn. London: Sage.</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Edited handbook (multi-author reference work)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comprehensive handbook brings together contributions from leading scholars in special and inclusive education. The second edition covers the historical development of special education, theoretical perspectives on disability and inclusion, policy frameworks, pedagogy, curriculum, assessment, and the preparation of teachers for inclusive practice.</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handbook addresses foundational questions about how special educational needs are defined, identified, and responded to within education systems. It examines the shift from segregation to integration to inclusion, the role of policy in shaping provision, and the pedagogical approaches that support the participation and achievement of students with diverse needs. Florian’s editorial approach emphasises a shift away from the specialised, clinical knowledge historically required to teach students with ‘additional needs’ toward an examination of how everyday craft knowledge can be utilised inclusively.</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As a major reference work in the field, this handbook provides essential background for the study’s literature review and conceptual framework. It is relevant to Objective 1 (alignment with international principles), Objective 4 (examination of the policy’s SEN definition), and the broader theoretical positioning of the study within the inclusive education literature.</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Florian, L. and Black-Hawkins, K. (2011) ‘Exploring inclusive pedagogy’, Cambridge Journal of Education, 41(4), pp. 399–413.</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explores the concept of inclusive pedagogy, defined as an approach to teaching and learning that responds to individual differences among learners without marginalising those who are identified as different. The authors present findings from a research project examining how teachers enact inclusive practices in their classrooms.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Florian and Black-Hawkins articulate a core pedagogical distinction: inclusive pedagogy involves extending what is generally available to everybody, as opposed to providing for all by differentiating for some. This subtle but profound distinction means that rather than creating separate, stigmatising tasks for children identified with SEN—which inherently reinforces the regular/special dichotomy—the teacher designs a rich, universally flexible learning environment where multiple avenues of participation and expression are inherently available to all students. This model rejects deterministic thinking about student ability and aligns directly with the principles of Universal Design for Learning (UDL) championed in international frameworks.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relevant to the study’s analysis of the pedagogical implications of the Draft Inclusion Policy (Objective 4) and to the evaluation of whether the policy provides sufficient guidance on inclusive classroom practice. The concept of inclusive pedagogy also informs the study’s recommendations for strengthening teacher preparation and pedagogical guidance within the policy framework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Forlin, C., Sharma, U. and Loreman, T. (2014) ‘Predictors of improved teaching efficacy following basic training for inclusion in Hong Kong’, International Journal of Inclusive Education, 18(7), pp. 718–730.</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 (empirical study)</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study examines the impact of pre-service teacher training on attitudes toward and self-efficacy for inclusive education in Hong Kong. Using a pre-test/post-test design, the authors measure changes in teacher candidates’ sentiments, attitudes, and concerns about inclusive education following a foundational course on inclusion.</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study finds that even a basic university-level course in inclusive education significantly improves teaching efficacy. Increased knowledge of legislation and policy, coupled with a deliberate reduction in concerns about the practicalities of inclusive teaching, are identified as the major predictors of improved efficacy. Furthermore, meaningful, structured, face-to-face contact with persons with disabilities during training programmes serves to dismantle implicit prejudice, reduce discomfort, and increase empathy, confirming that the pedagogical design of teacher education programmes is a critical institutional mechanism for bridging the policy-practice gap.</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relevant to Objective 3 (capacity-related factors in the policy-practice gap) and Subsidiary Hypothesis 3 (the insufficiency of sustained teacher professional development). The evidence supports the study’s recommendation that the Guyanese education system invest in systematic, ongoing professional development for inclusive practice (Objective 5), including recent developments at the Cyril Potter College of Education (CPCE).</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Fullan, M. (2007) The new meaning of educational change. 4th edn. New York: Teachers College Press.</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influential text examines the process of educational change, analysing why reform efforts succeed or fail and what conditions are necessary for meaningful, sustained improvement in education systems. The fourth edition integrates research and case studies from multiple jurisdictions to develop a comprehensive theory of educational change.</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Fullan argues that successful educational change requires attention to both the technical and the cultural dimensions of reform. He identifies key factors including the clarity and complexity of the change, the quality of local leadership, professional development, community engagement, and the alignment of policy with institutional capacity. He distinguishes between adoption (deciding to proceed) and implementation (putting the change into practice), noting that many reforms fail at the implementation stage. Fullan argues that large-scale systemic reform cannot be dictated solely by structural mandates or top-down strategies; it requires deep pedagogical shifts, the development of intrinsic motivation among educators, and the creation of professional learning communities.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Fullan’s distinction between policy adoption and implementation is directly relevant to the study’s central concern with the gap between the Draft Inclusion Policy’s intentions and its practical outcomes (Research Question 3 and the Central Hypothesis). His framework for analysing the conditions necessary for successful implementation informs the identification of structural factors (Objective 3) and supports the development of recommendations for strengthening the implementation architecture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Guyana Council of Organisations for Persons with Disabilities (n.d.) About the Guyana Council of Organisations for Persons with Disabilities [Online]. Available at: https://gcopd.org.gy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Organisational website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is the official website of the Guyana Council of Organisations for Persons with Disabilities (GCOPD), an umbrella body established in January 2009 and registered under the Friendly Societies Act. The GCOPD represents 24 Organisations for Persons with Disabilities (OPDs) across Regions 2, 3, 4, 5, 6, 7, and 10 of Guyana. The site provides information on the council’s mandate, membership, advocacy activities, and engagement with government on disability-related policy.</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GCOPD operates under core values of inclusion, empowerment, capacity building, and sensitisation. The council partners with governmental bodies—including the Board of Industrial Training and the Ministry of Education—to provide tangible skills training and rigorously advocate for the implementation of the UNCRPD and the Guyana Persons with Disabilities Act (2010). The organisation’s advocacy focus includes promoting equal educational opportunities, accessible infrastructure, small business development for persons with disabilities, and the enforcement of disability-related legislation.</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contextual evidence regarding the institutional landscape for disability advocacy in Guyana. It is relevant to Objective 2 (assessing the degree to which key provisions of the policy have been operationalised) and to Research Question 2 (institutional mechanisms for inclusive education). The GCOPD functions as a vital civil society change agent, seeking to bridge the enactment gap by building local capacity and altering societal attitudes where central policy implementation has faltered.</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Kozleski, E.B., Artiles, A.J., Fletcher, T. and Engelbrecht, P. (2014) ‘Understanding the dialectics of the local and the global in education for all’, Review of Research in Education, 38(1), pp. 1–29.</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examines the tensions between global policy frameworks for inclusive education and the local realities of implementation in diverse national and cultural contexts. The authors analyse how international agendas such as Education for All are interpreted, adapted, and sometimes resisted at the local level, producing varied outcomes across different settings.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article foregrounds the dialectical relationship between global policy norms and local contexts. The authors note that while the universal mandate of EFA suggests monolithic notions of education, the actual practice of inclusion is inextricably shaped by local historical, cultural, and political forces. They observe that importing inclusion paradigms from the Global North often results in unanticipated consequences in local communities. The authors critique the assumption that global frameworks can be uniformly applied and advocate for locally grounded approaches that attend to the structural inequalities embedded in education systems.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directly relevant to Research Question 1 (the extent to which the Draft Inclusion Policy reflects international frameworks) and Objective 1 (alignment with international principles). It provides a critical lens for examining whether the policy’s alignment with international frameworks is conceptual only or whether it extends to operational guidance adapted to the Guyanese context. It also informs Objective 3 by highlighting the structural conditions that mediate the relationship between global policy intentions and local implementation outcomes.</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Miles, S. and Singal, N. (2010) ‘The education for all and inclusive education debate’, International Journal of Inclusive Education, 14(1), pp. 1–15.</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critically examines the relationship between the Education for All (EFA) movement and inclusive education, arguing that the two agendas, while related, are not synonymous.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Miles and Singal identify a historically wasteful polarisation between the overarching EFA agenda and the specific inclusive education debate. They observe that EFA programmes—driven by major international agencies aiming to universalise primary education—historically overlooked children with severe impairments due to a prevalent assumption that overcrowded and under-resourced schools in the Global South could not accommodate them. Consequently, inclusive education developed as a parallel, somewhat marginalised discourse. The authors advocate for a synergistic reconceptualisation where inclusive education and EFA are merged to prevent the continued exclusion of diverse learner populations.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contributes to the study’s analysis of the conceptual foundations of the Draft Inclusion Policy (Objective 1 and Objective 4). The distinction between access and genuine inclusion informs the evaluation of whether the policy moves beyond enrolment to address participation and learning outcomes. It also supports the critical examination of the policy’s broad SEN definition (Objective 4).</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Ministry of Education Guyana (2010) Draft Inclusion Policy for Special Educational Needs. Georgetown: Ministry of Education Guyana.</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Government policy document (draft)</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is the primary document under analysis in the study. The Draft Inclusion Policy for Special Educational Needs sets out the Guyanese government’s framework for inclusive education, articulating principles, objectives, and strategies for the inclusion of students with special educational needs in the mainstream education system. A core operational component of this policy was the proposed establishment of a comprehensive five-year training programme designed to equip general educators with the specialised skills necessary to teach students with diverse needs in mainstream settings. The policy remains in draft form and has not been formally ratified or enacted into law.</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policy espouses inclusive education principles broadly consistent with international frameworks, including the right of all children to access quality education in mainstream settings. It addresses areas such as early identification, teacher training, curriculum adaptation, and stakeholder engagement. However, as a draft instrument, it lacks the legal authority and enforcement mechanisms of formal policy, and it has been critiqued for its broad definition of SEN and the absence of disability-specific implementation guidance. Its persistent draft status represents what Pressman and Wildavsky (1973) would characterise as a protracted implementation deficit. The policy exists alongside enacted legislation—the Persons with Disabilities Act (2010) and the Education Bill (2014)—that provides some legal grounding for inclusive education in Guyana.</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is the central document of the study and is relevant to all five research objectives and all four research questions. The study’s entire analytical framework is built around a critical evaluation of this policy.</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Ministry of Education Guyana (2021) Education Strategic Plan 2021–2025. Georgetown: Ministry of Education Guyana.</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Government strategic planning document</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document outlines the Guyanese Ministry of Education’s strategic priorities and planned initiatives for the period 2021 to 2025, titled ‘Vision 2030’. Developed through extensive stakeholder consultations, including input from organisations advocating for persons with disabilities, the ESP explicitly aligns with Sustainable Development Goal 4 (SDG 4) to ensure inclusive and equitable quality education.</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strategic plan identifies inclusive education as one of its focal areas and outlines commitments to expanding access, improving teacher preparation, and strengthening the institutional infrastructure for inclusion. The plan utilises problem-tree analysis to target the reduction of disparities between sub-groups. Among its strategic structural interventions are differentiated school grants designed to achieve geographical equity, providing significantly higher per-student funding to remote hinterland and riverine schools compared to coastal institutions, thereby acknowledging the spatial dimensions of exclusion. The ESP explicitly acknowledges geographic inconsistencies in provision, necessitating differentiated grants to address the severe disparities between coastal and hinterland regions.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relevant to Objective 2 (assessing operationalisation of the policy) and Research Question 2 (institutional mechanisms for implementation). The strategic plan provides documentary evidence of the government’s stated commitments and allows the study to assess the degree to which the Draft Inclusion Policy’s objectives are reflected in subsequent strategic planning. It also provides comparative material for tracking institutional change between the aspirational rhetoric of the 2010 draft and the operational realities outlined in subsequent documents.</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Ministry of Education Guyana (n.d.) Inclusive education initiatives in Guyana [Online]. Available at: https://education.gov.gy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Government website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is the official website of the Ministry of Education of Guyana, providing information on the ministry’s programmes, policies, and initiatives, including those related to inclusive education.</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website provides public-facing information on the government’s inclusive education initiatives, including recent developments such as the launch of the SEND programme at the Cyril Potter College of Education (CPCE) in January 2025, the establishment of 30 dedicated SEND spaces across multiple regions (all regions except Region 8), the construction of accessible nursery schools with wheelchair ramps, and regional awareness fairs. These developments represent an operational shift toward equipping mainstream environments for diversity.</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supplementary evidence for the study’s assessment of the institutional mechanisms and practical initiatives that have been established for inclusive education in Guyana (Objective 2 and Research Question 2). It offers a window into the government’s current public commitments and reported activities in relation to inclusive education.</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Mitchell, D. (2015) ‘Inclusive education is a multi-faceted concept’, Prospects, 44(3), pp. 299–306.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examines inclusive education as a multi-dimensional concept, arguing that it encompasses not only placement in mainstream settings but also access to appropriate curricula, pedagogy, assessment, and support.</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Mitchell identifies nine specific interconnected facets of inclusive education: vision, curriculum, assessment, teaching, acceptance, access, support, resources, and leadership. He argues that addressing only one or two of these facets—such as physical placement—without attending to the others results in incomplete or superficial inclusion. This expanded definition aligns with the arguments advanced by Opertti, Walker, and Zhang (2014), who argue that inclusive education must transition from targeting specific marginalised groups to serving as the core mechanism for achieving overall educational quality and systemic transformation.</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Mitchell’s multi-faceted model of inclusion is relevant to Objective 1 (alignment with international principles) and Objective 4 (conceptual and operational limitations of the policy). The model provides a framework for evaluating whether the Draft Inclusion Policy addresses the full range of dimensions required for meaningful inclusion, or whether it focuses narrowly on access and placement without adequate attention to curriculum, pedagogy, support, and outcomes.</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Oliver, M. (1990) The politics of disablement. London: Macmillan.</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 (theoretical)</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foundational text in disability studies articulates the social model of disability, arguing that disability is produced not by individual impairments but by the social, economic, and political structures that exclude people with impairments from full participation in society.</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Oliver’s central argument is that disability is a form of social oppression, not a personal tragedy or medical condition. He positioned disability not as an individual physiological deficit but as a condition imposed by an exclusionary, capitalist society. The social model distinguishes between impairment (a physical or mental characteristic) and disability (the social disadvantage imposed on people with impairments by exclusionary structures). Oliver’s political framing was revolutionary; he argued that the limitations imposed by societal barriers—ranging from inaccessible buildings to inflexible curricula and discriminatory attitudes—are the true source of disablement, and that addressing these requires political mobilisation and rights-based advocacy. This systemic critique laid the groundwork for inclusive education by transferring the burden of adaptation from the student to the institution.</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The social model of disability provides a critical theoretical foundation for the study. It informs the evaluation of whether the Draft Inclusion Policy adopts a rights-based, social model perspective on disability and SEN, or whether it retains elements of the medical/individual deficit model (Objective 4). It is also relevant to the Guyanese context, where research indicates that communities frequently view children with special needs through a medicalised, deficit lens (Research Question 1).</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Opertti, R., Walker, Z. and Zhang, Y. (2014) ‘Inclusive education: From policy to practice’, Prospects, 44(1), pp. 149–169.</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examines the challenges of translating inclusive education policy into practice, drawing on international evidence and the experiences of multiple countries.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article identifies several key conditions for successful policy-to-practice translation, including political commitment, legal frameworks, adequate funding, teacher preparation, curriculum flexibility, and monitoring systems. The authors argue that inclusive education must transition from targeting specific marginalised groups to serving as the core mechanism for achieving overall educational quality and systemic transformation. By viewing inclusion as a transformative process for the entire educational system, Opertti et al. highlight the necessity of providing social and political conditions that allow every person to exercise their right to learn, emphasising that inclusion is the very foundation of quality education.</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directly relevant to the study’s central concern with the policy-practice gap (Research Question 3 and the Central Hypothesis). Its identification of the conditions necessary for effective implementation provides a framework for analysing why the Draft Inclusion Policy has not been fully operationalised (Objective 2 and Objective 3). It also informs the study’s recommendations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Peters, S.J. (2007) ‘Education for all? A historical analysis of international inclusive education policy’, Journal of Disability Policy Studies, 18(2), pp. 98–108.</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provides a historical analysis of international policy developments in inclusive education, tracing the evolution of the inclusive education agenda from early integration movements through to the adoption of major international frameworks.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Peters utilises a Foucaultian policy-as-discourse analysis to trace the fragmented, reinterpreted, and reworked policies surrounding disability rights within the EFA movement across 12 major international documents over four decades. He identifies how international EFA policies have historically featured conflicted discourses, resulting in fragmented implementation for disabled youth. Peters discusses the relationship between disability rights movements and the inclusive education agenda and advocates for a reconceptualisation that merges inclusive education with broader EFA goals.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is relevant to Objective 1 (alignment with international principles) and Research Question 1 (reflection of international frameworks). Peters’ historical analysis provides context for understanding the international policy environment within which Guyana’s Draft Inclusion Policy was developed.</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Pressman, J.L. and Wildavsky, A. (1973) Implementation: How great expectations in Washington are dashed in Oakland. Berkeley: University of California Press.</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 (foundational policy studies text)</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seminal work in public policy studies examines the implementation of a federal economic development programme in Oakland, California, documenting how a programme with broad political support and clear objectives nonetheless failed to achieve its intended outcomes.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Pressman and Wildavsky defined policy as a hypothesis containing initial conditions and predicted consequences, observing that implementation is the fraught process of converting that hypothesis into government action. They demonstrated that implementation involves a chain of decisions and actions by multiple actors at multiple levels, and posited that the complexity of joint action—where multiple agencies, working to different timelines and without centralised control, must align—creates nearly insurmountable barriers to success. They hypothesised that implementation relies on numerous ‘decision points’ requiring ‘clearance’ by various independent actors, with the probability of success dropping exponentially with each required clearance point. The book is widely credited with establishing implementation as a distinct field of policy analysis and introduced the concept of ‘implementation deficit’.</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a foundational theoretical framework for the study’s analysis of the policy-practice gap (Research Question 3 and the Central Hypothesis). Pressman and Wildavsky’s concept of implementation deficit is directly applicable to the Guyanese context, where the Draft Inclusion Policy’s persistent draft status represents a protracted implementation deficit. The policy’s aspirations have been mediated by a complex chain of institutional actors, resource constraints, and administrative decisions.</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Shakespeare, T. (2006) Disability rights and wrongs. London: Routledge.</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 (theoretical)</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book offers a critical reappraisal of the social model of disability, arguing that while the social model has been politically valuable, it has significant theoretical limitations.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Shakespeare argues from a critical realist perspective that while societal barriers are paramount, the material realities and subjective experiences of physical and cognitive impairment cannot be entirely ignored or theorised away. He posits that the rigid polarisation between the medical and social models has reached a theoretical dead end, and advocates for a nuanced, pluralist approach that acknowledges the complex interplay of biological, psychological, and social factors in the lives of disabled individuals. Shakespeare draws on the World Health Organization’s ICF as a more balanced framework and argues that identity politics must make room for the lived realities of impairment.</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contributes to the study’s theoretical framework by providing a critical perspective on the social model of disability. It is relevant to Objective 4 (examining the conceptual foundations of the policy’s approach to SEN and disability) and to the analysis of whether the policy’s understanding of disability is consistent with contemporary theoretical developments. Shakespeare’s engagement with the ICF connects to the WHO (2001) source.</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Sharma, U., Forlin, C. and Loreman, T. (2008) ‘Impact of training on pre-service teachers’ attitudes and concerns about inclusive education’, International Journal of Special Education, 23(2), pp. 16–23.</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 (empirical study)</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study examines the impact of a pre-service teacher education course on attitudes and concerns about inclusive education among teacher candidates in Australia, Canada, Hong Kong, and Singapore.</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study finds that a dedicated course on inclusive education can significantly reduce pre-service teachers’ concerns and improve their attitudes toward inclusion. The authors highlight that policy mandates do not automatically translate into practice; actual change requires training that deliberately addresses educators’ personal comfort levels and specific professional anxieties regarding behavioural management and curriculum adaptation. The cross-national design also highlights the influence of cultural and contextual factors on teacher attitudes.</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reinforces the evidence base for the importance of teacher preparation in inclusive education (Objective 3 and Subsidiary Hypothesis 3). It provides cross-national evidence that training can positively influence teacher readiness for inclusion, supporting the recommendation that Guyana invest in structured, sustained professional development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Slee, R. (2011) The irregular school: Exclusion, schooling and inclusive education. London: Routledge.</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Authored book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book offers a critical examination of the relationship between mainstream schooling and the exclusion of students who do not conform to institutional norms.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Slee argues that the continued reliance on the dichotomy between the ‘regular school’ and the ‘special school’ fundamentally obstructs progress. He contends that contemporary schooling is increasingly preoccupied with competitive individualism and standardisation, thereby reducing students to mere bearers of academic results, making educational exclusion an inevitable, structurally engineered by-product. True inclusion, Slee argues, requires a radical, irregular reconceptualisation of schooling that views democratic education as an unconditional prerequisite, entirely stepping away from the protective yet inherently segregating impulses of specialised institutions. He also critiques the co-option of inclusive language by systems that continue to practise exclusion.</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Slee’s critical analysis of how inclusion can be co-opted by systems that do not fundamentally change their practices is relevant to Objective 4 (conceptual and operational limitations of the policy) and to the assessment of whether Guyana’s policy framework promotes genuine transformation or superficial compliance. His emphasis on systemic change informs Objective 5 and supports the analysis of structural factors sustaining exclusion (Objective 3).</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UNESCO (1994) The Salamanca Statement and Framework for Action on Special Needs Education [Online]. Paris: UNESCO. Available at: https://unesdoc.unesco.org/ark:/48223/pf0000098427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International policy framework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The Salamanca Statement was adopted at the World Conference on Special Needs Education in Salamanca, Spain, in June 1994. Representing an unprecedented consensus of more than 300 participants from 92 governments and 25 international organisations, the Salamanca Statement is widely regarded as a landmark document in the development of inclusive education. It affirms the principle that ordinary schools should accommodate all children regardless of their physical, intellectual, social, emotional, linguistic, or other conditions. The accompanying Framework for Action provides guidance on policy, school, and community-level action.</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Salamanca Statement fundamentally challenged the prevailing medicalised model of special education by asserting that human differences are normal and that educational systems must be adapted to the child, rather than expecting the child to conform to pre-ordained systemic rigidities. It declares that every child has a fundamental right to education and must be given the opportunity to achieve and maintain an acceptable level of learning. It further asserts that regular schools with an inclusive orientation are the most effective instruments for combating discriminatory attitudes, creating welcoming communities, and building cohesive societies, while simultaneously proving to be more cost-effective than parallel, segregated systems. This established the baseline international expectation that specialised placement should function only as a rare exception, positioning inclusion not merely as an educational strategy but as an urgent social and democratic tool.</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The Salamanca Statement is one of the two primary international frameworks against which the Draft Inclusion Policy is evaluated (Objective 1 and Research Question 1). It provides the foundational principles of inclusive education that the study uses as benchmarks for assessing the policy’s conceptual alignment. It is also relevant to Subsidiary Hypothesis 1.</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UNICEF (2018) Inclusive education for children with disabilities [Online]. New York: UNICEF. Available at: https://www.unicef.org/reports/inclusive-education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International organisation report</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UNICEF report examines the state of inclusive education for children with disabilities globally, presenting data on access, participation, and learning outcomes.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report documents the significant gaps in educational access and outcomes that persist for children with disabilities worldwide. UNICEF emphasises that inclusion transcends mere access to classrooms; it necessitates inclusive pedagogical approaches, barrier-free infrastructure, and the aggressive mitigation of intersectional discrimination, particularly where disability intersects with gender, poverty, child labour, or ethnicity. Key barriers identified include inadequate legislation, stigma and discrimination, lack of trained teachers, inaccessible infrastructure, and the absence of assistive technologies and reasonable accommodations. The report advocates for rights-based approaches, adequate funding, teacher preparation, accessible learning materials, and the collection of disability-disaggregated data.</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international evidence on the barriers to inclusive education that is directly relevant to the Guyanese context (Objective 3 and Research Question 3). The barriers identified by UNICEF—including insufficient training, inadequate resourcing, and lack of data—parallel many of the structural constraints identified in the Guyanese system. The report also informs the study’s recommendations (Objective 5).</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United Nations (2006) Convention on the Rights of Persons with Disabilities [Online]. New York: United Nations. Available at: https://www.un.org/disabilities/documents/convention/convoptprot-e.pdf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International legal instrument (treaty)</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The Convention on the Rights of Persons with Disabilities (CRPD) is an international human rights treaty adopted by the United Nations General Assembly in December 2006. It formally transitioned the global conceptualisation of persons with disabilities from objects of charity and welfare to active subjects and inherent rights holders. Guyana ratified the CRPD on 10 September 2014. Article 24 specifically addresses education, requiring states parties to ensure an inclusive education system at all levels.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Article 24 establishes that persons with disabilities have the right to education without discrimination and on the basis of equal opportunity. The United Nations Committee on the Rights of Persons with Disabilities, through General Comment No. 4 (2016), further clarified the normative content of Article 24 by explicitly distinguishing true inclusion from mere integration or segregation. Integration, which involves placing students in mainstream institutions with the expectation that they adjust to standardised requirements, is explicitly rejected in favour of inclusion, which demands systemic reform. General Comment No. 4 mandates a ‘Whole Systems Approach’ and establishes that the education system must comprise four interrelated features, often referred to as the 4As framework: Availability (sufficient, well-resourced, functioning educational institutions), Accessibility (physically, economically, and socially accessible without discrimination, utilising Universal Design), Acceptability (education that respects the requirements, cultures, and languages of persons with disabilities), and Adaptability (flexible instruction and curricula employing Universal Design for Learning). States parties are required to ensure reasonable accommodation, individualised support, and effective measures to facilitate social development and academic achievement.</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The CRPD is the second of the two primary international frameworks against which the Draft Inclusion Policy is evaluated (Objective 1 and Research Question 1). Its provisions on inclusive education, reasonable accommodation, and individualised support provide specific operational benchmarks. The 4As framework—Availability, Accessibility, Acceptability, Adaptability—provides a structured evaluative tool for assessing whether the policy meets the operational requirements demanded by international law. It is also directly relevant to Subsidiary Hypothesis 1, which examines whether the policy incorporates the operational requirements of international frameworks, particularly in relation to individual education planning and monitoring.</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Walton, E. (2018) ‘Decolonising (through) inclusive education?’, Educational Research for Social Change, 7(1), pp. 31–45.</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Peer-reviewed journal article</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This article interrogates the relationship between inclusive education and decolonisation, asking whether inclusive education frameworks as typically articulated in international policy reflect Western epistemological assumptions that may not be fully appropriate for post-colonial contexts.</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Walton questions whether inclusive education, as currently conceptualised, functions as a neocolonial project imposed upon the Global South by resource-rich Euro-American entities. She explores the potential for decolonising inclusive education through Afrocentric models, highlighting how traditional African philosophies, such as Ubuntu, naturally resonate with communal support, interdependency, and inclusion. However, she critically evaluates this stance, cautioning against ‘settler innocence’ and acknowledging that while indigenous pedagogies offer valuable resistance to the coloniality of knowledge and power, systemic educational inequalities often perpetuate colonial hierarchies. She raises the important argument that expecting developing nations to fund a resource-intensive model of inclusion developed in the Global North without acknowledging historical inequalities is conceptually flawed.</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This source provides a critical perspective relevant to the evaluation of the Draft Inclusion Policy’s alignment with international frameworks (Objective 1 and Research Question 1). Walton’s analysis raises the question of whether alignment with international frameworks is itself sufficient, or whether the policy should also reflect locally grounded understandings of inclusion. It is relevant to Objective 5 and to the broader decolonial considerations raised by Guyana’s post-colonial context.</w:t>
      </w:r>
    </w:p>
    <w:p>
      <w:pPr>
        <w:pBdr>
          <w:bottom w:val="single" w:color="CCCCCC" w:sz="1" w:space="1"/>
        </w:pBdr>
        <w:spacing w:after="0" w:before="200"/>
      </w:pPr>
    </w:p>
    <w:p>
      <w:pPr>
        <w:spacing w:after="120" w:before="360"/>
        <w:ind w:left="720" w:hanging="720"/>
      </w:pPr>
      <w:r>
        <w:rPr>
          <w:rFonts w:ascii="Times New Roman" w:cs="Times New Roman" w:eastAsia="Times New Roman" w:hAnsi="Times New Roman"/>
          <w:b/>
          <w:bCs/>
          <w:sz w:val="22"/>
          <w:szCs w:val="22"/>
        </w:rPr>
        <w:t xml:space="preserve">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pPr>
        <w:spacing w:after="60" w:before="60"/>
        <w:ind w:left="720"/>
      </w:pPr>
      <w:r>
        <w:rPr>
          <w:rFonts w:ascii="Times New Roman" w:cs="Times New Roman" w:eastAsia="Times New Roman" w:hAnsi="Times New Roman"/>
          <w:b/>
          <w:bCs/>
          <w:sz w:val="22"/>
          <w:szCs w:val="22"/>
        </w:rPr>
        <w:t xml:space="preserve">Source Type: </w:t>
      </w:r>
      <w:r>
        <w:rPr>
          <w:rFonts w:ascii="Times New Roman" w:cs="Times New Roman" w:eastAsia="Times New Roman" w:hAnsi="Times New Roman"/>
          <w:sz w:val="22"/>
          <w:szCs w:val="22"/>
        </w:rPr>
        <w:t xml:space="preserve">International classification framework</w:t>
      </w:r>
    </w:p>
    <w:p>
      <w:pPr>
        <w:spacing w:after="60" w:before="60"/>
        <w:ind w:left="720"/>
      </w:pPr>
      <w:r>
        <w:rPr>
          <w:rFonts w:ascii="Times New Roman" w:cs="Times New Roman" w:eastAsia="Times New Roman" w:hAnsi="Times New Roman"/>
          <w:b/>
          <w:bCs/>
          <w:sz w:val="22"/>
          <w:szCs w:val="22"/>
        </w:rPr>
        <w:t xml:space="preserve">Overview: </w:t>
      </w:r>
      <w:r>
        <w:rPr>
          <w:rFonts w:ascii="Times New Roman" w:cs="Times New Roman" w:eastAsia="Times New Roman" w:hAnsi="Times New Roman"/>
          <w:sz w:val="22"/>
          <w:szCs w:val="22"/>
        </w:rPr>
        <w:t xml:space="preserve">The International Classification of Functioning, Disability and Health (ICF) is a framework developed by the World Health Organization for describing and organising information on functioning and disability, endorsed by the World Health Assembly in 2001.</w:t>
      </w:r>
    </w:p>
    <w:p>
      <w:pPr>
        <w:spacing w:after="60" w:before="60"/>
        <w:ind w:left="720"/>
      </w:pPr>
      <w:r>
        <w:rPr>
          <w:rFonts w:ascii="Times New Roman" w:cs="Times New Roman" w:eastAsia="Times New Roman" w:hAnsi="Times New Roman"/>
          <w:b/>
          <w:bCs/>
          <w:sz w:val="22"/>
          <w:szCs w:val="22"/>
        </w:rPr>
        <w:t xml:space="preserve">Key Themes: </w:t>
      </w:r>
      <w:r>
        <w:rPr>
          <w:rFonts w:ascii="Times New Roman" w:cs="Times New Roman" w:eastAsia="Times New Roman" w:hAnsi="Times New Roman"/>
          <w:sz w:val="22"/>
          <w:szCs w:val="22"/>
        </w:rPr>
        <w:t xml:space="preserve">The ICF introduced a revolutionary biopsychosocial model that conceptualises functioning and disability as the complex, dynamic interaction between a person’s underlying health condition and their contextual environment. It classifies functioning across three dimensions: body functions and structures, activities, and participation. Critically, it identifies environmental factors as either ‘facilitators’ of functioning or ‘barriers’ to participation, alongside personal factors as mediators. By identifying environmental factors in this way, the ICF model aligns with the educational imperative to alter the school environment and societal attitudes rather than fixating solely on remediating the individual’s impairment. The ICF has been influential in shifting international discourse from a deficit-based understanding of disability to a more contextual and interactive model.</w:t>
      </w:r>
    </w:p>
    <w:p>
      <w:pPr>
        <w:spacing w:after="60" w:before="60"/>
        <w:ind w:left="720"/>
      </w:pPr>
      <w:r>
        <w:rPr>
          <w:rFonts w:ascii="Times New Roman" w:cs="Times New Roman" w:eastAsia="Times New Roman" w:hAnsi="Times New Roman"/>
          <w:b/>
          <w:bCs/>
          <w:sz w:val="22"/>
          <w:szCs w:val="22"/>
        </w:rPr>
        <w:t xml:space="preserve">Relevance to the Study: </w:t>
      </w:r>
      <w:r>
        <w:rPr>
          <w:rFonts w:ascii="Times New Roman" w:cs="Times New Roman" w:eastAsia="Times New Roman" w:hAnsi="Times New Roman"/>
          <w:sz w:val="22"/>
          <w:szCs w:val="22"/>
        </w:rPr>
        <w:t xml:space="preserve">The ICF is relevant to the study’s analysis of the conceptual foundations of the Draft Inclusion Policy’s approach to SEN and disability (Objective 4). Its biopsychosocial framework provides a benchmark for evaluating whether the policy’s definition of SEN reflects contemporary understandings of disability as an interaction between the individual and the environment, or whether it relies on older, deficit-based models. It connects to Shakespeare’s (2006) critical realist engagement with the ICF.</w:t>
      </w:r>
    </w:p>
    <w:p>
      <w:pPr>
        <w:pBdr>
          <w:bottom w:val="single" w:color="CCCCCC" w:sz="1" w:space="1"/>
        </w:pBdr>
        <w:spacing w:after="0" w:before="200"/>
      </w:pPr>
    </w:p>
    <w:p>
      <w:r>
        <w:br w:type="page"/>
      </w:r>
    </w:p>
    <w:p>
      <w:pPr>
        <w:pStyle w:val="Heading1"/>
      </w:pPr>
      <w:r>
        <w:t xml:space="preserve">Appendix: Verified Contextual Facts and Thematic Synthesis for Future Reference</w:t>
      </w:r>
    </w:p>
    <w:p>
      <w:pPr>
        <w:spacing w:after="120" w:before="120"/>
      </w:pPr>
      <w:r>
        <w:rPr>
          <w:rFonts w:ascii="Times New Roman" w:cs="Times New Roman" w:eastAsia="Times New Roman" w:hAnsi="Times New Roman"/>
          <w:i/>
          <w:iCs/>
          <w:sz w:val="22"/>
          <w:szCs w:val="22"/>
        </w:rPr>
        <w:t xml:space="preserve">This appendix compiles verified factual claims and thematic synthesis points drawn from cross-referencing the academic literature with Guyanese government sources, UNICEF reporting, and civil society documentation. All facts listed below were independently verified through web-accessible primary sources as of April 2026. This section is intended to serve as a reference resource for future chapters and sessions of work on this study. It is </w:t>
      </w:r>
      <w:r>
        <w:rPr>
          <w:rFonts w:ascii="Times New Roman" w:cs="Times New Roman" w:eastAsia="Times New Roman" w:hAnsi="Times New Roman"/>
          <w:b/>
          <w:bCs/>
          <w:i/>
          <w:iCs/>
          <w:sz w:val="22"/>
          <w:szCs w:val="22"/>
        </w:rPr>
        <w:t xml:space="preserve">not </w:t>
      </w:r>
      <w:r>
        <w:rPr>
          <w:rFonts w:ascii="Times New Roman" w:cs="Times New Roman" w:eastAsia="Times New Roman" w:hAnsi="Times New Roman"/>
          <w:i/>
          <w:iCs/>
          <w:sz w:val="22"/>
          <w:szCs w:val="22"/>
        </w:rPr>
        <w:t xml:space="preserve">a substitute for the annotated bibliography above, which provides source-by-source analysis.</w:t>
      </w:r>
    </w:p>
    <w:p>
      <w:pPr>
        <w:pStyle w:val="Heading2"/>
      </w:pPr>
      <w:r>
        <w:t xml:space="preserve">A. Verified Guyana-Specific Facts</w:t>
      </w:r>
    </w:p>
    <w:p>
      <w:pPr>
        <w:spacing w:after="120" w:before="120"/>
      </w:pPr>
      <w:r>
        <w:rPr>
          <w:rFonts w:ascii="Times New Roman" w:cs="Times New Roman" w:eastAsia="Times New Roman" w:hAnsi="Times New Roman"/>
          <w:b/>
          <w:bCs/>
          <w:sz w:val="22"/>
          <w:szCs w:val="22"/>
        </w:rPr>
        <w:t xml:space="preserve">Legislative and Policy Architecture</w:t>
      </w:r>
    </w:p>
    <w:p>
      <w:pPr>
        <w:spacing w:after="120" w:before="60"/>
      </w:pPr>
      <w:r>
        <w:rPr>
          <w:rFonts w:ascii="Times New Roman" w:cs="Times New Roman" w:eastAsia="Times New Roman" w:hAnsi="Times New Roman"/>
          <w:sz w:val="22"/>
          <w:szCs w:val="22"/>
        </w:rPr>
        <w:t xml:space="preserve">The Persons with Disabilities Act was enacted by the Parliament of Guyana in 2010. Sub-Part II mandates that the Ministry of Education implement a national programme to ensure children with disabilities are not excluded from free and compulsory primary and secondary education, promote integration into regular schools, establish special education classes where necessary, and provide auxiliary aids and alternative communication formats including Braille. Guyana ratified the CRPD on 10 September 2014 (confirmed via OHCHR records). The 2014 Education Bill defines Special Education Needs broadly, encompassing physical, psychological, and sensory impairments as well as giftedness, and mandates the creation of Individual Education Plans (IEPs) in the ‘least restrictive and most enabling environment.’ Notably, inclusive education is not explicitly addressed in the 2014 Education Bill itself (confirmed via UNESCO education-profiles.org).</w:t>
      </w:r>
    </w:p>
    <w:p>
      <w:pPr>
        <w:spacing w:after="120" w:before="240"/>
      </w:pPr>
      <w:r>
        <w:rPr>
          <w:rFonts w:ascii="Times New Roman" w:cs="Times New Roman" w:eastAsia="Times New Roman" w:hAnsi="Times New Roman"/>
          <w:b/>
          <w:bCs/>
          <w:sz w:val="22"/>
          <w:szCs w:val="22"/>
        </w:rPr>
        <w:t xml:space="preserve">Disability Prevalence and Educational Exclusion Data</w:t>
      </w:r>
    </w:p>
    <w:p>
      <w:pPr>
        <w:spacing w:after="120" w:before="60"/>
      </w:pPr>
      <w:r>
        <w:rPr>
          <w:rFonts w:ascii="Times New Roman" w:cs="Times New Roman" w:eastAsia="Times New Roman" w:hAnsi="Times New Roman"/>
          <w:sz w:val="22"/>
          <w:szCs w:val="22"/>
        </w:rPr>
        <w:t xml:space="preserve">A survey of approximately 1,500 individuals with disabilities conducted by the National Commission on Disability (Mitchell, 2005) found that 15% of those surveyed had never attended school. Among children with disabilities under 16 years old, 42% had never attended school. Parental attitudes were a major factor, with 52% of those who had never attended school citing parental discouragement (confirmed via UNICEF Guyana &amp; Suriname reporting and the ERIC-archived study by Cheong, Kellems, Andersen, and Steed, 2018, published in Intervention in School and Clinic). This statistic predates the Draft Inclusion Policy (2010) but provides critical baseline data. Approximately 6.4% of Guyana’s population lives with some form of disability (Beaie &amp; Phil, 2007, cited in Cheong et al., 2018).</w:t>
      </w:r>
    </w:p>
    <w:p>
      <w:pPr>
        <w:spacing w:after="120" w:before="240"/>
      </w:pPr>
      <w:r>
        <w:rPr>
          <w:rFonts w:ascii="Times New Roman" w:cs="Times New Roman" w:eastAsia="Times New Roman" w:hAnsi="Times New Roman"/>
          <w:b/>
          <w:bCs/>
          <w:sz w:val="22"/>
          <w:szCs w:val="22"/>
        </w:rPr>
        <w:t xml:space="preserve">CPCE SEND Programme</w:t>
      </w:r>
    </w:p>
    <w:p>
      <w:pPr>
        <w:spacing w:after="120" w:before="60"/>
      </w:pPr>
      <w:r>
        <w:rPr>
          <w:rFonts w:ascii="Times New Roman" w:cs="Times New Roman" w:eastAsia="Times New Roman" w:hAnsi="Times New Roman"/>
          <w:sz w:val="22"/>
          <w:szCs w:val="22"/>
        </w:rPr>
        <w:t xml:space="preserve">In January 2025, the Ministry of Education and the Cyril Potter College of Education (CPCE) officially launched four new programmes, including a dedicated Special Education Needs and Disabilities (SEND) programme (confirmed via Guyana Chronicle, 23 January 2025, and News Room Guyana, 22 January 2025). The CPCE Director described these as ‘bridge programmes’ aimed at supporting holistic child development and addressing gaps in the education system. A prior cohort of 51 teachers graduated with an Associate Degree in Special Education Needs from the CPCE (confirmed via Kaieteur News, 20 November 2024), including four teachers with disabilities. The University of Guyana approved the continuation of the SEND programme commencing September 2025, with an additional 48 graduates expected (confirmed via DPI Guyana, August 2025). The CPCE had previously introduced a mandatory basic special education module for all pre-service teachers around 2004 (confirmed via ERIC-archived study, Ajodhia-Andrews &amp; Frankel).</w:t>
      </w:r>
    </w:p>
    <w:p>
      <w:pPr>
        <w:spacing w:after="120" w:before="240"/>
      </w:pPr>
      <w:r>
        <w:rPr>
          <w:rFonts w:ascii="Times New Roman" w:cs="Times New Roman" w:eastAsia="Times New Roman" w:hAnsi="Times New Roman"/>
          <w:b/>
          <w:bCs/>
          <w:sz w:val="22"/>
          <w:szCs w:val="22"/>
        </w:rPr>
        <w:t xml:space="preserve">30 SEND Spaces</w:t>
      </w:r>
    </w:p>
    <w:p>
      <w:pPr>
        <w:spacing w:after="120" w:before="60"/>
      </w:pPr>
      <w:r>
        <w:rPr>
          <w:rFonts w:ascii="Times New Roman" w:cs="Times New Roman" w:eastAsia="Times New Roman" w:hAnsi="Times New Roman"/>
          <w:sz w:val="22"/>
          <w:szCs w:val="22"/>
        </w:rPr>
        <w:t xml:space="preserve">A total of 30 dedicated SEND spaces were established across all ten administrative regions of Guyana except Region 8, with additional spaces under construction (confirmed via DPI Guyana, 26 August 2025). Classrooms have been rebuilt or adapted with accessibility features, including wheelchair ramps and adaptive furniture for learners with muscular and skeletal issues. The newly commissioned No. 8 Nursery School is specifically cited as being equipped with a wheelchair accessibility ramp.</w:t>
      </w:r>
    </w:p>
    <w:p>
      <w:pPr>
        <w:spacing w:after="120" w:before="240"/>
      </w:pPr>
      <w:r>
        <w:rPr>
          <w:rFonts w:ascii="Times New Roman" w:cs="Times New Roman" w:eastAsia="Times New Roman" w:hAnsi="Times New Roman"/>
          <w:b/>
          <w:bCs/>
          <w:sz w:val="22"/>
          <w:szCs w:val="22"/>
        </w:rPr>
        <w:t xml:space="preserve">GCOPD</w:t>
      </w:r>
    </w:p>
    <w:p>
      <w:pPr>
        <w:spacing w:after="120" w:before="60"/>
      </w:pPr>
      <w:r>
        <w:rPr>
          <w:rFonts w:ascii="Times New Roman" w:cs="Times New Roman" w:eastAsia="Times New Roman" w:hAnsi="Times New Roman"/>
          <w:sz w:val="22"/>
          <w:szCs w:val="22"/>
        </w:rPr>
        <w:t xml:space="preserve">The Guyana Council of Organisations for Persons with Disabilities (GCOPD) was established in January 2009 and serves as the umbrella body for 24 Organisations for Persons with Disabilities (OPDs) from Regions 2, 3, 4, 5, 6, 7, and 10 (confirmed via GCOPD official website, gcopd.org). The GCOPD operates under core values of inclusion, empowerment, capacity building, and sensitisation. It partners with the Board of Industrial Training and the Ministry of Education to provide skills training and advocate for the implementation of the UNCRPD and the Guyana PWD Act. The Assistant Chief Education Officer for SEND, Dr Keon Cheong, is cited in Guyana Chronicle reporting as heading SEND efforts at the Ministry level.</w:t>
      </w:r>
    </w:p>
    <w:p>
      <w:pPr>
        <w:pStyle w:val="Heading2"/>
      </w:pPr>
      <w:r>
        <w:t xml:space="preserve">B. Verified International Framework Details</w:t>
      </w:r>
    </w:p>
    <w:p>
      <w:pPr>
        <w:spacing w:after="120" w:before="120"/>
      </w:pPr>
      <w:r>
        <w:rPr>
          <w:rFonts w:ascii="Times New Roman" w:cs="Times New Roman" w:eastAsia="Times New Roman" w:hAnsi="Times New Roman"/>
          <w:b/>
          <w:bCs/>
          <w:sz w:val="22"/>
          <w:szCs w:val="22"/>
        </w:rPr>
        <w:t xml:space="preserve">Salamanca Statement (1994)</w:t>
      </w:r>
    </w:p>
    <w:p>
      <w:pPr>
        <w:spacing w:after="120" w:before="60"/>
      </w:pPr>
      <w:r>
        <w:rPr>
          <w:rFonts w:ascii="Times New Roman" w:cs="Times New Roman" w:eastAsia="Times New Roman" w:hAnsi="Times New Roman"/>
          <w:sz w:val="22"/>
          <w:szCs w:val="22"/>
        </w:rPr>
        <w:t xml:space="preserve">Adopted at the World Conference on Special Needs Education in Salamanca, Spain, 7–10 June 1994. More than 300 participants representing 92 governments and 25 international organisations attended. Organised by the Government of Spain in co-operation with UNESCO. The statement and accompanying Framework for Action represent a worldwide consensus on future directions for special needs education (confirmed via UNESCO original document, ED-94/WS/18).</w:t>
      </w:r>
    </w:p>
    <w:p>
      <w:pPr>
        <w:spacing w:after="120" w:before="240"/>
      </w:pPr>
      <w:r>
        <w:rPr>
          <w:rFonts w:ascii="Times New Roman" w:cs="Times New Roman" w:eastAsia="Times New Roman" w:hAnsi="Times New Roman"/>
          <w:b/>
          <w:bCs/>
          <w:sz w:val="22"/>
          <w:szCs w:val="22"/>
        </w:rPr>
        <w:t xml:space="preserve">CRPD General Comment No. 4 (2016)</w:t>
      </w:r>
    </w:p>
    <w:p>
      <w:pPr>
        <w:spacing w:after="120" w:before="60"/>
      </w:pPr>
      <w:r>
        <w:rPr>
          <w:rFonts w:ascii="Times New Roman" w:cs="Times New Roman" w:eastAsia="Times New Roman" w:hAnsi="Times New Roman"/>
          <w:sz w:val="22"/>
          <w:szCs w:val="22"/>
        </w:rPr>
        <w:t xml:space="preserve">General Comment No. 4 on Article 24 was adopted by the Committee on the Rights of Persons with Disabilities on 26 August 2016 (CRPD/C/GC/4, distributed 2 September 2016). The General Comment explicitly distinguishes true inclusion from mere integration or segregation. It mandates a ‘Whole Systems Approach’ and establishes that the education system must comprise four interrelated features (the 4As framework): Availability (paragraph 21), Accessibility (paragraph 22), Acceptability (paragraph 25), and Adaptability (paragraph 26). Paragraph 38 states: ‘States parties should respect, protect and fulfil each of the essential features of the right to inclusive education: availability, accessibility, acceptability, adaptability.’ The 4As framework originates from the Committee on Economic, Social and Cultural Rights, General Comment No. 13, and is formally adopted and applied within the CRPD context by General Comment No. 4 (confirmed via digitallibrary.un.org).</w:t>
      </w:r>
    </w:p>
    <w:p>
      <w:pPr>
        <w:spacing w:after="120" w:before="240"/>
      </w:pPr>
      <w:r>
        <w:rPr>
          <w:rFonts w:ascii="Times New Roman" w:cs="Times New Roman" w:eastAsia="Times New Roman" w:hAnsi="Times New Roman"/>
          <w:b/>
          <w:bCs/>
          <w:sz w:val="22"/>
          <w:szCs w:val="22"/>
        </w:rPr>
        <w:t xml:space="preserve">ICF Facilitators/Barriers Language</w:t>
      </w:r>
    </w:p>
    <w:p>
      <w:pPr>
        <w:spacing w:after="120" w:before="60"/>
      </w:pPr>
      <w:r>
        <w:rPr>
          <w:rFonts w:ascii="Times New Roman" w:cs="Times New Roman" w:eastAsia="Times New Roman" w:hAnsi="Times New Roman"/>
          <w:sz w:val="22"/>
          <w:szCs w:val="22"/>
        </w:rPr>
        <w:t xml:space="preserve">The WHO International Classification of Functioning, Disability and Health (ICF, 2001) identifies environmental factors as either ‘facilitators’ of functioning or ‘barriers’ to participation. This language is central to the biopsychosocial model and has been widely adopted in both disability studies and inclusive education discourse (confirmed via WHO classification documentation).</w:t>
      </w:r>
    </w:p>
    <w:p>
      <w:pPr>
        <w:pStyle w:val="Heading2"/>
      </w:pPr>
      <w:r>
        <w:t xml:space="preserve">C. Claims Requiring Caution or Further Verification</w:t>
      </w:r>
    </w:p>
    <w:p>
      <w:pPr>
        <w:spacing w:after="120" w:before="120"/>
      </w:pPr>
      <w:r>
        <w:rPr>
          <w:rFonts w:ascii="Times New Roman" w:cs="Times New Roman" w:eastAsia="Times New Roman" w:hAnsi="Times New Roman"/>
          <w:sz w:val="22"/>
          <w:szCs w:val="22"/>
        </w:rPr>
        <w:t xml:space="preserve">The Gemini-generated literature review document asserts that providing education for a child with special needs in a developing economy costs ‘more than double’ that of mainstream education. This claim is plausible and consistent with international estimates (e.g., UNESCO Global Education Monitoring Reports), but was not verified to a specific, citable Guyana-specific source during fact-checking. Researchers should seek a primary source for this figure before citing it in formal academic work.</w:t>
      </w:r>
    </w:p>
    <w:p>
      <w:pPr>
        <w:spacing w:after="120" w:before="120"/>
      </w:pPr>
      <w:r>
        <w:rPr>
          <w:rFonts w:ascii="Times New Roman" w:cs="Times New Roman" w:eastAsia="Times New Roman" w:hAnsi="Times New Roman"/>
          <w:sz w:val="22"/>
          <w:szCs w:val="22"/>
        </w:rPr>
        <w:t xml:space="preserve">The Gemini document references a ‘National Risk Management policy’ as part of ESP 2021–2025 interventions. This was not independently confirmed through accessible sources and should be verified against the full ESP document.</w:t>
      </w:r>
    </w:p>
    <w:p>
      <w:pPr>
        <w:spacing w:after="120" w:before="120"/>
      </w:pPr>
      <w:r>
        <w:rPr>
          <w:rFonts w:ascii="Times New Roman" w:cs="Times New Roman" w:eastAsia="Times New Roman" w:hAnsi="Times New Roman"/>
          <w:sz w:val="22"/>
          <w:szCs w:val="22"/>
        </w:rPr>
        <w:t xml:space="preserve">The Gemini document states that the Education Strategic Plan 2021–2025 is titled ‘Vision 2030.’ While the ESP does reference Vision 2030, this framing should be confirmed against the full ESP document to ensure the title is accurately attributed.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Annotated Bibliography – Inclusive Education in Guyana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2026-04-13T17:51:03.326Z</dcterms:created>
  <dcterms:modified xsi:type="dcterms:W3CDTF">2026-04-13T17:51:03.326Z</dcterms:modified>
</cp:coreProperties>
</file>

<file path=docProps/custom.xml><?xml version="1.0" encoding="utf-8"?>
<Properties xmlns="http://schemas.openxmlformats.org/officeDocument/2006/custom-properties" xmlns:vt="http://schemas.openxmlformats.org/officeDocument/2006/docPropsVTypes"/>
</file>