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61B79" w14:textId="77777777" w:rsidR="00D301B0" w:rsidRDefault="00D301B0"/>
    <w:p w14:paraId="1148BD89" w14:textId="77777777" w:rsidR="00D301B0" w:rsidRDefault="00D301B0"/>
    <w:p w14:paraId="2E9BFCAC" w14:textId="77777777" w:rsidR="00D301B0" w:rsidRDefault="00D301B0"/>
    <w:p w14:paraId="31392C66" w14:textId="77777777" w:rsidR="00D301B0" w:rsidRDefault="00000000">
      <w:pPr>
        <w:spacing w:after="80"/>
        <w:jc w:val="center"/>
      </w:pPr>
      <w:r>
        <w:rPr>
          <w:b/>
          <w:bCs/>
          <w:sz w:val="26"/>
          <w:szCs w:val="26"/>
        </w:rPr>
        <w:t>POLICY ON PAPER: A DESKTOP ANALYSIS OF THE INCLUSIVE EDUCATION</w:t>
      </w:r>
    </w:p>
    <w:p w14:paraId="79691DB1" w14:textId="77777777" w:rsidR="00D301B0" w:rsidRDefault="00000000">
      <w:pPr>
        <w:spacing w:after="80"/>
        <w:jc w:val="center"/>
      </w:pPr>
      <w:r>
        <w:rPr>
          <w:b/>
          <w:bCs/>
          <w:sz w:val="26"/>
          <w:szCs w:val="26"/>
        </w:rPr>
        <w:t>POLICY IMPLEMENTATION FOR STUDENTS WITH SPECIAL EDUCATIONAL NEEDS</w:t>
      </w:r>
    </w:p>
    <w:p w14:paraId="50A50AEF" w14:textId="77777777" w:rsidR="00D301B0" w:rsidRDefault="00000000">
      <w:pPr>
        <w:spacing w:after="240"/>
        <w:jc w:val="center"/>
      </w:pPr>
      <w:r>
        <w:rPr>
          <w:b/>
          <w:bCs/>
          <w:sz w:val="26"/>
          <w:szCs w:val="26"/>
        </w:rPr>
        <w:t>(SEN) IN GUYANA</w:t>
      </w:r>
    </w:p>
    <w:p w14:paraId="66A1416C" w14:textId="77777777" w:rsidR="00D301B0" w:rsidRDefault="00D301B0"/>
    <w:p w14:paraId="5357BAD4" w14:textId="77777777" w:rsidR="00D301B0" w:rsidRDefault="00000000">
      <w:pPr>
        <w:spacing w:after="200" w:line="360" w:lineRule="auto"/>
        <w:jc w:val="center"/>
      </w:pPr>
      <w:r>
        <w:t>[STUDENT NAME]</w:t>
      </w:r>
    </w:p>
    <w:p w14:paraId="67A734C0" w14:textId="77777777" w:rsidR="00D301B0" w:rsidRDefault="00000000">
      <w:pPr>
        <w:spacing w:after="200" w:line="360" w:lineRule="auto"/>
        <w:jc w:val="center"/>
      </w:pPr>
      <w:r>
        <w:t>Student Number: [STUDENT ID]</w:t>
      </w:r>
    </w:p>
    <w:p w14:paraId="149F8C82" w14:textId="77777777" w:rsidR="00D301B0" w:rsidRDefault="00D301B0"/>
    <w:p w14:paraId="47DE1A23" w14:textId="77777777" w:rsidR="00D301B0" w:rsidRDefault="00000000">
      <w:pPr>
        <w:spacing w:after="200" w:line="360" w:lineRule="auto"/>
        <w:jc w:val="center"/>
      </w:pPr>
      <w:r>
        <w:t>A DISSERTATION SUBMITTED TO THE</w:t>
      </w:r>
    </w:p>
    <w:p w14:paraId="2E9D926C" w14:textId="77777777" w:rsidR="00D301B0" w:rsidRDefault="00000000">
      <w:pPr>
        <w:spacing w:after="200" w:line="360" w:lineRule="auto"/>
        <w:jc w:val="center"/>
      </w:pPr>
      <w:r>
        <w:t>FACULTY OF EDUCATION AND HUMANITIES</w:t>
      </w:r>
    </w:p>
    <w:p w14:paraId="6E070DAD" w14:textId="77777777" w:rsidR="00D301B0" w:rsidRDefault="00000000">
      <w:pPr>
        <w:spacing w:after="200" w:line="360" w:lineRule="auto"/>
        <w:jc w:val="center"/>
      </w:pPr>
      <w:r>
        <w:t>LIVERPOOL JOHN MOORES UNIVERSITY</w:t>
      </w:r>
    </w:p>
    <w:p w14:paraId="1FA49AE3" w14:textId="77777777" w:rsidR="00D301B0" w:rsidRDefault="00D301B0"/>
    <w:p w14:paraId="08D6C5AB" w14:textId="77777777" w:rsidR="00D301B0" w:rsidRDefault="00000000">
      <w:pPr>
        <w:spacing w:after="200" w:line="360" w:lineRule="auto"/>
        <w:jc w:val="center"/>
      </w:pPr>
      <w:r>
        <w:t>IN PARTIAL FULFILMENT OF THE REQUIREMENTS FOR THE AWARD OF THE</w:t>
      </w:r>
    </w:p>
    <w:p w14:paraId="3269E460" w14:textId="77777777" w:rsidR="00D301B0" w:rsidRDefault="00000000">
      <w:pPr>
        <w:spacing w:after="200"/>
        <w:jc w:val="center"/>
      </w:pPr>
      <w:r>
        <w:rPr>
          <w:b/>
          <w:bCs/>
        </w:rPr>
        <w:t>DEGREE OF MASTER OF EDUCATION (M.Ed.)</w:t>
      </w:r>
    </w:p>
    <w:p w14:paraId="236AF3A5" w14:textId="77777777" w:rsidR="00D301B0" w:rsidRDefault="00D301B0"/>
    <w:p w14:paraId="5911C054" w14:textId="77777777" w:rsidR="00D301B0" w:rsidRDefault="00000000">
      <w:pPr>
        <w:spacing w:after="200" w:line="360" w:lineRule="auto"/>
        <w:jc w:val="center"/>
      </w:pPr>
      <w:r>
        <w:t>SUPERVISOR: [SUPERVISOR'S NAME]</w:t>
      </w:r>
    </w:p>
    <w:p w14:paraId="190C49FC" w14:textId="77777777" w:rsidR="00D301B0" w:rsidRDefault="00000000">
      <w:pPr>
        <w:spacing w:after="200" w:line="360" w:lineRule="auto"/>
        <w:jc w:val="center"/>
      </w:pPr>
      <w:r>
        <w:t>DEPARTMENT OF EDUCATION</w:t>
      </w:r>
    </w:p>
    <w:p w14:paraId="077EF881" w14:textId="77777777" w:rsidR="00D301B0" w:rsidRDefault="00000000">
      <w:pPr>
        <w:spacing w:after="200" w:line="360" w:lineRule="auto"/>
        <w:jc w:val="center"/>
      </w:pPr>
      <w:r>
        <w:t>FACULTY OF EDUCATION AND HUMANITIES</w:t>
      </w:r>
    </w:p>
    <w:p w14:paraId="2D1029EE" w14:textId="77777777" w:rsidR="00D301B0" w:rsidRDefault="00000000">
      <w:pPr>
        <w:spacing w:after="200" w:line="360" w:lineRule="auto"/>
        <w:jc w:val="center"/>
      </w:pPr>
      <w:r>
        <w:t>LIVERPOOL JOHN MOORES UNIVERSITY</w:t>
      </w:r>
    </w:p>
    <w:p w14:paraId="60256AB9" w14:textId="77777777" w:rsidR="00D301B0" w:rsidRDefault="00000000">
      <w:pPr>
        <w:spacing w:after="200" w:line="360" w:lineRule="auto"/>
        <w:jc w:val="center"/>
      </w:pPr>
      <w:r>
        <w:t>LIVERPOOL, ENGLAND</w:t>
      </w:r>
    </w:p>
    <w:p w14:paraId="167C1E31" w14:textId="77777777" w:rsidR="00D301B0" w:rsidRDefault="00D301B0"/>
    <w:p w14:paraId="329EEF41" w14:textId="77777777" w:rsidR="00D301B0" w:rsidRDefault="00000000">
      <w:pPr>
        <w:spacing w:after="200" w:line="360" w:lineRule="auto"/>
        <w:jc w:val="center"/>
      </w:pPr>
      <w:r>
        <w:t>MAY 2026</w:t>
      </w:r>
    </w:p>
    <w:p w14:paraId="164D65F6" w14:textId="77777777" w:rsidR="00D301B0" w:rsidRDefault="00D301B0">
      <w:pPr>
        <w:sectPr w:rsidR="00D301B0">
          <w:footerReference w:type="default" r:id="rId8"/>
          <w:pgSz w:w="12240" w:h="15840"/>
          <w:pgMar w:top="1440" w:right="1440" w:bottom="1440" w:left="1800" w:header="708" w:footer="708" w:gutter="0"/>
          <w:pgNumType w:fmt="lowerRoman" w:start="1"/>
          <w:cols w:space="720"/>
        </w:sectPr>
      </w:pPr>
    </w:p>
    <w:p w14:paraId="324D3D93" w14:textId="77777777" w:rsidR="00D301B0" w:rsidRDefault="00000000">
      <w:pPr>
        <w:pStyle w:val="Heading1"/>
      </w:pPr>
      <w:bookmarkStart w:id="0" w:name="_Toc227014882"/>
      <w:r>
        <w:rPr>
          <w:caps/>
        </w:rPr>
        <w:lastRenderedPageBreak/>
        <w:t>DECLARATION</w:t>
      </w:r>
      <w:bookmarkEnd w:id="0"/>
    </w:p>
    <w:p w14:paraId="583FF483" w14:textId="77777777" w:rsidR="00D301B0" w:rsidRDefault="00000000">
      <w:pPr>
        <w:spacing w:after="200" w:line="360" w:lineRule="auto"/>
        <w:ind w:firstLine="720"/>
        <w:jc w:val="both"/>
      </w:pPr>
      <w:r>
        <w:t>I hereby declare that this dissertation, entitled "Policy on Paper: A Desktop Analysis of the Inclusive Education Policy Implementation for Students with Special Educational Needs (SEN) in Guyana," is my own original work. It has not been submitted, in whole or in part, in fulfilment of the requirements for any other academic award at this or any other institution.</w:t>
      </w:r>
    </w:p>
    <w:p w14:paraId="289423B4" w14:textId="77777777" w:rsidR="00D301B0" w:rsidRDefault="00000000">
      <w:pPr>
        <w:spacing w:after="200" w:line="360" w:lineRule="auto"/>
        <w:ind w:firstLine="720"/>
        <w:jc w:val="both"/>
      </w:pPr>
      <w:r>
        <w:t>All sources consulted in the preparation of this dissertation have been duly acknowledged and cited in accordance with the Harvard referencing convention as required by Liverpool John Moores University.</w:t>
      </w:r>
    </w:p>
    <w:p w14:paraId="562A6943" w14:textId="77777777" w:rsidR="00D301B0" w:rsidRDefault="00000000">
      <w:pPr>
        <w:spacing w:after="200" w:line="360" w:lineRule="auto"/>
        <w:ind w:firstLine="720"/>
        <w:jc w:val="both"/>
      </w:pPr>
      <w:r>
        <w:t>I further confirm that this study does not involve primary data collection from human participants. All data analysed are drawn from publicly available secondary sources, in full compliance with the ethical and methodological requirements of the LMJU-7507-MALED module.</w:t>
      </w:r>
    </w:p>
    <w:p w14:paraId="34150403" w14:textId="77777777" w:rsidR="00D301B0" w:rsidRDefault="00D301B0"/>
    <w:p w14:paraId="2547A44F" w14:textId="77777777" w:rsidR="00D301B0" w:rsidRDefault="00D301B0"/>
    <w:p w14:paraId="48772D89" w14:textId="77777777" w:rsidR="00D301B0" w:rsidRDefault="00000000">
      <w:pPr>
        <w:spacing w:after="200" w:line="360" w:lineRule="auto"/>
        <w:jc w:val="both"/>
      </w:pPr>
      <w:r>
        <w:t>Signed: _______________________________</w:t>
      </w:r>
    </w:p>
    <w:p w14:paraId="1F1ABB83" w14:textId="77777777" w:rsidR="00D301B0" w:rsidRDefault="00D301B0"/>
    <w:p w14:paraId="5F9842CA" w14:textId="77777777" w:rsidR="00D301B0" w:rsidRDefault="00000000">
      <w:pPr>
        <w:spacing w:after="200" w:line="360" w:lineRule="auto"/>
        <w:jc w:val="both"/>
      </w:pPr>
      <w:r>
        <w:t>[Student Name]</w:t>
      </w:r>
    </w:p>
    <w:p w14:paraId="6F47340B" w14:textId="77777777" w:rsidR="00D301B0" w:rsidRDefault="00D301B0"/>
    <w:p w14:paraId="19A48315" w14:textId="77777777" w:rsidR="00D301B0" w:rsidRDefault="00000000">
      <w:pPr>
        <w:spacing w:after="200" w:line="360" w:lineRule="auto"/>
        <w:jc w:val="both"/>
      </w:pPr>
      <w:r>
        <w:t>Date: _______________________________</w:t>
      </w:r>
    </w:p>
    <w:p w14:paraId="5745847C" w14:textId="77777777" w:rsidR="00D301B0" w:rsidRDefault="00000000">
      <w:r>
        <w:br w:type="page"/>
      </w:r>
    </w:p>
    <w:p w14:paraId="20F86A4E" w14:textId="77777777" w:rsidR="00D301B0" w:rsidRDefault="00000000">
      <w:pPr>
        <w:pStyle w:val="Heading1"/>
      </w:pPr>
      <w:bookmarkStart w:id="1" w:name="_Toc227014883"/>
      <w:r>
        <w:rPr>
          <w:caps/>
        </w:rPr>
        <w:lastRenderedPageBreak/>
        <w:t>DEDICATION</w:t>
      </w:r>
      <w:bookmarkEnd w:id="1"/>
    </w:p>
    <w:p w14:paraId="75130355" w14:textId="77777777" w:rsidR="00D301B0" w:rsidRDefault="00D301B0"/>
    <w:p w14:paraId="7573BB47" w14:textId="77777777" w:rsidR="00D301B0" w:rsidRDefault="00D301B0"/>
    <w:p w14:paraId="73E4861B" w14:textId="77777777" w:rsidR="00D301B0" w:rsidRDefault="00000000">
      <w:pPr>
        <w:spacing w:after="200" w:line="360" w:lineRule="auto"/>
        <w:jc w:val="center"/>
      </w:pPr>
      <w:r>
        <w:t>This work is dedicated to all children with disabilities in Guyana and across the Caribbean, whose right to meaningful, equitable education remains an aspiration rather than a guaranteed reality. May this study, however modest, contribute to the systemic change that will make that guarantee secure.</w:t>
      </w:r>
    </w:p>
    <w:p w14:paraId="20F9A8A1" w14:textId="77777777" w:rsidR="00D301B0" w:rsidRDefault="00000000">
      <w:r>
        <w:br w:type="page"/>
      </w:r>
    </w:p>
    <w:p w14:paraId="24C6F4D8" w14:textId="77777777" w:rsidR="00D301B0" w:rsidRDefault="00000000">
      <w:pPr>
        <w:pStyle w:val="Heading1"/>
      </w:pPr>
      <w:bookmarkStart w:id="2" w:name="_Toc227014884"/>
      <w:r>
        <w:rPr>
          <w:caps/>
        </w:rPr>
        <w:lastRenderedPageBreak/>
        <w:t>ACKNOWLEDGEMENTS</w:t>
      </w:r>
      <w:bookmarkEnd w:id="2"/>
    </w:p>
    <w:p w14:paraId="7FABB976" w14:textId="77777777" w:rsidR="00D301B0" w:rsidRDefault="00000000">
      <w:pPr>
        <w:spacing w:after="200" w:line="360" w:lineRule="auto"/>
        <w:ind w:firstLine="720"/>
        <w:jc w:val="both"/>
      </w:pPr>
      <w:r>
        <w:t>I wish to express my sincere gratitude to my dissertation supervisor for the scholarly guidance, critical feedback, and sustained encouragement provided throughout the research process. This work would not have been possible without that intellectual generosity.</w:t>
      </w:r>
    </w:p>
    <w:p w14:paraId="79F6F081" w14:textId="77777777" w:rsidR="00D301B0" w:rsidRDefault="00000000">
      <w:pPr>
        <w:spacing w:after="200" w:line="360" w:lineRule="auto"/>
        <w:ind w:firstLine="720"/>
        <w:jc w:val="both"/>
      </w:pPr>
      <w:r>
        <w:t>I am also grateful to the Faculty of Education and Humanities at Liverpool John Moores University for the academic environment that deepened my understanding of educational policy and equity. Special thanks are extended to the staff of the Ministry of Education Guyana and the Guyana Council of Organisations for Persons with Disabilities for maintaining publicly accessible documentation that formed the evidential basis of this study.</w:t>
      </w:r>
    </w:p>
    <w:p w14:paraId="117582D2" w14:textId="77777777" w:rsidR="00D301B0" w:rsidRDefault="00000000">
      <w:pPr>
        <w:spacing w:after="200" w:line="360" w:lineRule="auto"/>
        <w:ind w:firstLine="720"/>
        <w:jc w:val="both"/>
      </w:pPr>
      <w:r>
        <w:t>Finally, I acknowledge with gratitude the enduring support of my family and close friends, whose encouragement sustained my commitment throughout the completion of this work.</w:t>
      </w:r>
    </w:p>
    <w:p w14:paraId="642872CD" w14:textId="77777777" w:rsidR="00D301B0" w:rsidRDefault="00000000">
      <w:r>
        <w:br w:type="page"/>
      </w:r>
    </w:p>
    <w:p w14:paraId="7EC90B5E" w14:textId="77777777" w:rsidR="00D301B0" w:rsidRDefault="00000000">
      <w:pPr>
        <w:pStyle w:val="Heading1"/>
      </w:pPr>
      <w:bookmarkStart w:id="3" w:name="_Toc227014885"/>
      <w:r>
        <w:rPr>
          <w:caps/>
        </w:rPr>
        <w:lastRenderedPageBreak/>
        <w:t>TABLE OF CONTENTS</w:t>
      </w:r>
      <w:bookmarkEnd w:id="3"/>
    </w:p>
    <w:p w14:paraId="3582D812" w14:textId="3A440BB3" w:rsidR="006D5DA2" w:rsidRDefault="00000000">
      <w:pPr>
        <w:pStyle w:val="TOC1"/>
        <w:tabs>
          <w:tab w:val="right" w:leader="dot" w:pos="8990"/>
        </w:tabs>
        <w:rPr>
          <w:noProof/>
        </w:rPr>
      </w:pPr>
      <w:r>
        <w:fldChar w:fldCharType="begin"/>
        <w:instrText xml:space="preserve"> TOC \o "1-3" \h \z \u </w:instrText>
        <w:fldChar w:fldCharType="separate"/>
      </w:r>
      <w:hyperlink w:anchor="_Toc227014882" w:history="1">
        <w:r>
          <w:rPr>
            <w:rStyle w:val="Hyperlink"/>
            <w:caps/>
            <w:noProof/>
          </w:rPr>
          <w:t>DECLARATION</w:t>
        </w:r>
        <w:r>
          <w:rPr>
            <w:noProof/>
            <w:webHidden/>
          </w:rPr>
          <w:tab/>
          <w:fldChar w:fldCharType="begin"/>
          <w:instrText xml:space="preserve"> PAGEREF _Toc227014882 \h </w:instrText>
          <w:fldChar w:fldCharType="separate"/>
          <w:t>ii</w:t>
          <w:fldChar w:fldCharType="end"/>
        </w:r>
      </w:hyperlink>
    </w:p>
    <w:p w14:paraId="77A7FADC" w14:textId="0AF1F936" w:rsidR="006D5DA2" w:rsidRDefault="006D5DA2">
      <w:pPr>
        <w:pStyle w:val="TOC1"/>
        <w:tabs>
          <w:tab w:val="right" w:leader="dot" w:pos="8990"/>
        </w:tabs>
        <w:rPr>
          <w:noProof/>
        </w:rPr>
      </w:pPr>
      <w:hyperlink w:anchor="_Toc227014883" w:history="1">
        <w:r>
          <w:rPr>
            <w:rStyle w:val="Hyperlink"/>
            <w:caps/>
            <w:noProof/>
          </w:rPr>
          <w:t>DEDICATION</w:t>
        </w:r>
        <w:r>
          <w:rPr>
            <w:noProof/>
            <w:webHidden/>
          </w:rPr>
          <w:tab/>
          <w:fldChar w:fldCharType="begin"/>
          <w:instrText xml:space="preserve"> PAGEREF _Toc227014883 \h </w:instrText>
          <w:fldChar w:fldCharType="separate"/>
          <w:t>iii</w:t>
          <w:fldChar w:fldCharType="end"/>
        </w:r>
      </w:hyperlink>
    </w:p>
    <w:p w14:paraId="024FBF57" w14:textId="0ED624C3" w:rsidR="006D5DA2" w:rsidRDefault="006D5DA2">
      <w:pPr>
        <w:pStyle w:val="TOC1"/>
        <w:tabs>
          <w:tab w:val="right" w:leader="dot" w:pos="8990"/>
        </w:tabs>
        <w:rPr>
          <w:noProof/>
        </w:rPr>
      </w:pPr>
      <w:hyperlink w:anchor="_Toc227014884" w:history="1">
        <w:r>
          <w:rPr>
            <w:rStyle w:val="Hyperlink"/>
            <w:caps/>
            <w:noProof/>
          </w:rPr>
          <w:t>ACKNOWLEDGEMENTS</w:t>
        </w:r>
        <w:r>
          <w:rPr>
            <w:noProof/>
            <w:webHidden/>
          </w:rPr>
          <w:tab/>
          <w:fldChar w:fldCharType="begin"/>
          <w:instrText xml:space="preserve"> PAGEREF _Toc227014884 \h </w:instrText>
          <w:fldChar w:fldCharType="separate"/>
          <w:t>iv</w:t>
          <w:fldChar w:fldCharType="end"/>
        </w:r>
      </w:hyperlink>
    </w:p>
    <w:p w14:paraId="486C11FF" w14:textId="4B8546F2" w:rsidR="006D5DA2" w:rsidRDefault="006D5DA2">
      <w:pPr>
        <w:pStyle w:val="TOC1"/>
        <w:tabs>
          <w:tab w:val="right" w:leader="dot" w:pos="8990"/>
        </w:tabs>
        <w:rPr>
          <w:noProof/>
        </w:rPr>
      </w:pPr>
      <w:hyperlink w:anchor="_Toc227014885" w:history="1">
        <w:r>
          <w:rPr>
            <w:rStyle w:val="Hyperlink"/>
            <w:caps/>
            <w:noProof/>
          </w:rPr>
          <w:t>TABLE OF CONTENTS</w:t>
        </w:r>
        <w:r>
          <w:rPr>
            <w:noProof/>
            <w:webHidden/>
          </w:rPr>
          <w:tab/>
          <w:fldChar w:fldCharType="begin"/>
          <w:instrText xml:space="preserve"> PAGEREF _Toc227014885 \h </w:instrText>
          <w:fldChar w:fldCharType="separate"/>
          <w:t>v</w:t>
          <w:fldChar w:fldCharType="end"/>
        </w:r>
      </w:hyperlink>
    </w:p>
    <w:p w14:paraId="74FB2F9D" w14:textId="2F8D4934" w:rsidR="006D5DA2" w:rsidRDefault="006D5DA2">
      <w:pPr>
        <w:pStyle w:val="TOC1"/>
        <w:tabs>
          <w:tab w:val="right" w:leader="dot" w:pos="8990"/>
        </w:tabs>
        <w:rPr>
          <w:noProof/>
        </w:rPr>
      </w:pPr>
      <w:hyperlink w:anchor="_Toc227014886" w:history="1">
        <w:r>
          <w:rPr>
            <w:rStyle w:val="Hyperlink"/>
            <w:caps/>
            <w:noProof/>
          </w:rPr>
          <w:t>LIST OF TABLES</w:t>
        </w:r>
        <w:r>
          <w:rPr>
            <w:noProof/>
            <w:webHidden/>
          </w:rPr>
          <w:tab/>
          <w:fldChar w:fldCharType="begin"/>
          <w:instrText xml:space="preserve"> PAGEREF _Toc227014886 \h </w:instrText>
          <w:fldChar w:fldCharType="separate"/>
          <w:t>vii</w:t>
          <w:fldChar w:fldCharType="end"/>
        </w:r>
      </w:hyperlink>
    </w:p>
    <w:p w14:paraId="635E91EB" w14:textId="19CEAAE8" w:rsidR="006D5DA2" w:rsidRDefault="006D5DA2">
      <w:pPr>
        <w:pStyle w:val="TOC1"/>
        <w:tabs>
          <w:tab w:val="right" w:leader="dot" w:pos="8990"/>
        </w:tabs>
        <w:rPr>
          <w:noProof/>
        </w:rPr>
      </w:pPr>
      <w:hyperlink w:anchor="_Toc227014887" w:history="1">
        <w:r>
          <w:rPr>
            <w:rStyle w:val="Hyperlink"/>
            <w:caps/>
            <w:noProof/>
          </w:rPr>
          <w:t>ABSTRACT</w:t>
        </w:r>
        <w:r>
          <w:rPr>
            <w:noProof/>
            <w:webHidden/>
          </w:rPr>
          <w:tab/>
          <w:fldChar w:fldCharType="begin"/>
          <w:instrText xml:space="preserve"> PAGEREF _Toc227014887 \h </w:instrText>
          <w:fldChar w:fldCharType="separate"/>
          <w:t>viii</w:t>
          <w:fldChar w:fldCharType="end"/>
        </w:r>
      </w:hyperlink>
    </w:p>
    <w:p w14:paraId="3E10D630" w14:textId="3666FBAA" w:rsidR="006D5DA2" w:rsidRDefault="006D5DA2">
      <w:pPr>
        <w:pStyle w:val="TOC1"/>
        <w:tabs>
          <w:tab w:val="right" w:leader="dot" w:pos="8990"/>
        </w:tabs>
        <w:rPr>
          <w:noProof/>
        </w:rPr>
      </w:pPr>
      <w:hyperlink w:anchor="_Toc227014888" w:history="1">
        <w:r>
          <w:rPr>
            <w:rStyle w:val="Hyperlink"/>
            <w:caps/>
            <w:noProof/>
          </w:rPr>
          <w:t>CHAPTER 1: INTRODUCTION</w:t>
        </w:r>
        <w:r>
          <w:rPr>
            <w:noProof/>
            <w:webHidden/>
          </w:rPr>
          <w:tab/>
          <w:fldChar w:fldCharType="begin"/>
          <w:instrText xml:space="preserve"> PAGEREF _Toc227014888 \h </w:instrText>
          <w:fldChar w:fldCharType="separate"/>
          <w:t>1</w:t>
          <w:fldChar w:fldCharType="end"/>
        </w:r>
      </w:hyperlink>
    </w:p>
    <w:p w14:paraId="26F5C5E8" w14:textId="28A65A9F" w:rsidR="006D5DA2" w:rsidRDefault="006D5DA2">
      <w:pPr>
        <w:pStyle w:val="TOC2"/>
        <w:tabs>
          <w:tab w:val="right" w:leader="dot" w:pos="8990"/>
        </w:tabs>
        <w:rPr>
          <w:noProof/>
        </w:rPr>
      </w:pPr>
      <w:hyperlink w:anchor="_Toc227014889" w:history="1">
        <w:r>
          <w:rPr>
            <w:rStyle w:val="Hyperlink"/>
            <w:noProof/>
          </w:rPr>
          <w:t>1.1 Background to the Study</w:t>
        </w:r>
        <w:r>
          <w:rPr>
            <w:noProof/>
            <w:webHidden/>
          </w:rPr>
          <w:tab/>
          <w:fldChar w:fldCharType="begin"/>
          <w:instrText xml:space="preserve"> PAGEREF _Toc227014889 \h </w:instrText>
          <w:fldChar w:fldCharType="separate"/>
          <w:t>1</w:t>
          <w:fldChar w:fldCharType="end"/>
        </w:r>
      </w:hyperlink>
    </w:p>
    <w:p w14:paraId="3DB62049" w14:textId="487E7C46" w:rsidR="006D5DA2" w:rsidRDefault="006D5DA2">
      <w:pPr>
        <w:pStyle w:val="TOC2"/>
        <w:tabs>
          <w:tab w:val="right" w:leader="dot" w:pos="8990"/>
        </w:tabs>
        <w:rPr>
          <w:noProof/>
        </w:rPr>
      </w:pPr>
      <w:hyperlink w:anchor="_Toc227014890" w:history="1">
        <w:r>
          <w:rPr>
            <w:rStyle w:val="Hyperlink"/>
            <w:noProof/>
          </w:rPr>
          <w:t>1.2 Statement of the Problem</w:t>
        </w:r>
        <w:r>
          <w:rPr>
            <w:noProof/>
            <w:webHidden/>
          </w:rPr>
          <w:tab/>
          <w:fldChar w:fldCharType="begin"/>
          <w:instrText xml:space="preserve"> PAGEREF _Toc227014890 \h </w:instrText>
          <w:fldChar w:fldCharType="separate"/>
          <w:t>3</w:t>
          <w:fldChar w:fldCharType="end"/>
        </w:r>
      </w:hyperlink>
    </w:p>
    <w:p w14:paraId="0F01638B" w14:textId="3C28CACA" w:rsidR="006D5DA2" w:rsidRDefault="006D5DA2">
      <w:pPr>
        <w:pStyle w:val="TOC2"/>
        <w:tabs>
          <w:tab w:val="right" w:leader="dot" w:pos="8990"/>
        </w:tabs>
        <w:rPr>
          <w:noProof/>
        </w:rPr>
      </w:pPr>
      <w:hyperlink w:anchor="_Toc227014891" w:history="1">
        <w:r>
          <w:rPr>
            <w:rStyle w:val="Hyperlink"/>
            <w:noProof/>
          </w:rPr>
          <w:t>1.3 Aim and Objectives of the Study</w:t>
        </w:r>
        <w:r>
          <w:rPr>
            <w:noProof/>
            <w:webHidden/>
          </w:rPr>
          <w:tab/>
          <w:fldChar w:fldCharType="begin"/>
          <w:instrText xml:space="preserve"> PAGEREF _Toc227014891 \h </w:instrText>
          <w:fldChar w:fldCharType="separate"/>
          <w:t>4</w:t>
          <w:fldChar w:fldCharType="end"/>
        </w:r>
      </w:hyperlink>
    </w:p>
    <w:p w14:paraId="435488DD" w14:textId="6D20D4CB" w:rsidR="006D5DA2" w:rsidRDefault="006D5DA2">
      <w:pPr>
        <w:pStyle w:val="TOC2"/>
        <w:tabs>
          <w:tab w:val="right" w:leader="dot" w:pos="8990"/>
        </w:tabs>
        <w:rPr>
          <w:noProof/>
        </w:rPr>
      </w:pPr>
      <w:hyperlink w:anchor="_Toc227014892" w:history="1">
        <w:r>
          <w:rPr>
            <w:rStyle w:val="Hyperlink"/>
            <w:noProof/>
          </w:rPr>
          <w:t>1.4 Research Questions</w:t>
        </w:r>
        <w:r>
          <w:rPr>
            <w:noProof/>
            <w:webHidden/>
          </w:rPr>
          <w:tab/>
          <w:fldChar w:fldCharType="begin"/>
          <w:instrText xml:space="preserve"> PAGEREF _Toc227014892 \h </w:instrText>
          <w:fldChar w:fldCharType="separate"/>
          <w:t>5</w:t>
          <w:fldChar w:fldCharType="end"/>
        </w:r>
      </w:hyperlink>
    </w:p>
    <w:p w14:paraId="1D13570F" w14:textId="01C4DECE" w:rsidR="006D5DA2" w:rsidRDefault="006D5DA2">
      <w:pPr>
        <w:pStyle w:val="TOC2"/>
        <w:tabs>
          <w:tab w:val="right" w:leader="dot" w:pos="8990"/>
        </w:tabs>
        <w:rPr>
          <w:noProof/>
        </w:rPr>
      </w:pPr>
      <w:hyperlink w:anchor="_Toc227014893" w:history="1">
        <w:r>
          <w:rPr>
            <w:rStyle w:val="Hyperlink"/>
            <w:noProof/>
          </w:rPr>
          <w:t>1.5 Working Hypotheses</w:t>
        </w:r>
        <w:r>
          <w:rPr>
            <w:noProof/>
            <w:webHidden/>
          </w:rPr>
          <w:tab/>
          <w:fldChar w:fldCharType="begin"/>
          <w:instrText xml:space="preserve"> PAGEREF _Toc227014893 \h </w:instrText>
          <w:fldChar w:fldCharType="separate"/>
          <w:t>5</w:t>
          <w:fldChar w:fldCharType="end"/>
        </w:r>
      </w:hyperlink>
    </w:p>
    <w:p w14:paraId="09FFACF3" w14:textId="50A67480" w:rsidR="006D5DA2" w:rsidRDefault="006D5DA2">
      <w:pPr>
        <w:pStyle w:val="TOC2"/>
        <w:tabs>
          <w:tab w:val="right" w:leader="dot" w:pos="8990"/>
        </w:tabs>
        <w:rPr>
          <w:noProof/>
        </w:rPr>
      </w:pPr>
      <w:hyperlink w:anchor="_Toc227014894" w:history="1">
        <w:r>
          <w:rPr>
            <w:rStyle w:val="Hyperlink"/>
            <w:noProof/>
          </w:rPr>
          <w:t>1.6 Significance of the Study</w:t>
        </w:r>
        <w:r>
          <w:rPr>
            <w:noProof/>
            <w:webHidden/>
          </w:rPr>
          <w:tab/>
          <w:fldChar w:fldCharType="begin"/>
          <w:instrText xml:space="preserve"> PAGEREF _Toc227014894 \h </w:instrText>
          <w:fldChar w:fldCharType="separate"/>
          <w:t>7</w:t>
          <w:fldChar w:fldCharType="end"/>
        </w:r>
      </w:hyperlink>
    </w:p>
    <w:p w14:paraId="309A993B" w14:textId="7BCB7A0C" w:rsidR="006D5DA2" w:rsidRDefault="006D5DA2">
      <w:pPr>
        <w:pStyle w:val="TOC2"/>
        <w:tabs>
          <w:tab w:val="right" w:leader="dot" w:pos="8990"/>
        </w:tabs>
        <w:rPr>
          <w:noProof/>
        </w:rPr>
      </w:pPr>
      <w:hyperlink w:anchor="_Toc227014895" w:history="1">
        <w:r>
          <w:rPr>
            <w:rStyle w:val="Hyperlink"/>
            <w:noProof/>
          </w:rPr>
          <w:t>1.7 Definition of Key Terms</w:t>
        </w:r>
        <w:r>
          <w:rPr>
            <w:noProof/>
            <w:webHidden/>
          </w:rPr>
          <w:tab/>
          <w:fldChar w:fldCharType="begin"/>
          <w:instrText xml:space="preserve"> PAGEREF _Toc227014895 \h </w:instrText>
          <w:fldChar w:fldCharType="separate"/>
          <w:t>7</w:t>
          <w:fldChar w:fldCharType="end"/>
        </w:r>
      </w:hyperlink>
    </w:p>
    <w:p w14:paraId="35F533B1" w14:textId="11F5DF34" w:rsidR="006D5DA2" w:rsidRDefault="006D5DA2">
      <w:pPr>
        <w:pStyle w:val="TOC2"/>
        <w:tabs>
          <w:tab w:val="right" w:leader="dot" w:pos="8990"/>
        </w:tabs>
        <w:rPr>
          <w:noProof/>
        </w:rPr>
      </w:pPr>
      <w:hyperlink w:anchor="_Toc227014896" w:history="1">
        <w:r>
          <w:rPr>
            <w:rStyle w:val="Hyperlink"/>
            <w:noProof/>
          </w:rPr>
          <w:t>1.8 Structure of the Dissertation</w:t>
        </w:r>
        <w:r>
          <w:rPr>
            <w:noProof/>
            <w:webHidden/>
          </w:rPr>
          <w:tab/>
          <w:fldChar w:fldCharType="begin"/>
          <w:instrText xml:space="preserve"> PAGEREF _Toc227014896 \h </w:instrText>
          <w:fldChar w:fldCharType="separate"/>
          <w:t>8</w:t>
          <w:fldChar w:fldCharType="end"/>
        </w:r>
      </w:hyperlink>
    </w:p>
    <w:p w14:paraId="1ACCDD2D" w14:textId="7D54604A" w:rsidR="006D5DA2" w:rsidRDefault="006D5DA2">
      <w:pPr>
        <w:pStyle w:val="TOC1"/>
        <w:tabs>
          <w:tab w:val="right" w:leader="dot" w:pos="8990"/>
        </w:tabs>
        <w:rPr>
          <w:noProof/>
        </w:rPr>
      </w:pPr>
      <w:hyperlink w:anchor="_Toc227014897" w:history="1">
        <w:r>
          <w:rPr>
            <w:rStyle w:val="Hyperlink"/>
            <w:caps/>
            <w:noProof/>
          </w:rPr>
          <w:t>CHAPTER 2: REVIEW OF RELATED LITERATURE</w:t>
        </w:r>
        <w:r>
          <w:rPr>
            <w:noProof/>
            <w:webHidden/>
          </w:rPr>
          <w:tab/>
          <w:fldChar w:fldCharType="begin"/>
          <w:instrText xml:space="preserve"> PAGEREF _Toc227014897 \h </w:instrText>
          <w:fldChar w:fldCharType="separate"/>
          <w:t>10</w:t>
          <w:fldChar w:fldCharType="end"/>
        </w:r>
      </w:hyperlink>
    </w:p>
    <w:p w14:paraId="404DD2F3" w14:textId="59AA2988" w:rsidR="006D5DA2" w:rsidRDefault="006D5DA2">
      <w:pPr>
        <w:pStyle w:val="TOC2"/>
        <w:tabs>
          <w:tab w:val="right" w:leader="dot" w:pos="8990"/>
        </w:tabs>
        <w:rPr>
          <w:noProof/>
        </w:rPr>
      </w:pPr>
      <w:hyperlink w:anchor="_Toc227014898" w:history="1">
        <w:r>
          <w:rPr>
            <w:rStyle w:val="Hyperlink"/>
            <w:noProof/>
          </w:rPr>
          <w:t>2.1 Introduction</w:t>
        </w:r>
        <w:r>
          <w:rPr>
            <w:noProof/>
            <w:webHidden/>
          </w:rPr>
          <w:tab/>
          <w:fldChar w:fldCharType="begin"/>
          <w:instrText xml:space="preserve"> PAGEREF _Toc227014898 \h </w:instrText>
          <w:fldChar w:fldCharType="separate"/>
          <w:t>10</w:t>
          <w:fldChar w:fldCharType="end"/>
        </w:r>
      </w:hyperlink>
    </w:p>
    <w:p w14:paraId="04A298AF" w14:textId="0533E6C2" w:rsidR="006D5DA2" w:rsidRDefault="006D5DA2">
      <w:pPr>
        <w:pStyle w:val="TOC2"/>
        <w:tabs>
          <w:tab w:val="right" w:leader="dot" w:pos="8990"/>
        </w:tabs>
        <w:rPr>
          <w:noProof/>
        </w:rPr>
      </w:pPr>
      <w:hyperlink w:anchor="_Toc227014899" w:history="1">
        <w:r>
          <w:rPr>
            <w:rStyle w:val="Hyperlink"/>
            <w:noProof/>
          </w:rPr>
          <w:t>2.2 Theoretical Framework</w:t>
        </w:r>
        <w:r>
          <w:rPr>
            <w:noProof/>
            <w:webHidden/>
          </w:rPr>
          <w:tab/>
          <w:fldChar w:fldCharType="begin"/>
          <w:instrText xml:space="preserve"> PAGEREF _Toc227014899 \h </w:instrText>
          <w:fldChar w:fldCharType="separate"/>
          <w:t>10</w:t>
          <w:fldChar w:fldCharType="end"/>
        </w:r>
      </w:hyperlink>
    </w:p>
    <w:p w14:paraId="6CC83455" w14:textId="2C8E504C" w:rsidR="006D5DA2" w:rsidRDefault="006D5DA2">
      <w:pPr>
        <w:pStyle w:val="TOC3"/>
        <w:tabs>
          <w:tab w:val="right" w:leader="dot" w:pos="8990"/>
        </w:tabs>
        <w:rPr>
          <w:noProof/>
        </w:rPr>
      </w:pPr>
      <w:hyperlink w:anchor="_Toc227014900" w:history="1">
        <w:r>
          <w:rPr>
            <w:rStyle w:val="Hyperlink"/>
            <w:noProof/>
          </w:rPr>
          <w:t>2.2.1 The Medical Model of Disability</w:t>
        </w:r>
        <w:r>
          <w:rPr>
            <w:noProof/>
            <w:webHidden/>
          </w:rPr>
          <w:tab/>
          <w:fldChar w:fldCharType="begin"/>
          <w:instrText xml:space="preserve"> PAGEREF _Toc227014900 \h </w:instrText>
          <w:fldChar w:fldCharType="separate"/>
          <w:t>10</w:t>
          <w:fldChar w:fldCharType="end"/>
        </w:r>
      </w:hyperlink>
    </w:p>
    <w:p w14:paraId="578C9B03" w14:textId="4790946B" w:rsidR="006D5DA2" w:rsidRDefault="006D5DA2">
      <w:pPr>
        <w:pStyle w:val="TOC3"/>
        <w:tabs>
          <w:tab w:val="right" w:leader="dot" w:pos="8990"/>
        </w:tabs>
        <w:rPr>
          <w:noProof/>
        </w:rPr>
      </w:pPr>
      <w:hyperlink w:anchor="_Toc227014901" w:history="1">
        <w:r>
          <w:rPr>
            <w:rStyle w:val="Hyperlink"/>
            <w:noProof/>
          </w:rPr>
          <w:t>2.2.2 The Social Model of Disability</w:t>
        </w:r>
        <w:r>
          <w:rPr>
            <w:noProof/>
            <w:webHidden/>
          </w:rPr>
          <w:tab/>
          <w:fldChar w:fldCharType="begin"/>
          <w:instrText xml:space="preserve"> PAGEREF _Toc227014901 \h </w:instrText>
          <w:fldChar w:fldCharType="separate"/>
          <w:t>10</w:t>
          <w:fldChar w:fldCharType="end"/>
        </w:r>
      </w:hyperlink>
    </w:p>
    <w:p w14:paraId="48239EC7" w14:textId="159EC0F3" w:rsidR="006D5DA2" w:rsidRDefault="006D5DA2">
      <w:pPr>
        <w:pStyle w:val="TOC3"/>
        <w:tabs>
          <w:tab w:val="right" w:leader="dot" w:pos="8990"/>
        </w:tabs>
        <w:rPr>
          <w:noProof/>
        </w:rPr>
      </w:pPr>
      <w:hyperlink w:anchor="_Toc227014902" w:history="1">
        <w:r>
          <w:rPr>
            <w:rStyle w:val="Hyperlink"/>
            <w:noProof/>
          </w:rPr>
          <w:t>2.2.3 The Biopsychosocial Model</w:t>
        </w:r>
        <w:r>
          <w:rPr>
            <w:noProof/>
            <w:webHidden/>
          </w:rPr>
          <w:tab/>
          <w:fldChar w:fldCharType="begin"/>
          <w:instrText xml:space="preserve"> PAGEREF _Toc227014902 \h </w:instrText>
          <w:fldChar w:fldCharType="separate"/>
          <w:t>11</w:t>
          <w:fldChar w:fldCharType="end"/>
        </w:r>
      </w:hyperlink>
    </w:p>
    <w:p w14:paraId="198F0639" w14:textId="36D8E293" w:rsidR="006D5DA2" w:rsidRDefault="006D5DA2">
      <w:pPr>
        <w:pStyle w:val="TOC3"/>
        <w:tabs>
          <w:tab w:val="right" w:leader="dot" w:pos="8990"/>
        </w:tabs>
        <w:rPr>
          <w:noProof/>
        </w:rPr>
      </w:pPr>
      <w:hyperlink w:anchor="_Toc227014903" w:history="1">
        <w:r>
          <w:rPr>
            <w:rStyle w:val="Hyperlink"/>
            <w:noProof/>
          </w:rPr>
          <w:t>2.2.4 Implications for Inclusive Education Policy</w:t>
        </w:r>
        <w:r>
          <w:rPr>
            <w:noProof/>
            <w:webHidden/>
          </w:rPr>
          <w:tab/>
          <w:fldChar w:fldCharType="begin"/>
          <w:instrText xml:space="preserve"> PAGEREF _Toc227014903 \h </w:instrText>
          <w:fldChar w:fldCharType="separate"/>
          <w:t>12</w:t>
          <w:fldChar w:fldCharType="end"/>
        </w:r>
      </w:hyperlink>
    </w:p>
    <w:p w14:paraId="1EEE6897" w14:textId="70C71124" w:rsidR="006D5DA2" w:rsidRDefault="006D5DA2">
      <w:pPr>
        <w:pStyle w:val="TOC2"/>
        <w:tabs>
          <w:tab w:val="right" w:leader="dot" w:pos="8990"/>
        </w:tabs>
        <w:rPr>
          <w:noProof/>
        </w:rPr>
      </w:pPr>
      <w:hyperlink w:anchor="_Toc227014904" w:history="1">
        <w:r>
          <w:rPr>
            <w:rStyle w:val="Hyperlink"/>
            <w:noProof/>
          </w:rPr>
          <w:t>2.3 Conceptual Framework</w:t>
        </w:r>
        <w:r>
          <w:rPr>
            <w:noProof/>
            <w:webHidden/>
          </w:rPr>
          <w:tab/>
          <w:fldChar w:fldCharType="begin"/>
          <w:instrText xml:space="preserve"> PAGEREF _Toc227014904 \h </w:instrText>
          <w:fldChar w:fldCharType="separate"/>
          <w:t>12</w:t>
          <w:fldChar w:fldCharType="end"/>
        </w:r>
      </w:hyperlink>
    </w:p>
    <w:p w14:paraId="3B2F1EF4" w14:textId="5E362A8F" w:rsidR="006D5DA2" w:rsidRDefault="006D5DA2">
      <w:pPr>
        <w:pStyle w:val="TOC2"/>
        <w:tabs>
          <w:tab w:val="right" w:leader="dot" w:pos="8990"/>
        </w:tabs>
        <w:rPr>
          <w:noProof/>
        </w:rPr>
      </w:pPr>
      <w:hyperlink w:anchor="_Toc227014905" w:history="1">
        <w:r>
          <w:rPr>
            <w:rStyle w:val="Hyperlink"/>
            <w:noProof/>
          </w:rPr>
          <w:t>2.4 Review of Empirical Literature</w:t>
        </w:r>
        <w:r>
          <w:rPr>
            <w:noProof/>
            <w:webHidden/>
          </w:rPr>
          <w:tab/>
          <w:fldChar w:fldCharType="begin"/>
          <w:instrText xml:space="preserve"> PAGEREF _Toc227014905 \h </w:instrText>
          <w:fldChar w:fldCharType="separate"/>
          <w:t>13</w:t>
          <w:fldChar w:fldCharType="end"/>
        </w:r>
      </w:hyperlink>
    </w:p>
    <w:p w14:paraId="19C35607" w14:textId="58E87999" w:rsidR="006D5DA2" w:rsidRDefault="006D5DA2">
      <w:pPr>
        <w:pStyle w:val="TOC3"/>
        <w:tabs>
          <w:tab w:val="right" w:leader="dot" w:pos="8990"/>
        </w:tabs>
        <w:rPr>
          <w:noProof/>
        </w:rPr>
      </w:pPr>
      <w:hyperlink w:anchor="_Toc227014906" w:history="1">
        <w:r>
          <w:rPr>
            <w:rStyle w:val="Hyperlink"/>
            <w:noProof/>
          </w:rPr>
          <w:t>2.4.1 Teacher Preparedness and Pedagogical Practice</w:t>
        </w:r>
        <w:r>
          <w:rPr>
            <w:noProof/>
            <w:webHidden/>
          </w:rPr>
          <w:tab/>
          <w:fldChar w:fldCharType="begin"/>
          <w:instrText xml:space="preserve"> PAGEREF _Toc227014906 \h </w:instrText>
          <w:fldChar w:fldCharType="separate"/>
          <w:t>13</w:t>
          <w:fldChar w:fldCharType="end"/>
        </w:r>
      </w:hyperlink>
    </w:p>
    <w:p w14:paraId="75C806C8" w14:textId="7D34B065" w:rsidR="006D5DA2" w:rsidRDefault="006D5DA2">
      <w:pPr>
        <w:pStyle w:val="TOC3"/>
        <w:tabs>
          <w:tab w:val="right" w:leader="dot" w:pos="8990"/>
        </w:tabs>
        <w:rPr>
          <w:noProof/>
        </w:rPr>
      </w:pPr>
      <w:hyperlink w:anchor="_Toc227014907" w:history="1">
        <w:r>
          <w:rPr>
            <w:rStyle w:val="Hyperlink"/>
            <w:noProof/>
          </w:rPr>
          <w:t>2.4.2 Policy Implementation and Institutional Capacity</w:t>
        </w:r>
        <w:r>
          <w:rPr>
            <w:noProof/>
            <w:webHidden/>
          </w:rPr>
          <w:tab/>
          <w:fldChar w:fldCharType="begin"/>
          <w:instrText xml:space="preserve"> PAGEREF _Toc227014907 \h </w:instrText>
          <w:fldChar w:fldCharType="separate"/>
          <w:t>14</w:t>
          <w:fldChar w:fldCharType="end"/>
        </w:r>
      </w:hyperlink>
    </w:p>
    <w:p w14:paraId="15B9285C" w14:textId="251DD43D" w:rsidR="006D5DA2" w:rsidRDefault="006D5DA2">
      <w:pPr>
        <w:pStyle w:val="TOC3"/>
        <w:tabs>
          <w:tab w:val="right" w:leader="dot" w:pos="8990"/>
        </w:tabs>
        <w:rPr>
          <w:noProof/>
        </w:rPr>
      </w:pPr>
      <w:hyperlink w:anchor="_Toc227014908" w:history="1">
        <w:r>
          <w:rPr>
            <w:rStyle w:val="Hyperlink"/>
            <w:noProof/>
          </w:rPr>
          <w:t>2.4.3 Disability-Specific Approaches and Differentiation</w:t>
        </w:r>
        <w:r>
          <w:rPr>
            <w:noProof/>
            <w:webHidden/>
          </w:rPr>
          <w:tab/>
          <w:fldChar w:fldCharType="begin"/>
          <w:instrText xml:space="preserve"> PAGEREF _Toc227014908 \h </w:instrText>
          <w:fldChar w:fldCharType="separate"/>
          <w:t>15</w:t>
          <w:fldChar w:fldCharType="end"/>
        </w:r>
      </w:hyperlink>
    </w:p>
    <w:p w14:paraId="7B4E1514" w14:textId="0691A685" w:rsidR="006D5DA2" w:rsidRDefault="006D5DA2">
      <w:pPr>
        <w:pStyle w:val="TOC3"/>
        <w:tabs>
          <w:tab w:val="right" w:leader="dot" w:pos="8990"/>
        </w:tabs>
        <w:rPr>
          <w:noProof/>
        </w:rPr>
      </w:pPr>
      <w:hyperlink w:anchor="_Toc227014909" w:history="1">
        <w:r>
          <w:rPr>
            <w:rStyle w:val="Hyperlink"/>
            <w:noProof/>
          </w:rPr>
          <w:t>2.4.4 Inclusive Education in Developing Contexts</w:t>
        </w:r>
        <w:r>
          <w:rPr>
            <w:noProof/>
            <w:webHidden/>
          </w:rPr>
          <w:tab/>
          <w:fldChar w:fldCharType="begin"/>
          <w:instrText xml:space="preserve"> PAGEREF _Toc227014909 \h </w:instrText>
          <w:fldChar w:fldCharType="separate"/>
          <w:t>16</w:t>
          <w:fldChar w:fldCharType="end"/>
        </w:r>
      </w:hyperlink>
    </w:p>
    <w:p w14:paraId="7D8BA14A" w14:textId="570EB957" w:rsidR="006D5DA2" w:rsidRDefault="006D5DA2">
      <w:pPr>
        <w:pStyle w:val="TOC3"/>
        <w:tabs>
          <w:tab w:val="right" w:leader="dot" w:pos="8990"/>
        </w:tabs>
        <w:rPr>
          <w:noProof/>
        </w:rPr>
      </w:pPr>
      <w:hyperlink w:anchor="_Toc227014910" w:history="1">
        <w:r>
          <w:rPr>
            <w:rStyle w:val="Hyperlink"/>
            <w:noProof/>
          </w:rPr>
          <w:t>2.4.5 Inclusive Education in the Caribbean and Guyana</w:t>
        </w:r>
        <w:r>
          <w:rPr>
            <w:noProof/>
            <w:webHidden/>
          </w:rPr>
          <w:tab/>
          <w:fldChar w:fldCharType="begin"/>
          <w:instrText xml:space="preserve"> PAGEREF _Toc227014910 \h </w:instrText>
          <w:fldChar w:fldCharType="separate"/>
          <w:t>17</w:t>
          <w:fldChar w:fldCharType="end"/>
        </w:r>
      </w:hyperlink>
    </w:p>
    <w:p w14:paraId="70B78BD7" w14:textId="0DA8E494" w:rsidR="006D5DA2" w:rsidRDefault="006D5DA2">
      <w:pPr>
        <w:pStyle w:val="TOC2"/>
        <w:tabs>
          <w:tab w:val="right" w:leader="dot" w:pos="8990"/>
        </w:tabs>
        <w:rPr>
          <w:noProof/>
        </w:rPr>
      </w:pPr>
      <w:hyperlink w:anchor="_Toc227014911" w:history="1">
        <w:r>
          <w:rPr>
            <w:rStyle w:val="Hyperlink"/>
            <w:noProof/>
          </w:rPr>
          <w:t>2.5 Summary of Literature Review</w:t>
        </w:r>
        <w:r>
          <w:rPr>
            <w:noProof/>
            <w:webHidden/>
          </w:rPr>
          <w:tab/>
          <w:fldChar w:fldCharType="begin"/>
          <w:instrText xml:space="preserve"> PAGEREF _Toc227014911 \h </w:instrText>
          <w:fldChar w:fldCharType="separate"/>
          <w:t>18</w:t>
          <w:fldChar w:fldCharType="end"/>
        </w:r>
      </w:hyperlink>
    </w:p>
    <w:p w14:paraId="4C7CAFF7" w14:textId="29E8DF44" w:rsidR="006D5DA2" w:rsidRDefault="006D5DA2">
      <w:pPr>
        <w:pStyle w:val="TOC1"/>
        <w:tabs>
          <w:tab w:val="right" w:leader="dot" w:pos="8990"/>
        </w:tabs>
        <w:rPr>
          <w:noProof/>
        </w:rPr>
      </w:pPr>
      <w:hyperlink w:anchor="_Toc227014912" w:history="1">
        <w:r>
          <w:rPr>
            <w:rStyle w:val="Hyperlink"/>
            <w:caps/>
            <w:noProof/>
          </w:rPr>
          <w:t>CHAPTER 3: METHODOLOGY</w:t>
        </w:r>
        <w:r>
          <w:rPr>
            <w:noProof/>
            <w:webHidden/>
          </w:rPr>
          <w:tab/>
          <w:fldChar w:fldCharType="begin"/>
          <w:instrText xml:space="preserve"> PAGEREF _Toc227014912 \h </w:instrText>
          <w:fldChar w:fldCharType="separate"/>
          <w:t>20</w:t>
          <w:fldChar w:fldCharType="end"/>
        </w:r>
      </w:hyperlink>
    </w:p>
    <w:p w14:paraId="6677701E" w14:textId="11C73292" w:rsidR="006D5DA2" w:rsidRDefault="006D5DA2">
      <w:pPr>
        <w:pStyle w:val="TOC2"/>
        <w:tabs>
          <w:tab w:val="right" w:leader="dot" w:pos="8990"/>
        </w:tabs>
        <w:rPr>
          <w:noProof/>
        </w:rPr>
      </w:pPr>
      <w:hyperlink w:anchor="_Toc227014913" w:history="1">
        <w:r>
          <w:rPr>
            <w:rStyle w:val="Hyperlink"/>
            <w:noProof/>
          </w:rPr>
          <w:t>3.1 Introduction</w:t>
        </w:r>
        <w:r>
          <w:rPr>
            <w:noProof/>
            <w:webHidden/>
          </w:rPr>
          <w:tab/>
          <w:fldChar w:fldCharType="begin"/>
          <w:instrText xml:space="preserve"> PAGEREF _Toc227014913 \h </w:instrText>
          <w:fldChar w:fldCharType="separate"/>
          <w:t>20</w:t>
          <w:fldChar w:fldCharType="end"/>
        </w:r>
      </w:hyperlink>
    </w:p>
    <w:p w14:paraId="0F15237D" w14:textId="6C8E18E6" w:rsidR="006D5DA2" w:rsidRDefault="006D5DA2">
      <w:pPr>
        <w:pStyle w:val="TOC2"/>
        <w:tabs>
          <w:tab w:val="right" w:leader="dot" w:pos="8990"/>
        </w:tabs>
        <w:rPr>
          <w:noProof/>
        </w:rPr>
      </w:pPr>
      <w:hyperlink w:anchor="_Toc227014914" w:history="1">
        <w:r>
          <w:rPr>
            <w:rStyle w:val="Hyperlink"/>
            <w:noProof/>
          </w:rPr>
          <w:t>3.2 Research Design</w:t>
        </w:r>
        <w:r>
          <w:rPr>
            <w:noProof/>
            <w:webHidden/>
          </w:rPr>
          <w:tab/>
          <w:fldChar w:fldCharType="begin"/>
          <w:instrText xml:space="preserve"> PAGEREF _Toc227014914 \h </w:instrText>
          <w:fldChar w:fldCharType="separate"/>
          <w:t>20</w:t>
          <w:fldChar w:fldCharType="end"/>
        </w:r>
      </w:hyperlink>
    </w:p>
    <w:p w14:paraId="38FF3E2A" w14:textId="0EEB5ECD" w:rsidR="006D5DA2" w:rsidRDefault="006D5DA2">
      <w:pPr>
        <w:pStyle w:val="TOC2"/>
        <w:tabs>
          <w:tab w:val="right" w:leader="dot" w:pos="8990"/>
        </w:tabs>
        <w:rPr>
          <w:noProof/>
        </w:rPr>
      </w:pPr>
      <w:hyperlink w:anchor="_Toc227014915" w:history="1">
        <w:r>
          <w:rPr>
            <w:rStyle w:val="Hyperlink"/>
            <w:noProof/>
          </w:rPr>
          <w:t>3.3 Population of the Study</w:t>
        </w:r>
        <w:r>
          <w:rPr>
            <w:noProof/>
            <w:webHidden/>
          </w:rPr>
          <w:tab/>
          <w:fldChar w:fldCharType="begin"/>
          <w:instrText xml:space="preserve"> PAGEREF _Toc227014915 \h </w:instrText>
          <w:fldChar w:fldCharType="separate"/>
          <w:t>21</w:t>
          <w:fldChar w:fldCharType="end"/>
        </w:r>
      </w:hyperlink>
    </w:p>
    <w:p w14:paraId="33009D3C" w14:textId="0948463D" w:rsidR="006D5DA2" w:rsidRDefault="006D5DA2">
      <w:pPr>
        <w:pStyle w:val="TOC2"/>
        <w:tabs>
          <w:tab w:val="right" w:leader="dot" w:pos="8990"/>
        </w:tabs>
        <w:rPr>
          <w:noProof/>
        </w:rPr>
      </w:pPr>
      <w:hyperlink w:anchor="_Toc227014916" w:history="1">
        <w:r>
          <w:rPr>
            <w:rStyle w:val="Hyperlink"/>
            <w:noProof/>
          </w:rPr>
          <w:t>3.4 Sample and Sampling Technique</w:t>
        </w:r>
        <w:r>
          <w:rPr>
            <w:noProof/>
            <w:webHidden/>
          </w:rPr>
          <w:tab/>
          <w:fldChar w:fldCharType="begin"/>
          <w:instrText xml:space="preserve"> PAGEREF _Toc227014916 \h </w:instrText>
          <w:fldChar w:fldCharType="separate"/>
          <w:t>22</w:t>
          <w:fldChar w:fldCharType="end"/>
        </w:r>
      </w:hyperlink>
    </w:p>
    <w:p w14:paraId="399CE7AE" w14:textId="0DE4617A" w:rsidR="006D5DA2" w:rsidRDefault="006D5DA2">
      <w:pPr>
        <w:pStyle w:val="TOC2"/>
        <w:tabs>
          <w:tab w:val="right" w:leader="dot" w:pos="8990"/>
        </w:tabs>
        <w:rPr>
          <w:noProof/>
        </w:rPr>
      </w:pPr>
      <w:hyperlink w:anchor="_Toc227014917" w:history="1">
        <w:r>
          <w:rPr>
            <w:rStyle w:val="Hyperlink"/>
            <w:noProof/>
          </w:rPr>
          <w:t>3.5 Instrument of Data Collection</w:t>
        </w:r>
        <w:r>
          <w:rPr>
            <w:noProof/>
            <w:webHidden/>
          </w:rPr>
          <w:tab/>
          <w:fldChar w:fldCharType="begin"/>
          <w:instrText xml:space="preserve"> PAGEREF _Toc227014917 \h </w:instrText>
          <w:fldChar w:fldCharType="separate"/>
          <w:t>23</w:t>
          <w:fldChar w:fldCharType="end"/>
        </w:r>
      </w:hyperlink>
    </w:p>
    <w:p w14:paraId="5370D2BB" w14:textId="750B5434" w:rsidR="006D5DA2" w:rsidRDefault="006D5DA2">
      <w:pPr>
        <w:pStyle w:val="TOC2"/>
        <w:tabs>
          <w:tab w:val="right" w:leader="dot" w:pos="8990"/>
        </w:tabs>
        <w:rPr>
          <w:noProof/>
        </w:rPr>
      </w:pPr>
      <w:hyperlink w:anchor="_Toc227014918" w:history="1">
        <w:r>
          <w:rPr>
            <w:rStyle w:val="Hyperlink"/>
            <w:noProof/>
          </w:rPr>
          <w:t>3.6 Validity of the Instrument</w:t>
        </w:r>
        <w:r>
          <w:rPr>
            <w:noProof/>
            <w:webHidden/>
          </w:rPr>
          <w:tab/>
          <w:fldChar w:fldCharType="begin"/>
          <w:instrText xml:space="preserve"> PAGEREF _Toc227014918 \h </w:instrText>
          <w:fldChar w:fldCharType="separate"/>
          <w:t>23</w:t>
          <w:fldChar w:fldCharType="end"/>
        </w:r>
      </w:hyperlink>
    </w:p>
    <w:p w14:paraId="2A512594" w14:textId="775595B4" w:rsidR="006D5DA2" w:rsidRDefault="006D5DA2">
      <w:pPr>
        <w:pStyle w:val="TOC2"/>
        <w:tabs>
          <w:tab w:val="right" w:leader="dot" w:pos="8990"/>
        </w:tabs>
        <w:rPr>
          <w:noProof/>
        </w:rPr>
      </w:pPr>
      <w:hyperlink w:anchor="_Toc227014919" w:history="1">
        <w:r>
          <w:rPr>
            <w:rStyle w:val="Hyperlink"/>
            <w:noProof/>
          </w:rPr>
          <w:t>3.7 Reliability of the Instrument</w:t>
        </w:r>
        <w:r>
          <w:rPr>
            <w:noProof/>
            <w:webHidden/>
          </w:rPr>
          <w:tab/>
          <w:fldChar w:fldCharType="begin"/>
          <w:instrText xml:space="preserve"> PAGEREF _Toc227014919 \h </w:instrText>
          <w:fldChar w:fldCharType="separate"/>
          <w:t>24</w:t>
          <w:fldChar w:fldCharType="end"/>
        </w:r>
      </w:hyperlink>
    </w:p>
    <w:p w14:paraId="061B69D9" w14:textId="723CBD1F" w:rsidR="006D5DA2" w:rsidRDefault="006D5DA2">
      <w:pPr>
        <w:pStyle w:val="TOC2"/>
        <w:tabs>
          <w:tab w:val="right" w:leader="dot" w:pos="8990"/>
        </w:tabs>
        <w:rPr>
          <w:noProof/>
        </w:rPr>
      </w:pPr>
      <w:hyperlink w:anchor="_Toc227014920" w:history="1">
        <w:r>
          <w:rPr>
            <w:rStyle w:val="Hyperlink"/>
            <w:noProof/>
          </w:rPr>
          <w:t>3.8 Positionality and Ethical Considerations</w:t>
        </w:r>
        <w:r>
          <w:rPr>
            <w:noProof/>
            <w:webHidden/>
          </w:rPr>
          <w:tab/>
          <w:fldChar w:fldCharType="begin"/>
          <w:instrText xml:space="preserve"> PAGEREF _Toc227014920 \h </w:instrText>
          <w:fldChar w:fldCharType="separate"/>
          <w:t>24</w:t>
          <w:fldChar w:fldCharType="end"/>
        </w:r>
      </w:hyperlink>
    </w:p>
    <w:p w14:paraId="64B85D75" w14:textId="1C0553FB" w:rsidR="006D5DA2" w:rsidRDefault="006D5DA2">
      <w:pPr>
        <w:pStyle w:val="TOC2"/>
        <w:tabs>
          <w:tab w:val="right" w:leader="dot" w:pos="8990"/>
        </w:tabs>
        <w:rPr>
          <w:noProof/>
        </w:rPr>
      </w:pPr>
      <w:hyperlink w:anchor="_Toc227014921" w:history="1">
        <w:r>
          <w:rPr>
            <w:rStyle w:val="Hyperlink"/>
            <w:noProof/>
          </w:rPr>
          <w:t>3.9 Limitations of the Methodology</w:t>
        </w:r>
        <w:r>
          <w:rPr>
            <w:noProof/>
            <w:webHidden/>
          </w:rPr>
          <w:tab/>
          <w:fldChar w:fldCharType="begin"/>
          <w:instrText xml:space="preserve"> PAGEREF _Toc227014921 \h </w:instrText>
          <w:fldChar w:fldCharType="separate"/>
          <w:t>25</w:t>
          <w:fldChar w:fldCharType="end"/>
        </w:r>
      </w:hyperlink>
    </w:p>
    <w:p w14:paraId="0FE6311E" w14:textId="531259EA" w:rsidR="006D5DA2" w:rsidRDefault="006D5DA2">
      <w:pPr>
        <w:pStyle w:val="TOC1"/>
        <w:tabs>
          <w:tab w:val="right" w:leader="dot" w:pos="8990"/>
        </w:tabs>
        <w:rPr>
          <w:noProof/>
        </w:rPr>
      </w:pPr>
      <w:hyperlink w:anchor="_Toc227014922" w:history="1">
        <w:r>
          <w:rPr>
            <w:rStyle w:val="Hyperlink"/>
            <w:caps/>
            <w:noProof/>
          </w:rPr>
          <w:t>CHAPTER 4: RESULTS AND DISCUSSION</w:t>
        </w:r>
        <w:r>
          <w:rPr>
            <w:noProof/>
            <w:webHidden/>
          </w:rPr>
          <w:tab/>
          <w:fldChar w:fldCharType="begin"/>
          <w:instrText xml:space="preserve"> PAGEREF _Toc227014922 \h </w:instrText>
          <w:fldChar w:fldCharType="separate"/>
          <w:t>26</w:t>
          <w:fldChar w:fldCharType="end"/>
        </w:r>
      </w:hyperlink>
    </w:p>
    <w:p w14:paraId="0CF6F6B0" w14:textId="462605B8" w:rsidR="006D5DA2" w:rsidRDefault="006D5DA2">
      <w:pPr>
        <w:pStyle w:val="TOC2"/>
        <w:tabs>
          <w:tab w:val="right" w:leader="dot" w:pos="8990"/>
        </w:tabs>
        <w:rPr>
          <w:noProof/>
        </w:rPr>
      </w:pPr>
      <w:hyperlink w:anchor="_Toc227014923" w:history="1">
        <w:r>
          <w:rPr>
            <w:rStyle w:val="Hyperlink"/>
            <w:noProof/>
          </w:rPr>
          <w:t>4.1 Introduction</w:t>
        </w:r>
        <w:r>
          <w:rPr>
            <w:noProof/>
            <w:webHidden/>
          </w:rPr>
          <w:tab/>
          <w:fldChar w:fldCharType="begin"/>
          <w:instrText xml:space="preserve"> PAGEREF _Toc227014923 \h </w:instrText>
          <w:fldChar w:fldCharType="separate"/>
          <w:t>26</w:t>
          <w:fldChar w:fldCharType="end"/>
        </w:r>
      </w:hyperlink>
    </w:p>
    <w:p w14:paraId="7962668C" w14:textId="56D708DD" w:rsidR="006D5DA2" w:rsidRDefault="006D5DA2">
      <w:pPr>
        <w:pStyle w:val="TOC2"/>
        <w:tabs>
          <w:tab w:val="right" w:leader="dot" w:pos="8990"/>
        </w:tabs>
        <w:rPr>
          <w:noProof/>
        </w:rPr>
      </w:pPr>
      <w:hyperlink w:anchor="_Toc227014924" w:history="1">
        <w:r>
          <w:rPr>
            <w:rStyle w:val="Hyperlink"/>
            <w:noProof/>
          </w:rPr>
          <w:t>4.2 Research Question 1: Policy Alignment with International Frameworks</w:t>
        </w:r>
        <w:r>
          <w:rPr>
            <w:noProof/>
            <w:webHidden/>
          </w:rPr>
          <w:tab/>
          <w:fldChar w:fldCharType="begin"/>
          <w:instrText xml:space="preserve"> PAGEREF _Toc227014924 \h </w:instrText>
          <w:fldChar w:fldCharType="separate"/>
          <w:t>26</w:t>
          <w:fldChar w:fldCharType="end"/>
        </w:r>
      </w:hyperlink>
    </w:p>
    <w:p w14:paraId="4F04F3EE" w14:textId="37576605" w:rsidR="006D5DA2" w:rsidRDefault="006D5DA2">
      <w:pPr>
        <w:pStyle w:val="TOC2"/>
        <w:tabs>
          <w:tab w:val="right" w:leader="dot" w:pos="8990"/>
        </w:tabs>
        <w:rPr>
          <w:noProof/>
        </w:rPr>
      </w:pPr>
      <w:hyperlink w:anchor="_Toc227014925" w:history="1">
        <w:r>
          <w:rPr>
            <w:rStyle w:val="Hyperlink"/>
            <w:noProof/>
          </w:rPr>
          <w:t>4.3 Research Question 2: Institutional Mechanisms and Operationalisation</w:t>
        </w:r>
        <w:r>
          <w:rPr>
            <w:noProof/>
            <w:webHidden/>
          </w:rPr>
          <w:tab/>
          <w:fldChar w:fldCharType="begin"/>
          <w:instrText xml:space="preserve"> PAGEREF _Toc227014925 \h </w:instrText>
          <w:fldChar w:fldCharType="separate"/>
          <w:t>29</w:t>
          <w:fldChar w:fldCharType="end"/>
        </w:r>
      </w:hyperlink>
    </w:p>
    <w:p w14:paraId="0C0EE108" w14:textId="05BA00BA" w:rsidR="006D5DA2" w:rsidRDefault="006D5DA2">
      <w:pPr>
        <w:pStyle w:val="TOC2"/>
        <w:tabs>
          <w:tab w:val="right" w:leader="dot" w:pos="8990"/>
        </w:tabs>
        <w:rPr>
          <w:noProof/>
        </w:rPr>
      </w:pPr>
      <w:hyperlink w:anchor="_Toc227014926" w:history="1">
        <w:r>
          <w:rPr>
            <w:rStyle w:val="Hyperlink"/>
            <w:noProof/>
          </w:rPr>
          <w:t>4.4 Research Question 3: Structural Factors Contributing to the Policy-Practice Gap</w:t>
        </w:r>
        <w:r>
          <w:rPr>
            <w:noProof/>
            <w:webHidden/>
          </w:rPr>
          <w:tab/>
          <w:fldChar w:fldCharType="begin"/>
          <w:instrText xml:space="preserve"> PAGEREF _Toc227014926 \h </w:instrText>
          <w:fldChar w:fldCharType="separate"/>
          <w:t>31</w:t>
          <w:fldChar w:fldCharType="end"/>
        </w:r>
      </w:hyperlink>
    </w:p>
    <w:p w14:paraId="31DBB524" w14:textId="5048FDCA" w:rsidR="006D5DA2" w:rsidRDefault="006D5DA2">
      <w:pPr>
        <w:pStyle w:val="TOC3"/>
        <w:tabs>
          <w:tab w:val="right" w:leader="dot" w:pos="8990"/>
        </w:tabs>
        <w:rPr>
          <w:noProof/>
        </w:rPr>
      </w:pPr>
      <w:hyperlink w:anchor="_Toc227014927" w:history="1">
        <w:r>
          <w:rPr>
            <w:rStyle w:val="Hyperlink"/>
            <w:noProof/>
          </w:rPr>
          <w:t>4.4.1 The Unadopted Status of the Policy and the Legislative Landscape</w:t>
        </w:r>
        <w:r>
          <w:rPr>
            <w:noProof/>
            <w:webHidden/>
          </w:rPr>
          <w:tab/>
          <w:fldChar w:fldCharType="begin"/>
          <w:instrText xml:space="preserve"> PAGEREF _Toc227014927 \h </w:instrText>
          <w:fldChar w:fldCharType="separate"/>
          <w:t>32</w:t>
          <w:fldChar w:fldCharType="end"/>
        </w:r>
      </w:hyperlink>
    </w:p>
    <w:p w14:paraId="54C0F99F" w14:textId="0F490631" w:rsidR="006D5DA2" w:rsidRDefault="006D5DA2">
      <w:pPr>
        <w:pStyle w:val="TOC3"/>
        <w:tabs>
          <w:tab w:val="right" w:leader="dot" w:pos="8990"/>
        </w:tabs>
        <w:rPr>
          <w:noProof/>
        </w:rPr>
      </w:pPr>
      <w:hyperlink w:anchor="_Toc227014928" w:history="1">
        <w:r>
          <w:rPr>
            <w:rStyle w:val="Hyperlink"/>
            <w:noProof/>
          </w:rPr>
          <w:t>4.4.2 The Gap Between Policy Language and Operational Guidance</w:t>
        </w:r>
        <w:r>
          <w:rPr>
            <w:noProof/>
            <w:webHidden/>
          </w:rPr>
          <w:tab/>
          <w:fldChar w:fldCharType="begin"/>
          <w:instrText xml:space="preserve"> PAGEREF _Toc227014928 \h </w:instrText>
          <w:fldChar w:fldCharType="separate"/>
          <w:t>32</w:t>
          <w:fldChar w:fldCharType="end"/>
        </w:r>
      </w:hyperlink>
    </w:p>
    <w:p w14:paraId="0A3536E9" w14:textId="519989E0" w:rsidR="006D5DA2" w:rsidRDefault="006D5DA2">
      <w:pPr>
        <w:pStyle w:val="TOC3"/>
        <w:tabs>
          <w:tab w:val="right" w:leader="dot" w:pos="8990"/>
        </w:tabs>
        <w:rPr>
          <w:noProof/>
        </w:rPr>
      </w:pPr>
      <w:hyperlink w:anchor="_Toc227014929" w:history="1">
        <w:r>
          <w:rPr>
            <w:rStyle w:val="Hyperlink"/>
            <w:noProof/>
          </w:rPr>
          <w:t>4.4.3 Professional Development: Progress and Persistent Limitations</w:t>
        </w:r>
        <w:r>
          <w:rPr>
            <w:noProof/>
            <w:webHidden/>
          </w:rPr>
          <w:tab/>
          <w:fldChar w:fldCharType="begin"/>
          <w:instrText xml:space="preserve"> PAGEREF _Toc227014929 \h </w:instrText>
          <w:fldChar w:fldCharType="separate"/>
          <w:t>33</w:t>
          <w:fldChar w:fldCharType="end"/>
        </w:r>
      </w:hyperlink>
    </w:p>
    <w:p w14:paraId="36883C92" w14:textId="010CC517" w:rsidR="006D5DA2" w:rsidRDefault="006D5DA2">
      <w:pPr>
        <w:pStyle w:val="TOC3"/>
        <w:tabs>
          <w:tab w:val="right" w:leader="dot" w:pos="8990"/>
        </w:tabs>
        <w:rPr>
          <w:noProof/>
        </w:rPr>
      </w:pPr>
      <w:hyperlink w:anchor="_Toc227014930" w:history="1">
        <w:r>
          <w:rPr>
            <w:rStyle w:val="Hyperlink"/>
            <w:noProof/>
          </w:rPr>
          <w:t>4.4.4 The Absence of Monitoring and Accountability Systems</w:t>
        </w:r>
        <w:r>
          <w:rPr>
            <w:noProof/>
            <w:webHidden/>
          </w:rPr>
          <w:tab/>
          <w:fldChar w:fldCharType="begin"/>
          <w:instrText xml:space="preserve"> PAGEREF _Toc227014930 \h </w:instrText>
          <w:fldChar w:fldCharType="separate"/>
          <w:t>34</w:t>
          <w:fldChar w:fldCharType="end"/>
        </w:r>
      </w:hyperlink>
    </w:p>
    <w:p w14:paraId="23888229" w14:textId="0E1FFC2A" w:rsidR="006D5DA2" w:rsidRDefault="006D5DA2">
      <w:pPr>
        <w:pStyle w:val="TOC3"/>
        <w:tabs>
          <w:tab w:val="right" w:leader="dot" w:pos="8990"/>
        </w:tabs>
        <w:rPr>
          <w:noProof/>
        </w:rPr>
      </w:pPr>
      <w:hyperlink w:anchor="_Toc227014931" w:history="1">
        <w:r>
          <w:rPr>
            <w:rStyle w:val="Hyperlink"/>
            <w:noProof/>
          </w:rPr>
          <w:t>4.4.5 Governance Incoherence and Implementation Dynamics</w:t>
        </w:r>
        <w:r>
          <w:rPr>
            <w:noProof/>
            <w:webHidden/>
          </w:rPr>
          <w:tab/>
          <w:fldChar w:fldCharType="begin"/>
          <w:instrText xml:space="preserve"> PAGEREF _Toc227014931 \h </w:instrText>
          <w:fldChar w:fldCharType="separate"/>
          <w:t>35</w:t>
          <w:fldChar w:fldCharType="end"/>
        </w:r>
      </w:hyperlink>
    </w:p>
    <w:p w14:paraId="46F61F8F" w14:textId="79B2CE10" w:rsidR="006D5DA2" w:rsidRDefault="006D5DA2">
      <w:pPr>
        <w:pStyle w:val="TOC2"/>
        <w:tabs>
          <w:tab w:val="right" w:leader="dot" w:pos="8990"/>
        </w:tabs>
        <w:rPr>
          <w:noProof/>
        </w:rPr>
      </w:pPr>
      <w:hyperlink w:anchor="_Toc227014932" w:history="1">
        <w:r>
          <w:rPr>
            <w:rStyle w:val="Hyperlink"/>
            <w:noProof/>
          </w:rPr>
          <w:t>4.5 Evaluation of the Working Hypotheses</w:t>
        </w:r>
        <w:r>
          <w:rPr>
            <w:noProof/>
            <w:webHidden/>
          </w:rPr>
          <w:tab/>
          <w:fldChar w:fldCharType="begin"/>
          <w:instrText xml:space="preserve"> PAGEREF _Toc227014932 \h </w:instrText>
          <w:fldChar w:fldCharType="separate"/>
          <w:t>36</w:t>
          <w:fldChar w:fldCharType="end"/>
        </w:r>
      </w:hyperlink>
    </w:p>
    <w:p w14:paraId="6B25816B" w14:textId="78888B1D" w:rsidR="006D5DA2" w:rsidRDefault="006D5DA2">
      <w:pPr>
        <w:pStyle w:val="TOC2"/>
        <w:tabs>
          <w:tab w:val="right" w:leader="dot" w:pos="8990"/>
        </w:tabs>
        <w:rPr>
          <w:noProof/>
        </w:rPr>
      </w:pPr>
      <w:hyperlink w:anchor="_Toc227014933" w:history="1">
        <w:r>
          <w:rPr>
            <w:rStyle w:val="Hyperlink"/>
            <w:noProof/>
          </w:rPr>
          <w:t>4.6 Summary of Findings</w:t>
        </w:r>
        <w:r>
          <w:rPr>
            <w:noProof/>
            <w:webHidden/>
          </w:rPr>
          <w:tab/>
          <w:fldChar w:fldCharType="begin"/>
          <w:instrText xml:space="preserve"> PAGEREF _Toc227014933 \h </w:instrText>
          <w:fldChar w:fldCharType="separate"/>
          <w:t>38</w:t>
          <w:fldChar w:fldCharType="end"/>
        </w:r>
      </w:hyperlink>
    </w:p>
    <w:p w14:paraId="18E2E939" w14:textId="28B3B258" w:rsidR="006D5DA2" w:rsidRDefault="006D5DA2">
      <w:pPr>
        <w:pStyle w:val="TOC1"/>
        <w:tabs>
          <w:tab w:val="right" w:leader="dot" w:pos="8990"/>
        </w:tabs>
        <w:rPr>
          <w:noProof/>
        </w:rPr>
      </w:pPr>
      <w:hyperlink w:anchor="_Toc227014934" w:history="1">
        <w:r>
          <w:rPr>
            <w:rStyle w:val="Hyperlink"/>
            <w:caps/>
            <w:noProof/>
          </w:rPr>
          <w:t>CHAPTER 5: SUMMARY, CONCLUSION AND RECOMMENDATIONS</w:t>
        </w:r>
        <w:r>
          <w:rPr>
            <w:noProof/>
            <w:webHidden/>
          </w:rPr>
          <w:tab/>
          <w:fldChar w:fldCharType="begin"/>
          <w:instrText xml:space="preserve"> PAGEREF _Toc227014934 \h </w:instrText>
          <w:fldChar w:fldCharType="separate"/>
          <w:t>39</w:t>
          <w:fldChar w:fldCharType="end"/>
        </w:r>
      </w:hyperlink>
    </w:p>
    <w:p w14:paraId="5419F337" w14:textId="3D330C7C" w:rsidR="006D5DA2" w:rsidRDefault="006D5DA2">
      <w:pPr>
        <w:pStyle w:val="TOC2"/>
        <w:tabs>
          <w:tab w:val="right" w:leader="dot" w:pos="8990"/>
        </w:tabs>
        <w:rPr>
          <w:noProof/>
        </w:rPr>
      </w:pPr>
      <w:hyperlink w:anchor="_Toc227014935" w:history="1">
        <w:r>
          <w:rPr>
            <w:rStyle w:val="Hyperlink"/>
            <w:noProof/>
          </w:rPr>
          <w:t>5.1 Introduction</w:t>
        </w:r>
        <w:r>
          <w:rPr>
            <w:noProof/>
            <w:webHidden/>
          </w:rPr>
          <w:tab/>
          <w:fldChar w:fldCharType="begin"/>
          <w:instrText xml:space="preserve"> PAGEREF _Toc227014935 \h </w:instrText>
          <w:fldChar w:fldCharType="separate"/>
          <w:t>39</w:t>
          <w:fldChar w:fldCharType="end"/>
        </w:r>
      </w:hyperlink>
    </w:p>
    <w:p w14:paraId="02947813" w14:textId="51990FBB" w:rsidR="006D5DA2" w:rsidRDefault="006D5DA2">
      <w:pPr>
        <w:pStyle w:val="TOC2"/>
        <w:tabs>
          <w:tab w:val="right" w:leader="dot" w:pos="8990"/>
        </w:tabs>
        <w:rPr>
          <w:noProof/>
        </w:rPr>
      </w:pPr>
      <w:hyperlink w:anchor="_Toc227014936" w:history="1">
        <w:r>
          <w:rPr>
            <w:rStyle w:val="Hyperlink"/>
            <w:noProof/>
          </w:rPr>
          <w:t>5.2 Summary of the Study</w:t>
        </w:r>
        <w:r>
          <w:rPr>
            <w:noProof/>
            <w:webHidden/>
          </w:rPr>
          <w:tab/>
          <w:fldChar w:fldCharType="begin"/>
          <w:instrText xml:space="preserve"> PAGEREF _Toc227014936 \h </w:instrText>
          <w:fldChar w:fldCharType="separate"/>
          <w:t>39</w:t>
          <w:fldChar w:fldCharType="end"/>
        </w:r>
      </w:hyperlink>
    </w:p>
    <w:p w14:paraId="14CF2462" w14:textId="4C65E737" w:rsidR="006D5DA2" w:rsidRDefault="006D5DA2">
      <w:pPr>
        <w:pStyle w:val="TOC2"/>
        <w:tabs>
          <w:tab w:val="right" w:leader="dot" w:pos="8990"/>
        </w:tabs>
        <w:rPr>
          <w:noProof/>
        </w:rPr>
      </w:pPr>
      <w:hyperlink w:anchor="_Toc227014937" w:history="1">
        <w:r>
          <w:rPr>
            <w:rStyle w:val="Hyperlink"/>
            <w:noProof/>
          </w:rPr>
          <w:t>5.3 Conclusions</w:t>
        </w:r>
        <w:r>
          <w:rPr>
            <w:noProof/>
            <w:webHidden/>
          </w:rPr>
          <w:tab/>
          <w:fldChar w:fldCharType="begin"/>
          <w:instrText xml:space="preserve"> PAGEREF _Toc227014937 \h </w:instrText>
          <w:fldChar w:fldCharType="separate"/>
          <w:t>40</w:t>
          <w:fldChar w:fldCharType="end"/>
        </w:r>
      </w:hyperlink>
    </w:p>
    <w:p w14:paraId="69B36EE9" w14:textId="21E459F3" w:rsidR="006D5DA2" w:rsidRDefault="006D5DA2">
      <w:pPr>
        <w:pStyle w:val="TOC2"/>
        <w:tabs>
          <w:tab w:val="right" w:leader="dot" w:pos="8990"/>
        </w:tabs>
        <w:rPr>
          <w:noProof/>
        </w:rPr>
      </w:pPr>
      <w:hyperlink w:anchor="_Toc227014938" w:history="1">
        <w:r>
          <w:rPr>
            <w:rStyle w:val="Hyperlink"/>
            <w:noProof/>
          </w:rPr>
          <w:t>5.4 Recommendations</w:t>
        </w:r>
        <w:r>
          <w:rPr>
            <w:noProof/>
            <w:webHidden/>
          </w:rPr>
          <w:tab/>
          <w:fldChar w:fldCharType="begin"/>
          <w:instrText xml:space="preserve"> PAGEREF _Toc227014938 \h </w:instrText>
          <w:fldChar w:fldCharType="separate"/>
          <w:t>42</w:t>
          <w:fldChar w:fldCharType="end"/>
        </w:r>
      </w:hyperlink>
    </w:p>
    <w:p w14:paraId="23B2D10A" w14:textId="60BE173B" w:rsidR="006D5DA2" w:rsidRDefault="006D5DA2">
      <w:pPr>
        <w:pStyle w:val="TOC2"/>
        <w:tabs>
          <w:tab w:val="right" w:leader="dot" w:pos="8990"/>
        </w:tabs>
        <w:rPr>
          <w:noProof/>
        </w:rPr>
      </w:pPr>
      <w:hyperlink w:anchor="_Toc227014939" w:history="1">
        <w:r>
          <w:rPr>
            <w:rStyle w:val="Hyperlink"/>
            <w:noProof/>
          </w:rPr>
          <w:t>5.5 Limitations of the Study</w:t>
        </w:r>
        <w:r>
          <w:rPr>
            <w:noProof/>
            <w:webHidden/>
          </w:rPr>
          <w:tab/>
          <w:fldChar w:fldCharType="begin"/>
          <w:instrText xml:space="preserve"> PAGEREF _Toc227014939 \h </w:instrText>
          <w:fldChar w:fldCharType="separate"/>
          <w:t>44</w:t>
          <w:fldChar w:fldCharType="end"/>
        </w:r>
      </w:hyperlink>
    </w:p>
    <w:p w14:paraId="1E0A31CB" w14:textId="20D85B53" w:rsidR="006D5DA2" w:rsidRDefault="006D5DA2">
      <w:pPr>
        <w:pStyle w:val="TOC2"/>
        <w:tabs>
          <w:tab w:val="right" w:leader="dot" w:pos="8990"/>
        </w:tabs>
        <w:rPr>
          <w:noProof/>
        </w:rPr>
      </w:pPr>
      <w:hyperlink w:anchor="_Toc227014940" w:history="1">
        <w:r>
          <w:rPr>
            <w:rStyle w:val="Hyperlink"/>
            <w:noProof/>
          </w:rPr>
          <w:t>5.6 Suggestions for Further Research</w:t>
        </w:r>
        <w:r>
          <w:rPr>
            <w:noProof/>
            <w:webHidden/>
          </w:rPr>
          <w:tab/>
          <w:fldChar w:fldCharType="begin"/>
          <w:instrText xml:space="preserve"> PAGEREF _Toc227014940 \h </w:instrText>
          <w:fldChar w:fldCharType="separate"/>
          <w:t>44</w:t>
          <w:fldChar w:fldCharType="end"/>
        </w:r>
      </w:hyperlink>
    </w:p>
    <w:p w14:paraId="08250554" w14:textId="1D9A61B5" w:rsidR="006D5DA2" w:rsidRDefault="006D5DA2">
      <w:pPr>
        <w:pStyle w:val="TOC2"/>
        <w:tabs>
          <w:tab w:val="right" w:leader="dot" w:pos="8990"/>
        </w:tabs>
        <w:rPr>
          <w:noProof/>
        </w:rPr>
      </w:pPr>
      <w:hyperlink w:anchor="_Toc227014941" w:history="1">
        <w:r>
          <w:rPr>
            <w:rStyle w:val="Hyperlink"/>
            <w:noProof/>
          </w:rPr>
          <w:t>5.7 Final Reflection</w:t>
        </w:r>
        <w:r>
          <w:rPr>
            <w:noProof/>
            <w:webHidden/>
          </w:rPr>
          <w:tab/>
          <w:fldChar w:fldCharType="begin"/>
          <w:instrText xml:space="preserve"> PAGEREF _Toc227014941 \h </w:instrText>
          <w:fldChar w:fldCharType="separate"/>
          <w:t>45</w:t>
          <w:fldChar w:fldCharType="end"/>
        </w:r>
      </w:hyperlink>
    </w:p>
    <w:p w14:paraId="0F4A0D0F" w14:textId="7B309C64" w:rsidR="006D5DA2" w:rsidRDefault="006D5DA2">
      <w:pPr>
        <w:pStyle w:val="TOC1"/>
        <w:tabs>
          <w:tab w:val="right" w:leader="dot" w:pos="8990"/>
        </w:tabs>
        <w:rPr>
          <w:noProof/>
        </w:rPr>
      </w:pPr>
      <w:hyperlink w:anchor="_Toc227014942" w:history="1">
        <w:r>
          <w:rPr>
            <w:rStyle w:val="Hyperlink"/>
            <w:caps/>
            <w:noProof/>
          </w:rPr>
          <w:t>REFERENCES</w:t>
        </w:r>
        <w:r>
          <w:rPr>
            <w:noProof/>
            <w:webHidden/>
          </w:rPr>
          <w:tab/>
          <w:fldChar w:fldCharType="begin"/>
          <w:instrText xml:space="preserve"> PAGEREF _Toc227014942 \h </w:instrText>
          <w:fldChar w:fldCharType="separate"/>
          <w:t>47</w:t>
          <w:fldChar w:fldCharType="end"/>
        </w:r>
      </w:hyperlink>
    </w:p>
    <w:p w14:paraId="26E3AC00" w14:textId="1CD931D8" w:rsidR="006D5DA2" w:rsidRDefault="006D5DA2">
      <w:pPr>
        <w:pStyle w:val="TOC1"/>
        <w:tabs>
          <w:tab w:val="right" w:leader="dot" w:pos="8990"/>
        </w:tabs>
        <w:rPr>
          <w:noProof/>
        </w:rPr>
      </w:pPr>
      <w:hyperlink w:anchor="_Toc227014943" w:history="1">
        <w:r>
          <w:rPr>
            <w:rStyle w:val="Hyperlink"/>
            <w:caps/>
            <w:noProof/>
          </w:rPr>
          <w:t>APPENDIX A: KEY PROVISIONS OF THE DRAFT INCLUSION POLICY FOR SEN, GUYANA (2010)</w:t>
        </w:r>
        <w:r>
          <w:rPr>
            <w:noProof/>
            <w:webHidden/>
          </w:rPr>
          <w:tab/>
          <w:fldChar w:fldCharType="begin"/>
          <w:instrText xml:space="preserve"> PAGEREF _Toc227014943 \h </w:instrText>
          <w:fldChar w:fldCharType="separate"/>
          <w:t>52</w:t>
          <w:fldChar w:fldCharType="end"/>
        </w:r>
      </w:hyperlink>
    </w:p>
    <w:p w14:paraId="074A54A5" w14:textId="3C4BBEBF" w:rsidR="006D5DA2" w:rsidRDefault="006D5DA2">
      <w:pPr>
        <w:pStyle w:val="TOC1"/>
        <w:tabs>
          <w:tab w:val="right" w:leader="dot" w:pos="8990"/>
        </w:tabs>
        <w:rPr>
          <w:noProof/>
        </w:rPr>
      </w:pPr>
      <w:hyperlink w:anchor="_Toc227014944" w:history="1">
        <w:r>
          <w:rPr>
            <w:rStyle w:val="Hyperlink"/>
            <w:caps/>
            <w:noProof/>
          </w:rPr>
          <w:t>APPENDIX B: CORE DOCUMENTS ANALYSED</w:t>
        </w:r>
        <w:r>
          <w:rPr>
            <w:noProof/>
            <w:webHidden/>
          </w:rPr>
          <w:tab/>
          <w:fldChar w:fldCharType="begin"/>
          <w:instrText xml:space="preserve"> PAGEREF _Toc227014944 \h </w:instrText>
          <w:fldChar w:fldCharType="separate"/>
          <w:t>54</w:t>
          <w:fldChar w:fldCharType="end"/>
        </w:r>
      </w:hyperlink>
    </w:p>
    <w:p w14:paraId="499DECD9" w14:textId="260B838C" w:rsidR="006D5DA2" w:rsidRDefault="006D5DA2">
      <w:pPr>
        <w:pStyle w:val="TOC1"/>
        <w:tabs>
          <w:tab w:val="right" w:leader="dot" w:pos="8990"/>
        </w:tabs>
        <w:rPr>
          <w:noProof/>
        </w:rPr>
      </w:pPr>
      <w:hyperlink w:anchor="_Toc227014945" w:history="1">
        <w:r>
          <w:rPr>
            <w:rStyle w:val="Hyperlink"/>
            <w:caps/>
            <w:noProof/>
          </w:rPr>
          <w:t>APPENDIX C: STRUCTURED DOCUMENT ANALYSIS FRAMEWORK</w:t>
        </w:r>
        <w:r>
          <w:rPr>
            <w:noProof/>
            <w:webHidden/>
          </w:rPr>
          <w:tab/>
          <w:fldChar w:fldCharType="begin"/>
          <w:instrText xml:space="preserve"> PAGEREF _Toc227014945 \h </w:instrText>
          <w:fldChar w:fldCharType="separate"/>
          <w:t>56</w:t>
          <w:fldChar w:fldCharType="end"/>
        </w:r>
      </w:hyperlink>
    </w:p>
    <w:p w14:paraId="221681CB" w14:textId="4A940F6E" w:rsidR="00D301B0" w:rsidRDefault="00000000">
      <w:r>
        <w:fldChar w:fldCharType="end"/>
      </w:r>
    </w:p>
    <w:p w14:paraId="547E1612" w14:textId="77777777" w:rsidR="00D301B0" w:rsidRDefault="00000000">
      <w:r>
        <w:br w:type="page"/>
      </w:r>
    </w:p>
    <w:p w14:paraId="04219BC4" w14:textId="77777777" w:rsidR="00D301B0" w:rsidRDefault="00000000">
      <w:pPr>
        <w:pStyle w:val="Heading1"/>
      </w:pPr>
      <w:bookmarkStart w:id="4" w:name="_Toc227014886"/>
      <w:r>
        <w:rPr>
          <w:caps/>
        </w:rPr>
        <w:lastRenderedPageBreak/>
        <w:t>LIST OF TABLES</w:t>
      </w:r>
      <w:bookmarkEnd w:id="4"/>
    </w:p>
    <w:p w14:paraId="1004B6BD" w14:textId="3C855A5F" w:rsidR="00412870" w:rsidRPr="00412870" w:rsidRDefault="007E7A00">
      <w:pPr>
        <w:pStyle w:val="TableofFigures"/>
        <w:tabs>
          <w:tab w:val="right" w:leader="dot" w:pos="8990"/>
        </w:tabs>
        <w:rPr>
          <w:rFonts w:asciiTheme="minorHAnsi" w:eastAsiaTheme="minorEastAsia" w:hAnsiTheme="minorHAnsi" w:cstheme="minorBidi"/>
          <w:noProof/>
          <w:kern w:val="2"/>
          <w14:ligatures w14:val="standardContextual"/>
        </w:rPr>
      </w:pPr>
      <w:r>
        <w:fldChar w:fldCharType="begin"/>
        <w:instrText xml:space="preserve"> TOC \h \z \c "Table 4.0" </w:instrText>
        <w:fldChar w:fldCharType="separate"/>
      </w:r>
      <w:hyperlink w:anchor="_Toc227016104" w:history="1">
        <w:r>
          <w:rPr>
            <w:rStyle w:val="Hyperlink"/>
            <w:noProof/>
          </w:rPr>
          <w:t>Table 4.01: Alignment of the Draft Inclusion Policy with International Frameworks</w:t>
        </w:r>
        <w:r>
          <w:rPr>
            <w:noProof/>
            <w:webHidden/>
          </w:rPr>
          <w:tab/>
          <w:fldChar w:fldCharType="begin"/>
          <w:instrText xml:space="preserve"> PAGEREF _Toc227016104 \h </w:instrText>
          <w:fldChar w:fldCharType="separate"/>
          <w:t>27</w:t>
          <w:fldChar w:fldCharType="end"/>
        </w:r>
      </w:hyperlink>
    </w:p>
    <w:p w14:paraId="1FE32975" w14:textId="15330F33" w:rsidR="00412870" w:rsidRPr="00412870" w:rsidRDefault="00412870">
      <w:pPr>
        <w:pStyle w:val="TableofFigures"/>
        <w:tabs>
          <w:tab w:val="right" w:leader="dot" w:pos="8990"/>
        </w:tabs>
        <w:rPr>
          <w:rFonts w:asciiTheme="minorHAnsi" w:eastAsiaTheme="minorEastAsia" w:hAnsiTheme="minorHAnsi" w:cstheme="minorBidi"/>
          <w:noProof/>
          <w:kern w:val="2"/>
          <w14:ligatures w14:val="standardContextual"/>
        </w:rPr>
      </w:pPr>
      <w:hyperlink w:anchor="_Toc227016105" w:history="1">
        <w:r>
          <w:rPr>
            <w:rStyle w:val="Hyperlink"/>
            <w:noProof/>
          </w:rPr>
          <w:t>Table 4.02: Operationalisation of Policy-Specified Institutional Mechanisms</w:t>
        </w:r>
        <w:r>
          <w:rPr>
            <w:noProof/>
            <w:webHidden/>
          </w:rPr>
          <w:tab/>
          <w:fldChar w:fldCharType="begin"/>
          <w:instrText xml:space="preserve"> PAGEREF _Toc227016105 \h </w:instrText>
          <w:fldChar w:fldCharType="separate"/>
          <w:t>31</w:t>
          <w:fldChar w:fldCharType="end"/>
        </w:r>
      </w:hyperlink>
    </w:p>
    <w:p w14:paraId="360C668A" w14:textId="68BA3B34" w:rsidR="00D301B0" w:rsidRPr="00412870" w:rsidRDefault="007E7A00">
      <w:r>
        <w:fldChar w:fldCharType="end"/>
      </w:r>
    </w:p>
    <w:p w14:paraId="14C67C80" w14:textId="77777777" w:rsidR="00D301B0" w:rsidRDefault="00000000">
      <w:r>
        <w:br w:type="page"/>
      </w:r>
    </w:p>
    <w:p w14:paraId="1DA2EF1A" w14:textId="77777777" w:rsidR="00D301B0" w:rsidRDefault="00000000" w:rsidP="006D5DA2">
      <w:pPr>
        <w:pStyle w:val="Heading1"/>
        <w:spacing w:line="360" w:lineRule="auto"/>
      </w:pPr>
      <w:bookmarkStart w:id="5" w:name="_Toc227014887"/>
      <w:r>
        <w:rPr>
          <w:caps/>
        </w:rPr>
        <w:lastRenderedPageBreak/>
        <w:t>ABSTRACT</w:t>
      </w:r>
      <w:bookmarkEnd w:id="5"/>
    </w:p>
    <w:p w14:paraId="0EBB7F8E" w14:textId="77777777" w:rsidR="00D301B0" w:rsidRDefault="00000000" w:rsidP="006D5DA2">
      <w:pPr>
        <w:spacing w:after="200" w:line="360" w:lineRule="auto"/>
        <w:ind w:firstLine="720"/>
        <w:jc w:val="both"/>
      </w:pPr>
      <w:r>
        <w:t>This dissertation conducts a desktop analysis of the Draft Inclusion Policy for Special Educational Needs (Ministry of Education Guyana, 2010), evaluating its adequacy as a policy instrument for inclusive education in Guyana. Through systematic document analysis (Bowen, 2009), the study assesses the policy's alignment with international inclusive education standards, the implementation of its institutional provisions, and the structural factors that sustain the gap between policy aspiration and practice.</w:t>
      </w:r>
    </w:p>
    <w:p w14:paraId="4A192C86" w14:textId="77777777" w:rsidR="00D301B0" w:rsidRDefault="00000000" w:rsidP="006D5DA2">
      <w:pPr>
        <w:spacing w:after="200" w:line="360" w:lineRule="auto"/>
        <w:ind w:firstLine="720"/>
        <w:jc w:val="both"/>
      </w:pPr>
      <w:r>
        <w:t>Four research questions and a set of working propositions formulated within the naturalistic inquiry tradition (Lincoln and Guba, 1985) guide the study. The central proposition holds that the Draft Inclusion Policy's conceptual alignment with international standards coexists with significant structural limitations arising from its unadopted status, institutional capacity constraints, and the absence of disability-specific operational guidance. Each proposition is evaluated through iterative engagement with the documentary evidence, yielding qualified refinements rather than categorical verdicts.</w:t>
      </w:r>
    </w:p>
    <w:p w14:paraId="42CDE486" w14:textId="77777777" w:rsidR="00D301B0" w:rsidRDefault="00000000" w:rsidP="006D5DA2">
      <w:pPr>
        <w:spacing w:after="200" w:line="360" w:lineRule="auto"/>
        <w:ind w:firstLine="720"/>
        <w:jc w:val="both"/>
      </w:pPr>
      <w:r>
        <w:t>A structured comparison across seven thematic dimensions reveals substantial alignment between the Draft Inclusion Policy and the Salamanca Statement (UNESCO, 1994) at the level of values and rights-based commitment, but this alignment weakens at the level of operational specificity and does not extend to the contemporary requirements of General Comment No. 4 (Committee on the Rights of Persons with Disabilities, 2016) — most obviously reasonable accommodation and Universal Design for Learning. The policy's enduring unadopted status constrains its institutional authority, though enacted legislation, including the Persons with Disabilities Act 2010, creates binding legal obligations that coexist with the absent operational policy.</w:t>
      </w:r>
    </w:p>
    <w:p w14:paraId="6FC4CC55" w14:textId="77777777" w:rsidR="00D301B0" w:rsidRDefault="00000000" w:rsidP="006D5DA2">
      <w:pPr>
        <w:spacing w:after="200" w:line="360" w:lineRule="auto"/>
        <w:ind w:firstLine="720"/>
        <w:jc w:val="both"/>
      </w:pPr>
      <w:r>
        <w:t>An implementation matrix mapping eight policy-specified institutional mechanisms against documentary evidence reveals selective and uneven enactment. Recent developments — including the graduation of fifty-one SEND-qualified teachers (October 2024) and the establishment of thirty dedicated SEND spaces across nine regions — show greater institutional progress than the policy's draft status would predict. Lipsky's (2010) street-level bureaucracy model explains this pattern: in the absence of centralised policy authority, frontline practitioners have become the de facto policymakers, producing localised progress that is real but fragmented.</w:t>
      </w:r>
    </w:p>
    <w:p w14:paraId="6BDFC90B" w14:textId="77777777" w:rsidR="00D301B0" w:rsidRDefault="00000000" w:rsidP="006D5DA2">
      <w:pPr>
        <w:spacing w:after="200" w:line="360" w:lineRule="auto"/>
        <w:ind w:firstLine="720"/>
        <w:jc w:val="both"/>
      </w:pPr>
      <w:r>
        <w:t>The study concludes that inclusive education in Guyana is characterised not by simple policy failure but by partial and uncoordinated institutionalisation driven by bottom-up practitioner initiative rather than centralised reform. Five structural factors interact to sustain this pattern: the unadopted policy alongside binding but operationally unguided legislation; the gap between social model language and medical model classroom practice (Lashley, 2024); limitations in professional development despite recent momentum; the absence of monitoring and data infrastructure; and governance incoherence between strategic ambition and operational capacity. Five evidence-based recommendations are set out, beginning with formal policy adoption as the foundational reform upon which all others depend.</w:t>
      </w:r>
    </w:p>
    <w:p w14:paraId="0330A80E" w14:textId="77777777" w:rsidR="00D301B0" w:rsidRDefault="00D301B0" w:rsidP="006D5DA2">
      <w:pPr>
        <w:spacing w:line="360" w:lineRule="auto"/>
      </w:pPr>
    </w:p>
    <w:p w14:paraId="7CABDAB4" w14:textId="77777777" w:rsidR="00D301B0" w:rsidRDefault="00000000" w:rsidP="006D5DA2">
      <w:pPr>
        <w:spacing w:after="200" w:line="360" w:lineRule="auto"/>
        <w:jc w:val="both"/>
      </w:pPr>
      <w:r>
        <w:t>Keywords: inclusive education, special educational needs, policy implementation, Guyana, document analysis, policy-practice gap, institutional capacity.</w:t>
      </w:r>
    </w:p>
    <w:p w14:paraId="67F21F61" w14:textId="77777777" w:rsidR="00D301B0" w:rsidRDefault="00D301B0" w:rsidP="006D5DA2">
      <w:pPr>
        <w:spacing w:line="360" w:lineRule="auto"/>
        <w:sectPr w:rsidR="00D301B0">
          <w:footerReference w:type="default" r:id="rId9"/>
          <w:pgSz w:w="12240" w:h="15840"/>
          <w:pgMar w:top="1440" w:right="1440" w:bottom="1440" w:left="1800" w:header="708" w:footer="708" w:gutter="0"/>
          <w:pgNumType w:fmt="lowerRoman" w:start="2"/>
          <w:cols w:space="720"/>
        </w:sectPr>
      </w:pPr>
    </w:p>
    <w:p w14:paraId="4EAAC3E6" w14:textId="77777777" w:rsidR="00D301B0" w:rsidRDefault="00000000" w:rsidP="006D5DA2">
      <w:pPr>
        <w:pStyle w:val="Heading1"/>
        <w:spacing w:line="360" w:lineRule="auto"/>
      </w:pPr>
      <w:bookmarkStart w:id="6" w:name="_Toc227014888"/>
      <w:r>
        <w:rPr>
          <w:caps/>
        </w:rPr>
        <w:lastRenderedPageBreak/>
        <w:t>CHAPTER 1: INTRODUCTION</w:t>
      </w:r>
      <w:bookmarkEnd w:id="6"/>
    </w:p>
    <w:p w14:paraId="082A2B78" w14:textId="77777777" w:rsidR="00D301B0" w:rsidRDefault="00000000" w:rsidP="006D5DA2">
      <w:pPr>
        <w:pStyle w:val="Heading2"/>
        <w:spacing w:line="360" w:lineRule="auto"/>
      </w:pPr>
      <w:bookmarkStart w:id="7" w:name="_Toc227014889"/>
      <w:r>
        <w:t>1.1 Background to the Study</w:t>
      </w:r>
      <w:bookmarkEnd w:id="7"/>
    </w:p>
    <w:p w14:paraId="54D2570F" w14:textId="77777777" w:rsidR="00D301B0" w:rsidRDefault="00000000" w:rsidP="006D5DA2">
      <w:pPr>
        <w:spacing w:after="200" w:line="360" w:lineRule="auto"/>
        <w:ind w:firstLine="720"/>
        <w:jc w:val="both"/>
      </w:pPr>
      <w:r>
        <w:t>Inclusive education has become a central concern of contemporary educational policy worldwide, representing a fundamental shift toward equity, access, and social justice in educational provision. At its core lies the proposition that all learners, irrespective of physical, intellectual, emotional, or social characteristics, possess an equal right to participate in educational systems designed to recognise and accommodate human diversity. A succession of international instruments has given this principle formal expression. The UNESCO Salamanca Statement and Framework for Action on Special Needs Education (UNESCO, 1994) articulated the view that inclusive schooling should be the norm rather than the exception, and that special needs education should form an integral part of an overall educational programme. The United Nations Convention on the Rights of Persons with Disabilities (United Nations, 2006) consolidated the international legal basis for inclusive education by affirming the right of persons with disabilities to an inclusive education system at all levels, free from discrimination and exclusion.</w:t>
      </w:r>
    </w:p>
    <w:p w14:paraId="2462CAB2" w14:textId="77777777" w:rsidR="00D301B0" w:rsidRDefault="00000000" w:rsidP="006D5DA2">
      <w:pPr>
        <w:spacing w:after="200" w:line="360" w:lineRule="auto"/>
        <w:ind w:firstLine="720"/>
        <w:jc w:val="both"/>
      </w:pPr>
      <w:r>
        <w:t>Historically, education systems across the world excluded or segregated learners with disabilities. The prevailing logic of earlier provision, shaped by what scholars describe as the medical model, conceptualised disability as an intrinsic individual deficiency requiring remediation or containment rather than systemic accommodation (Slee, 2011). Under this paradigm, learners with special educational needs were routinely placed in separate institutions or withdrawn from mainstream settings — a practice that reinforced their social marginalisation and foreclosed many developmental and civic possibilities. The social model of disability drove the transformation of this paradigm, reframing disability not as individual pathology but as a social and structural phenomenon. Barriers to full participation were located in the design of environments, institutions, and cultural norms rather than within individuals themselves (Oliver, 1990; Slee, 2011).</w:t>
      </w:r>
    </w:p>
    <w:p w14:paraId="7D06C5E2" w14:textId="77777777" w:rsidR="00D301B0" w:rsidRDefault="00000000" w:rsidP="006D5DA2">
      <w:pPr>
        <w:spacing w:after="200" w:line="360" w:lineRule="auto"/>
        <w:ind w:firstLine="720"/>
        <w:jc w:val="both"/>
      </w:pPr>
      <w:r>
        <w:t>Translating inclusive education from principle into practice has proved considerably more complex than its theoretical articulation suggests. Even in countries with long-established legislative structures and relatively strong institutional capacity, the translation of inclusive principles into consistent classroom practice remains a persistent challenge (Ainscow, 2020). The literature documents recurring tensions between the aspirational language of inclusion endorsed at policy level and the institutional realities that shape how schools and teachers respond to learner diversity. In developing country contexts, these tensions are compounded: competing educational priorities, resource constraints, and gaps in professional preparation create additional and qualitatively distinct barriers to implementation (Engelbrecht, 2020).</w:t>
      </w:r>
    </w:p>
    <w:p w14:paraId="07E26A4A" w14:textId="77777777" w:rsidR="00D301B0" w:rsidRDefault="00000000" w:rsidP="006D5DA2">
      <w:pPr>
        <w:spacing w:after="200" w:line="360" w:lineRule="auto"/>
        <w:ind w:firstLine="720"/>
        <w:jc w:val="both"/>
      </w:pPr>
      <w:r>
        <w:t>Within the Caribbean, debates around inclusive education have unfolded in systems simultaneously facing curriculum reform pressures, teacher shortages, geographic disparities in service delivery, and broader development challenges (Miles and Singal, 2010; Peters, 2007). Guyana represents a particularly instructive case. Its education system combines policy commitment, strategic planning, and practical experimentation with unresolved structural limitations — making it a productive site for examining how inclusive education policy develops in contexts of constrained capacity and partial institutionalisation.</w:t>
      </w:r>
    </w:p>
    <w:p w14:paraId="14143DAD" w14:textId="77777777" w:rsidR="00D301B0" w:rsidRDefault="00000000" w:rsidP="006D5DA2">
      <w:pPr>
        <w:spacing w:after="200" w:line="360" w:lineRule="auto"/>
        <w:ind w:firstLine="720"/>
        <w:jc w:val="both"/>
      </w:pPr>
      <w:r>
        <w:t>The Draft Inclusion Policy for Special Educational Needs, issued by the Ministry of Education Guyana in December 2010, is the central instrument through which the Guyanese state has sought to articulate a structure for inclusive education (Ministry of Education Guyana, 2010). The policy was produced through Voluntary Services Overseas (VSO) technical assistance, authored by VSO SEN Adviser Beryl Lockwood through the National Centre for Educational Resource Development (NCERD). This provenance raises questions about the degree to which its conceptual basis reflects indigenous institutional conditions and educational cultures — a concern Walton (2018) identifies as recurring in postcolonial inclusive education policy development. That the document remains unadopted more than fifteen years after its production raises fundamental questions about the relationship between policy design, institutional will, and implementation capacity (Pressman and Wildavsky, 1973).</w:t>
      </w:r>
    </w:p>
    <w:p w14:paraId="678ED071" w14:textId="77777777" w:rsidR="00D301B0" w:rsidRDefault="00000000" w:rsidP="006D5DA2">
      <w:pPr>
        <w:pStyle w:val="Heading2"/>
        <w:spacing w:line="360" w:lineRule="auto"/>
      </w:pPr>
      <w:bookmarkStart w:id="8" w:name="_Toc227014890"/>
      <w:r>
        <w:lastRenderedPageBreak/>
        <w:t>1.2 Statement of the Problem</w:t>
      </w:r>
      <w:bookmarkEnd w:id="8"/>
    </w:p>
    <w:p w14:paraId="6CDF5A89" w14:textId="77777777" w:rsidR="00D301B0" w:rsidRDefault="00000000" w:rsidP="006D5DA2">
      <w:pPr>
        <w:spacing w:after="200" w:line="360" w:lineRule="auto"/>
        <w:ind w:firstLine="720"/>
        <w:jc w:val="both"/>
      </w:pPr>
      <w:r>
        <w:t>Despite considerable international momentum toward inclusive education, the situation in Guyana remains characterised by significant fragmentation and structural incompleteness. The scale of this challenge is reflected in the available statistical record. The 2002 national census found that 6.4 per cent of the population (approximately 48,419 individuals) reported some form of disability, of whom 5,842 were under fifteen years of age (Ministry of Education Guyana, 2010, Appendix C). Contemporary estimates suggest the true figure is substantially higher: the World Bank (2023) reports that disability prevalence across the Anglophone Caribbean, which includes Guyana, is approximately 15 per cent, while the regional estimate for Latin America and the Caribbean is 14.7 per cent, both consistent with the WHO global estimate of approximately 15 per cent. Yet the policy itself acknowledged that "a high proportion of children with Special Needs are not exposed to any form of education" (Ministry of Education Guyana, 2010, Foreword). This is not an administrative observation; it represents a rights violation affecting identifiable children within the Guyanese system.</w:t>
      </w:r>
    </w:p>
    <w:p w14:paraId="4FA131A7" w14:textId="77777777" w:rsidR="00D301B0" w:rsidRDefault="00000000" w:rsidP="006D5DA2">
      <w:pPr>
        <w:spacing w:after="200" w:line="360" w:lineRule="auto"/>
        <w:ind w:firstLine="720"/>
        <w:jc w:val="both"/>
      </w:pPr>
      <w:r>
        <w:t>The most consequential structural problem is the Draft Inclusion Policy’s continued status as an unadopted instrument. More than fifteen years after its production, the document has not been enacted as binding national policy. This situation creates a fundamental governance deficit: the absence of a formally adopted policy framework means that inclusive education lacks the legal and institutional authority necessary to mandate consistent implementation, establish binding accountability mechanisms, and direct resource allocation coherently (Pressman and Wildavsky, 1973). The policy's own foreword recorded an expectation that "by the end of 2021 the policy is presented and accepted by the public and approved by the authorities" (Ministry of Education Guyana, 2010, Foreword), a target that was not met and that remained unfulfilled at the time of this study.</w:t>
      </w:r>
    </w:p>
    <w:p w14:paraId="75FAC57B" w14:textId="77777777" w:rsidR="00D301B0" w:rsidRDefault="00000000" w:rsidP="006D5DA2">
      <w:pPr>
        <w:spacing w:after="200" w:line="360" w:lineRule="auto"/>
        <w:ind w:firstLine="720"/>
        <w:jc w:val="both"/>
      </w:pPr>
      <w:r>
        <w:t>A related dimension of the problem concerns the specificity of implementation guidance. The Draft Inclusion Policy employs a broad conception of special educational needs that, while inclusive in spirit, does not provide the disability-specific provisions necessary to guide effective pedagogical and support responses for learners with different conditions (Mitchell, 2015). A structural inconsistency compounds this gap: the Education Strategic Plan 2021–2025 identifies equity, access, and support for vulnerable learners as central national priorities, yet this strategic ambition rests on a policy foundation that has not been finalised, creating a disconnect between high-level planning and the operational structure required to give that planning institutional effect (Ministry of Education Guyana, 2021; Fullan, 2007). These problems are not merely technical; they reflect deeper questions about how inclusion is conceptualised, authorised, and sustained within a developing educational system.</w:t>
      </w:r>
    </w:p>
    <w:p w14:paraId="3076FC84" w14:textId="77777777" w:rsidR="00D301B0" w:rsidRDefault="00000000" w:rsidP="006D5DA2">
      <w:pPr>
        <w:pStyle w:val="Heading2"/>
        <w:spacing w:line="360" w:lineRule="auto"/>
      </w:pPr>
      <w:bookmarkStart w:id="9" w:name="_Toc227014891"/>
      <w:r>
        <w:t>1.3 Aim and Objectives of the Study</w:t>
      </w:r>
      <w:bookmarkEnd w:id="9"/>
    </w:p>
    <w:p w14:paraId="5FC21EF4" w14:textId="77777777" w:rsidR="00D301B0" w:rsidRDefault="00000000" w:rsidP="006D5DA2">
      <w:pPr>
        <w:spacing w:after="200" w:line="360" w:lineRule="auto"/>
        <w:ind w:firstLine="720"/>
        <w:jc w:val="both"/>
      </w:pPr>
      <w:r>
        <w:t>The overarching aim of this study is to conduct a desktop analysis of the Draft Inclusion Policy for Special Educational Needs (Ministry of Education Guyana, 2010), evaluating its adequacy as a policy instrument for inclusive education and identifying the structural conditions that mediate the gap between policy intention and implementation practice. Five specific objectives guide this aim:</w:t>
      </w:r>
    </w:p>
    <w:p w14:paraId="352A7007" w14:textId="77777777" w:rsidR="00D301B0" w:rsidRDefault="00000000" w:rsidP="006D5DA2">
      <w:pPr>
        <w:numPr>
          <w:ilvl w:val="0"/>
          <w:numId w:val="2"/>
        </w:numPr>
        <w:spacing w:after="120" w:line="360" w:lineRule="auto"/>
        <w:jc w:val="both"/>
      </w:pPr>
      <w:r>
        <w:t>To evaluate the extent to which the Draft Inclusion Policy (2010) aligns with the principles and operational requirements of international inclusive education frameworks, including the UNESCO Salamanca Statement (1994), the United Nations Convention on the Rights of Persons with Disabilities (2006), and General Comment No. 4 on Article 24 (2016).</w:t>
      </w:r>
    </w:p>
    <w:p w14:paraId="381879E9" w14:textId="77777777" w:rsidR="00D301B0" w:rsidRDefault="00000000" w:rsidP="006D5DA2">
      <w:pPr>
        <w:numPr>
          <w:ilvl w:val="0"/>
          <w:numId w:val="2"/>
        </w:numPr>
        <w:spacing w:after="120" w:line="360" w:lineRule="auto"/>
        <w:jc w:val="both"/>
      </w:pPr>
      <w:r>
        <w:t>To assess the degree to which key provisions of the policy have been implemented within the Guyanese education system, drawing on the available documentary record of institutional developments at national, regional, and school levels.</w:t>
      </w:r>
    </w:p>
    <w:p w14:paraId="1E09B06B" w14:textId="77777777" w:rsidR="00D301B0" w:rsidRDefault="00000000" w:rsidP="006D5DA2">
      <w:pPr>
        <w:numPr>
          <w:ilvl w:val="0"/>
          <w:numId w:val="2"/>
        </w:numPr>
        <w:spacing w:after="120" w:line="360" w:lineRule="auto"/>
        <w:jc w:val="both"/>
      </w:pPr>
      <w:r>
        <w:t>To identify the structural, institutional, and capacity-related factors that contribute to the gap between inclusive education policy and practice in Guyana, with attention to both top-down governance constraints and the localised conditions under which frontline educators operate.</w:t>
      </w:r>
    </w:p>
    <w:p w14:paraId="74C1CB5D" w14:textId="77777777" w:rsidR="00D301B0" w:rsidRDefault="00000000" w:rsidP="006D5DA2">
      <w:pPr>
        <w:numPr>
          <w:ilvl w:val="0"/>
          <w:numId w:val="2"/>
        </w:numPr>
        <w:spacing w:after="120" w:line="360" w:lineRule="auto"/>
        <w:jc w:val="both"/>
      </w:pPr>
      <w:r>
        <w:t>To critically examine the conceptual and operational limitations of the policy as a governing instrument, including its broad definition of special educational needs, the absence of disability-specific implementation guidance, and the implications of its continued unadopted status alongside enacted legislative provisions.</w:t>
      </w:r>
    </w:p>
    <w:p w14:paraId="49A3AE76" w14:textId="77777777" w:rsidR="00D301B0" w:rsidRDefault="00000000" w:rsidP="006D5DA2">
      <w:pPr>
        <w:numPr>
          <w:ilvl w:val="0"/>
          <w:numId w:val="2"/>
        </w:numPr>
        <w:spacing w:after="120" w:line="360" w:lineRule="auto"/>
        <w:jc w:val="both"/>
      </w:pPr>
      <w:r>
        <w:lastRenderedPageBreak/>
        <w:t>To advance evidence-based recommendations for strengthening inclusive education policy and practice in Guyana, grounded in the findings of the document analysis and informed by the international and regional scholarly literature.</w:t>
      </w:r>
    </w:p>
    <w:p w14:paraId="2768D27D" w14:textId="77777777" w:rsidR="00D301B0" w:rsidRDefault="00000000" w:rsidP="006D5DA2">
      <w:pPr>
        <w:pStyle w:val="Heading2"/>
        <w:spacing w:line="360" w:lineRule="auto"/>
      </w:pPr>
      <w:bookmarkStart w:id="10" w:name="_Toc227014892"/>
      <w:r>
        <w:t>1.4 Research Questions</w:t>
      </w:r>
      <w:bookmarkEnd w:id="10"/>
    </w:p>
    <w:p w14:paraId="7B5FD548" w14:textId="77777777" w:rsidR="00D301B0" w:rsidRDefault="00000000" w:rsidP="006D5DA2">
      <w:pPr>
        <w:spacing w:after="200" w:line="360" w:lineRule="auto"/>
        <w:ind w:firstLine="720"/>
        <w:jc w:val="both"/>
      </w:pPr>
      <w:r>
        <w:t>The study is guided by the following four research questions, which structure the study’s analysis and conclusions:</w:t>
      </w:r>
    </w:p>
    <w:p w14:paraId="26861D20" w14:textId="77777777" w:rsidR="00D301B0" w:rsidRDefault="00000000" w:rsidP="006D5DA2">
      <w:pPr>
        <w:numPr>
          <w:ilvl w:val="0"/>
          <w:numId w:val="3"/>
        </w:numPr>
        <w:spacing w:after="120" w:line="360" w:lineRule="auto"/>
        <w:jc w:val="both"/>
      </w:pPr>
      <w:r>
        <w:t>To what extent does the Draft Inclusion Policy for Special Educational Needs (2010) reflect the principles of international frameworks for inclusive education?</w:t>
      </w:r>
    </w:p>
    <w:p w14:paraId="021812BF" w14:textId="77777777" w:rsidR="00D301B0" w:rsidRDefault="00000000" w:rsidP="006D5DA2">
      <w:pPr>
        <w:numPr>
          <w:ilvl w:val="0"/>
          <w:numId w:val="3"/>
        </w:numPr>
        <w:spacing w:after="120" w:line="360" w:lineRule="auto"/>
        <w:jc w:val="both"/>
      </w:pPr>
      <w:r>
        <w:t>What institutional mechanisms have been established for the implementation of inclusive education in Guyana, and how effectively do they operationalise the policy's stated objectives?</w:t>
      </w:r>
    </w:p>
    <w:p w14:paraId="7093CCC0" w14:textId="77777777" w:rsidR="00D301B0" w:rsidRDefault="00000000" w:rsidP="006D5DA2">
      <w:pPr>
        <w:numPr>
          <w:ilvl w:val="0"/>
          <w:numId w:val="3"/>
        </w:numPr>
        <w:spacing w:after="120" w:line="360" w:lineRule="auto"/>
        <w:jc w:val="both"/>
      </w:pPr>
      <w:r>
        <w:t>What structural factors contribute to the gap between policy intentions and implementation outcomes in the Guyanese context?</w:t>
      </w:r>
    </w:p>
    <w:p w14:paraId="7122D7C3" w14:textId="77777777" w:rsidR="00D301B0" w:rsidRDefault="00000000" w:rsidP="006D5DA2">
      <w:pPr>
        <w:numPr>
          <w:ilvl w:val="0"/>
          <w:numId w:val="3"/>
        </w:numPr>
        <w:spacing w:after="120" w:line="360" w:lineRule="auto"/>
        <w:jc w:val="both"/>
      </w:pPr>
      <w:r>
        <w:t>What does the documentary evidence suggest about the preconditions for strengthening the policy framework and implementation of inclusive education in Guyana?</w:t>
      </w:r>
    </w:p>
    <w:p w14:paraId="60BC47E7" w14:textId="77777777" w:rsidR="00D301B0" w:rsidRDefault="00000000" w:rsidP="006D5DA2">
      <w:pPr>
        <w:spacing w:line="360" w:lineRule="auto"/>
      </w:pPr>
      <w:r>
        <w:t>Research Questions 1 through 3 are addressed through the systematic document analysis presented in Chapter 4. Research Question 4 is distinct in character: it draws on the analytical findings to identify preconditions and implications for policy reform, and is addressed primarily in the conclusions and recommendations presented in Chapter 5. This distinction is consistent with the desktop methodology, in which the analytical work of document analysis generates the evidential foundation from which policy-oriented conclusions are derived.</w:t>
      </w:r>
    </w:p>
    <w:p w14:paraId="321F50B2" w14:textId="77777777" w:rsidR="00D301B0" w:rsidRDefault="00000000" w:rsidP="006D5DA2">
      <w:pPr>
        <w:pStyle w:val="Heading2"/>
        <w:spacing w:line="360" w:lineRule="auto"/>
      </w:pPr>
      <w:bookmarkStart w:id="11" w:name="_Toc227014893"/>
      <w:r>
        <w:t>1.5 Working Hypotheses</w:t>
      </w:r>
      <w:bookmarkEnd w:id="11"/>
    </w:p>
    <w:p w14:paraId="76678617" w14:textId="77777777" w:rsidR="00D301B0" w:rsidRDefault="00000000" w:rsidP="006D5DA2">
      <w:pPr>
        <w:spacing w:after="200" w:line="360" w:lineRule="auto"/>
        <w:ind w:firstLine="720"/>
        <w:jc w:val="both"/>
      </w:pPr>
      <w:r>
        <w:t>This study is guided by a set of working propositions that function as provisional analytical orientations rather than formal predictions subject to binary confirmation. In the naturalistic inquiry tradition (Lincoln and Guba, 1985), working propositions are tentative, context-bound formulations that orient the analysis without predetermining its outcome. They are expected to be refined, extended, or partially challenged through engagement with the documentary evidence; the test is how the analysis develops and complicates the initial formulation, not whether categorical verdicts can be assigned. The study proceeds from the following working propositions:</w:t>
      </w:r>
    </w:p>
    <w:p w14:paraId="7C9020DB" w14:textId="77777777" w:rsidR="00D301B0" w:rsidRDefault="00000000" w:rsidP="006D5DA2">
      <w:pPr>
        <w:spacing w:after="200" w:line="360" w:lineRule="auto"/>
        <w:ind w:firstLine="720"/>
        <w:jc w:val="both"/>
      </w:pPr>
      <w:r>
        <w:rPr>
          <w:b/>
        </w:rPr>
        <w:t xml:space="preserve">Central Working Proposition: </w:t>
      </w:r>
      <w:r>
        <w:t>The Draft Inclusion Policy for Special Educational Needs (2010) demonstrates conceptual alignment with international inclusive education frameworks, but its continued status as an unadopted draft instrument, combined with constraints in institutional capacity and the absence of disability-specific implementation guidance, may interact to produce and sustain a gap between policy aspirations and implementation outcomes. The analysis examines the nature, extent, and dynamics of this gap, and considers whether recent institutional developments alter or complicate the initial proposition.</w:t>
      </w:r>
    </w:p>
    <w:p w14:paraId="40495F2E" w14:textId="77777777" w:rsidR="00D301B0" w:rsidRDefault="00000000" w:rsidP="006D5DA2">
      <w:pPr>
        <w:spacing w:after="200" w:line="360" w:lineRule="auto"/>
        <w:ind w:firstLine="720"/>
        <w:jc w:val="both"/>
      </w:pPr>
      <w:r>
        <w:rPr>
          <w:b/>
        </w:rPr>
        <w:t xml:space="preserve">Working Proposition 1: </w:t>
      </w:r>
      <w:r>
        <w:t>The Draft Inclusion Policy reflects the core values of international frameworks for inclusive education but may not fully incorporate their operational requirements, particularly in relation to disability-specific guidance, individual education planning, and the systematic monitoring of participation and outcomes. The analysis explores the boundaries of this alignment and considers whether the relevant normative benchmarks have themselves evolved since the policy was drafted.</w:t>
      </w:r>
    </w:p>
    <w:p w14:paraId="59D537A8" w14:textId="77777777" w:rsidR="00D301B0" w:rsidRDefault="00000000" w:rsidP="006D5DA2">
      <w:pPr>
        <w:spacing w:after="200" w:line="360" w:lineRule="auto"/>
        <w:ind w:firstLine="720"/>
        <w:jc w:val="both"/>
      </w:pPr>
      <w:r>
        <w:rPr>
          <w:b/>
        </w:rPr>
        <w:t xml:space="preserve">Working Proposition 2: </w:t>
      </w:r>
      <w:r>
        <w:t>Institutional mechanisms for inclusive education in Guyana exist and partially give effect to the policy’s objectives, but may be insufficiently resourced, inconsistently distributed across regions, and inadequately monitored. The analysis examines the available documentary evidence for the scope and limitations of these mechanisms, remaining attentive to evidence of institutional progress as well as constraint.</w:t>
      </w:r>
    </w:p>
    <w:p w14:paraId="63C520F7" w14:textId="77777777" w:rsidR="00D301B0" w:rsidRDefault="00000000" w:rsidP="006D5DA2">
      <w:pPr>
        <w:spacing w:after="200" w:line="360" w:lineRule="auto"/>
        <w:ind w:firstLine="720"/>
        <w:jc w:val="both"/>
      </w:pPr>
      <w:r>
        <w:rPr>
          <w:b/>
        </w:rPr>
        <w:t xml:space="preserve">Working Proposition 3: </w:t>
      </w:r>
      <w:r>
        <w:t>The structural factors most significantly constraining inclusive education in Guyana are the draft status of the policy, the absence of disability-specific frameworks, insufficient sustained professional development, and the lack of a systematic monitoring and accountability system. The analysis tests this proposition against the documentary evidence and considers whether additional structural factors, including the relationship between the unadopted policy and enacted legislative instruments, emerge from the analysis.</w:t>
      </w:r>
    </w:p>
    <w:p w14:paraId="1C8E8404" w14:textId="77777777" w:rsidR="00D301B0" w:rsidRDefault="00000000" w:rsidP="006D5DA2">
      <w:pPr>
        <w:spacing w:line="360" w:lineRule="auto"/>
      </w:pPr>
      <w:r>
        <w:lastRenderedPageBreak/>
        <w:t>Each working proposition is evaluated in Section 4.5 of Chapter 4. The evaluation reports how the documentary evidence supported, refined, or complicated each proposition, rather than assigning categorical verdicts.</w:t>
      </w:r>
    </w:p>
    <w:p w14:paraId="226B5097" w14:textId="77777777" w:rsidR="00D301B0" w:rsidRDefault="00000000" w:rsidP="006D5DA2">
      <w:pPr>
        <w:pStyle w:val="Heading2"/>
        <w:spacing w:line="360" w:lineRule="auto"/>
      </w:pPr>
      <w:bookmarkStart w:id="12" w:name="_Toc227014894"/>
      <w:r>
        <w:t>1.6 Significance of the Study</w:t>
      </w:r>
      <w:bookmarkEnd w:id="12"/>
    </w:p>
    <w:p w14:paraId="09FF811B" w14:textId="77777777" w:rsidR="00D301B0" w:rsidRDefault="00000000" w:rsidP="006D5DA2">
      <w:pPr>
        <w:spacing w:after="200" w:line="360" w:lineRule="auto"/>
        <w:ind w:firstLine="720"/>
        <w:jc w:val="both"/>
      </w:pPr>
      <w:r>
        <w:t>This study contributes to understanding at several levels. At the most immediate level, it offers a systematic and critically grounded analysis of the primary inclusive education policy instrument in Guyana, filling a gap in the scholarly literature on education policy in the Anglophone Caribbean. Despite the growing international body of research on inclusive education in developing contexts (Peters, 2007; Walton, 2018), Guyana has received relatively limited academic attention, and the Draft Inclusion Policy (Ministry of Education Guyana, 2010) has not previously been subjected to the kind of sustained, textually grounded document analysis that this study provides. At a broader level, the study contributes to international debates about the relationship between policy design and implementation in inclusive education, particularly in contexts characterised by partial institutionalisation and constrained capacity. For practitioners and policymakers within Guyana, the study provides a detailed assessment of the current policy structure, identifies specific structural limitations, and advances concrete recommendations grounded in both the empirical evidence and the international literature. The study also carries methodological significance as a demonstration of rigorous document analysis applied to a primary policy source, modelling an approach that explicitly traces all findings to quoted or page-referenced textual evidence.</w:t>
      </w:r>
    </w:p>
    <w:p w14:paraId="2A08B0E4" w14:textId="77777777" w:rsidR="00D301B0" w:rsidRDefault="00000000" w:rsidP="006D5DA2">
      <w:pPr>
        <w:pStyle w:val="Heading2"/>
        <w:spacing w:line="360" w:lineRule="auto"/>
      </w:pPr>
      <w:bookmarkStart w:id="13" w:name="_Toc227014895"/>
      <w:r>
        <w:t>1.7 Definition of Key Terms</w:t>
      </w:r>
      <w:bookmarkEnd w:id="13"/>
    </w:p>
    <w:p w14:paraId="2A76EAA1" w14:textId="77777777" w:rsidR="00D301B0" w:rsidRDefault="00000000" w:rsidP="006D5DA2">
      <w:pPr>
        <w:spacing w:after="200" w:line="360" w:lineRule="auto"/>
        <w:ind w:firstLine="720"/>
        <w:jc w:val="both"/>
      </w:pPr>
      <w:r>
        <w:rPr>
          <w:b/>
          <w:bCs/>
        </w:rPr>
        <w:t xml:space="preserve">Inclusive Education: </w:t>
      </w:r>
      <w:r>
        <w:t>An approach to education in which all learners, including those with disabilities and special educational needs, are educated together in mainstream settings with appropriate support, on the basis of equal rights and shared membership of the educational community (UNESCO, 1994).</w:t>
      </w:r>
    </w:p>
    <w:p w14:paraId="2F13E720" w14:textId="77777777" w:rsidR="00D301B0" w:rsidRDefault="00000000" w:rsidP="006D5DA2">
      <w:pPr>
        <w:spacing w:after="200" w:line="360" w:lineRule="auto"/>
        <w:ind w:firstLine="720"/>
        <w:jc w:val="both"/>
      </w:pPr>
      <w:r>
        <w:rPr>
          <w:b/>
          <w:bCs/>
        </w:rPr>
        <w:t xml:space="preserve">Special Educational Needs (SEN): </w:t>
      </w:r>
      <w:r>
        <w:t xml:space="preserve">A broad term referring to the learning requirements of students whose educational needs cannot be fully met through standard educational provision and who require additional or different resources, support, or </w:t>
        <w:lastRenderedPageBreak/>
        <w:t>adaptations. In the Guyanese context, this includes learners with physical disabilities, sensory impairments, intellectual disabilities, emotional and behavioural difficulties, and communication disorders (Ministry of Education Guyana, 2010).</w:t>
      </w:r>
    </w:p>
    <w:p w14:paraId="299678CA" w14:textId="77777777" w:rsidR="00D301B0" w:rsidRDefault="00000000" w:rsidP="006D5DA2">
      <w:pPr>
        <w:spacing w:after="200" w:line="360" w:lineRule="auto"/>
        <w:ind w:firstLine="720"/>
        <w:jc w:val="both"/>
      </w:pPr>
      <w:r>
        <w:t>(The Draft Inclusion Policy uses the term “SEN”; recent Guyanese institutional developments, including the CPCE programme established in January 2025, use the expanded term “SEND” (Special Educational Needs and Disabilities). Both terms appear in this study according to their original context.)</w:t>
      </w:r>
    </w:p>
    <w:p w14:paraId="0CA49FC6" w14:textId="77777777" w:rsidR="00D301B0" w:rsidRDefault="00000000" w:rsidP="006D5DA2">
      <w:pPr>
        <w:spacing w:after="200" w:line="360" w:lineRule="auto"/>
        <w:ind w:firstLine="720"/>
        <w:jc w:val="both"/>
      </w:pPr>
      <w:r>
        <w:rPr>
          <w:b/>
          <w:bCs/>
        </w:rPr>
        <w:t xml:space="preserve">Policy-Practice Gap: </w:t>
      </w:r>
      <w:r>
        <w:t>The discrepancy between the stated objectives and provisions of a policy document and the observable reality of implementation at the institutional and classroom level. This gap may arise from deficiencies in implementation capacity, insufficient guidance, weak accountability mechanisms, or misalignment between policy demands and available resources (Pressman and Wildavsky, 1973).</w:t>
      </w:r>
    </w:p>
    <w:p w14:paraId="22921FDC" w14:textId="77777777" w:rsidR="00D301B0" w:rsidRDefault="00000000" w:rsidP="006D5DA2">
      <w:pPr>
        <w:spacing w:after="200" w:line="360" w:lineRule="auto"/>
        <w:ind w:firstLine="720"/>
        <w:jc w:val="both"/>
      </w:pPr>
      <w:r>
        <w:rPr>
          <w:b/>
          <w:bCs/>
        </w:rPr>
        <w:t xml:space="preserve">Institutional Capacity: </w:t>
      </w:r>
      <w:r>
        <w:t>The collective organisational resources, structures, processes, skills, and leadership qualities that determine the ability of an institution to implement policy effectively. In the context of education, this encompasses financial resources, qualified personnel, training infrastructure, data systems, and coordination mechanisms (Fullan, 2007).</w:t>
      </w:r>
    </w:p>
    <w:p w14:paraId="5ADD05D9" w14:textId="77777777" w:rsidR="00D301B0" w:rsidRDefault="00000000" w:rsidP="006D5DA2">
      <w:pPr>
        <w:spacing w:after="200" w:line="360" w:lineRule="auto"/>
        <w:ind w:firstLine="720"/>
        <w:jc w:val="both"/>
      </w:pPr>
      <w:r>
        <w:rPr>
          <w:b/>
          <w:bCs/>
        </w:rPr>
        <w:t xml:space="preserve">Document Analysis: </w:t>
      </w:r>
      <w:r>
        <w:t>A systematic qualitative research method involving the critical review and interpretation of documents as primary data sources. The method entails processes of reading, coding, thematic analysis, and interpretive synthesis (Bowen, 2009).</w:t>
      </w:r>
    </w:p>
    <w:p w14:paraId="6C36483F" w14:textId="77777777" w:rsidR="00D301B0" w:rsidRDefault="00000000" w:rsidP="006D5DA2">
      <w:pPr>
        <w:spacing w:after="200" w:line="360" w:lineRule="auto"/>
        <w:ind w:firstLine="720"/>
        <w:jc w:val="both"/>
      </w:pPr>
      <w:r>
        <w:rPr>
          <w:b/>
          <w:bCs/>
        </w:rPr>
        <w:t xml:space="preserve">Positionality: </w:t>
      </w:r>
      <w:r>
        <w:t>The researcher's recognition that their own professional background, national context, and theoretical commitments may shape the interpretation of documentary evidence. As a practitioner engaged with education policy in the Caribbean context, the researcher acknowledges that analytical judgments are informed by, though not reducible to, this standpoint.</w:t>
      </w:r>
    </w:p>
    <w:p w14:paraId="797E80BC" w14:textId="77777777" w:rsidR="00D301B0" w:rsidRDefault="00000000" w:rsidP="006D5DA2">
      <w:pPr>
        <w:pStyle w:val="Heading2"/>
        <w:spacing w:line="360" w:lineRule="auto"/>
      </w:pPr>
      <w:bookmarkStart w:id="14" w:name="_Toc227014896"/>
      <w:r>
        <w:t>1.8 Structure of the Dissertation</w:t>
      </w:r>
      <w:bookmarkEnd w:id="14"/>
    </w:p>
    <w:p w14:paraId="051DA310" w14:textId="77777777" w:rsidR="00D301B0" w:rsidRDefault="00000000" w:rsidP="006D5DA2">
      <w:pPr>
        <w:spacing w:after="200" w:line="360" w:lineRule="auto"/>
        <w:ind w:firstLine="720"/>
        <w:jc w:val="both"/>
      </w:pPr>
      <w:r>
        <w:t>The dissertation is organised across five chapters. Chapter 1 has introduced the study, established its background and rationale, articulated its aims, objectives, research questions, and working propositions, and defined key terms. Chapter 2 presents a review of the relevant theoretical, conceptual, and empirical literature, establishing the analytical lens applied throughout the study. Chapter 3 describes and justifies the methodological approach, including research design, sampling strategy, analytical instrument, positionality, and procedures for ensuring validity and reliability. Chapter 4 presents the findings of the document analysis in direct relation to each research question, followed by an evaluation of the study's working propositions. Chapter 5 synthesises the study's conclusions, formulates recommendations, acknowledges limitations, and suggests directions for future research.</w:t>
      </w:r>
    </w:p>
    <w:p w14:paraId="5D054C8A" w14:textId="77777777" w:rsidR="00D301B0" w:rsidRDefault="00000000" w:rsidP="006D5DA2">
      <w:pPr>
        <w:spacing w:line="360" w:lineRule="auto"/>
      </w:pPr>
      <w:r>
        <w:br w:type="page"/>
      </w:r>
    </w:p>
    <w:p w14:paraId="2F563F06" w14:textId="77777777" w:rsidR="00D301B0" w:rsidRDefault="00000000" w:rsidP="006D5DA2">
      <w:pPr>
        <w:pStyle w:val="Heading1"/>
        <w:spacing w:line="360" w:lineRule="auto"/>
      </w:pPr>
      <w:bookmarkStart w:id="15" w:name="_Toc227014897"/>
      <w:r>
        <w:rPr>
          <w:caps/>
        </w:rPr>
        <w:lastRenderedPageBreak/>
        <w:t>CHAPTER 2: REVIEW OF RELATED LITERATURE</w:t>
      </w:r>
      <w:bookmarkEnd w:id="15"/>
    </w:p>
    <w:p w14:paraId="1ABC8A72" w14:textId="77777777" w:rsidR="00D301B0" w:rsidRDefault="00000000" w:rsidP="006D5DA2">
      <w:pPr>
        <w:pStyle w:val="Heading2"/>
        <w:spacing w:line="360" w:lineRule="auto"/>
      </w:pPr>
      <w:bookmarkStart w:id="16" w:name="_Toc227014898"/>
      <w:r>
        <w:t>2.1 Introduction</w:t>
      </w:r>
      <w:bookmarkEnd w:id="16"/>
    </w:p>
    <w:p w14:paraId="4E17F2E8" w14:textId="77777777" w:rsidR="00D301B0" w:rsidRDefault="00000000" w:rsidP="006D5DA2">
      <w:pPr>
        <w:spacing w:after="200" w:line="360" w:lineRule="auto"/>
        <w:ind w:firstLine="720"/>
        <w:jc w:val="both"/>
      </w:pPr>
      <w:r>
        <w:t>This chapter establishes the theoretical, conceptual, and empirical foundations of the study. It proceeds through four principal sections: a review of the major theoretical frameworks that have shaped understandings of disability and inclusion; an articulation of the conceptual lens guiding the study's analysis; a review of empirical literature on teacher preparedness, policy implementation, disability-specific approaches, and inclusive education in developing contexts; and a critical synthesis establishing how the literature informs the analytical approach applied in Chapters 3 and 4. The theoretical frameworks reviewed here function as active analytical lenses applied in Chapter 4, not merely background context.</w:t>
      </w:r>
    </w:p>
    <w:p w14:paraId="07CE90AA" w14:textId="77777777" w:rsidR="00D301B0" w:rsidRDefault="00000000" w:rsidP="006D5DA2">
      <w:pPr>
        <w:pStyle w:val="Heading2"/>
        <w:spacing w:line="360" w:lineRule="auto"/>
      </w:pPr>
      <w:bookmarkStart w:id="17" w:name="_Toc227014899"/>
      <w:r>
        <w:t>2.2 Theoretical Framework</w:t>
      </w:r>
      <w:bookmarkEnd w:id="17"/>
    </w:p>
    <w:p w14:paraId="1A909031" w14:textId="77777777" w:rsidR="00D301B0" w:rsidRDefault="00000000" w:rsidP="006D5DA2">
      <w:pPr>
        <w:pStyle w:val="Heading3"/>
        <w:spacing w:line="360" w:lineRule="auto"/>
      </w:pPr>
      <w:bookmarkStart w:id="18" w:name="_Toc227014900"/>
      <w:r>
        <w:t>2.2.1 The Medical Model of Disability</w:t>
      </w:r>
      <w:bookmarkEnd w:id="18"/>
    </w:p>
    <w:p w14:paraId="36F877C0" w14:textId="77777777" w:rsidR="00D301B0" w:rsidRDefault="00000000" w:rsidP="006D5DA2">
      <w:pPr>
        <w:spacing w:after="200" w:line="360" w:lineRule="auto"/>
        <w:ind w:firstLine="720"/>
        <w:jc w:val="both"/>
      </w:pPr>
      <w:r>
        <w:t>For much of the twentieth century, the medical model dominated professional and policy discourse on disability, conceptualising it as an intrinsic attribute of the individual: a deficit or pathological condition located within the body or mind that required treatment, rehabilitation, or special management (Oliver, 1990). Under this model, the appropriate educational response to disability was segregated provision. The learner was positioned as the problem requiring adjustment rather than the system as an environment requiring transformation. Systems organised on this basis developed separate administrative structures, separate curricula, and separate professional cultures for learners with disabilities (Florian, 2014). The explicit language of the medical model has retreated from official policy discourse, yet its institutional legacy continues to shape educational structures and professional attitudes — including in Caribbean contexts where specialised schools and segregated provision still predominate (Peters, 2007). In Guyana's Draft Inclusion Policy, this legacy is visible in the coexistence of rights-based language with continued reliance on separate specialised institutions.</w:t>
      </w:r>
    </w:p>
    <w:p w14:paraId="7516D351" w14:textId="77777777" w:rsidR="00D301B0" w:rsidRDefault="00000000" w:rsidP="006D5DA2">
      <w:pPr>
        <w:pStyle w:val="Heading3"/>
        <w:spacing w:line="360" w:lineRule="auto"/>
      </w:pPr>
      <w:bookmarkStart w:id="19" w:name="_Toc227014901"/>
      <w:r>
        <w:t>2.2.2 The Social Model of Disability</w:t>
      </w:r>
      <w:bookmarkEnd w:id="19"/>
    </w:p>
    <w:p w14:paraId="07B5D113" w14:textId="77777777" w:rsidR="00D301B0" w:rsidRDefault="00000000" w:rsidP="006D5DA2">
      <w:pPr>
        <w:spacing w:after="200" w:line="360" w:lineRule="auto"/>
        <w:ind w:firstLine="720"/>
        <w:jc w:val="both"/>
      </w:pPr>
      <w:r>
        <w:lastRenderedPageBreak/>
        <w:t>The social model of disability, theorised by scholars such as Oliver (1990) and developed across a broad interdisciplinary field, offered a fundamentally different analytical starting point. Rather than locating the problem of disability within the individual, the social model directed attention to the social, environmental, and attitudinal barriers that prevent persons with disabilities from participating fully in social life. Applied to education, the social model has been enormously influential in legitimising the shift from segregated to inclusive provision (Ainscow and Miles, 2008). This logic underpins the inclusive education movement and finds its clearest policy expression in the Salamanca Statement's call on all governments to adopt policies ensuring inclusive schooling as the norm (UNESCO, 1994). However, critics including Shakespeare (2006) have noted that the social model in its most thoroughgoing forms may underestimate the relevance of individual medical and cognitive characteristics to educational support needs, and that exclusive reliance on it may underserve learners whose needs require specific, evidence-based interventions. This critique bears directly on the Draft Inclusion Policy, whose social model orientation may produce broad aspiration without the condition-specific operational guidance that learners with different disabilities require.</w:t>
      </w:r>
    </w:p>
    <w:p w14:paraId="6522891C" w14:textId="77777777" w:rsidR="00D301B0" w:rsidRDefault="00000000" w:rsidP="006D5DA2">
      <w:pPr>
        <w:pStyle w:val="Heading3"/>
        <w:spacing w:line="360" w:lineRule="auto"/>
      </w:pPr>
      <w:bookmarkStart w:id="20" w:name="_Toc227014902"/>
      <w:r>
        <w:t>2.2.3 The Biopsychosocial Model</w:t>
      </w:r>
      <w:bookmarkEnd w:id="20"/>
    </w:p>
    <w:p w14:paraId="78F2F4C0" w14:textId="77777777" w:rsidR="00D301B0" w:rsidRDefault="00000000" w:rsidP="006D5DA2">
      <w:pPr>
        <w:spacing w:after="200" w:line="360" w:lineRule="auto"/>
        <w:ind w:firstLine="720"/>
        <w:jc w:val="both"/>
      </w:pPr>
      <w:r>
        <w:t>The biopsychosocial model, associated in educational contexts with the World Health Organization's International Classification of Functioning, Disability and Health (WHO, 2001), attempts to synthesise insights from both the medical and social models. Disability is conceptualised not as individual pathology alone nor as social barriers alone, but as the product of the interaction between a person's health condition and contextual factors — both environmental and personal. For inclusive education policy, this model offers a more analytically precise foundation; it suggests that effective inclusion requires both the removal of systemic barriers and the provision of individualised support calibrated to specific learning needs. Norwich (2016) shows how the ICF can be applied directly to the analysis of national education policy, providing a structured methodology for evaluating whether a policy's underlying conception of special educational needs aligns with the biopsychosocial model or remains anchored in older deficit-based assumptions. The implications for the Draft Inclusion Policy are direct: a policy grounded exclusively in social model thinking will tend to produce broad, barrier-removal commitments without condition-specific guidance; a policy informed by the biopsychosocial model will combine overarching inclusive principles with detailed, disability-responsive operational provisions.</w:t>
      </w:r>
    </w:p>
    <w:p w14:paraId="1BA45413" w14:textId="77777777" w:rsidR="00D301B0" w:rsidRDefault="00000000" w:rsidP="006D5DA2">
      <w:pPr>
        <w:pStyle w:val="Heading3"/>
        <w:spacing w:line="360" w:lineRule="auto"/>
      </w:pPr>
      <w:bookmarkStart w:id="21" w:name="_Toc227014903"/>
      <w:r>
        <w:t>2.2.4 Implications for Inclusive Education Policy</w:t>
      </w:r>
      <w:bookmarkEnd w:id="21"/>
    </w:p>
    <w:p w14:paraId="0A3A2D27" w14:textId="77777777" w:rsidR="00D301B0" w:rsidRDefault="00000000" w:rsidP="006D5DA2">
      <w:pPr>
        <w:spacing w:after="200" w:line="360" w:lineRule="auto"/>
        <w:ind w:firstLine="720"/>
        <w:jc w:val="both"/>
      </w:pPr>
      <w:r>
        <w:t>Each of the theoretical models reviewed above has left its mark on inclusive education policy discourse, often simultaneously. Many national policies, including Guyana's Draft Inclusion Policy, reflect a mixture of influences: they employ the rights-based and barrier-removal language of the social model while retaining elements of individual-focused assessment and specialised provision that echo the medical model (Ainscow and Miles, 2008; Opertti, Walker and Zhang, 2014). The practical consequence of this hybridity is that policies may be internally inconsistent — affirming the right of all learners to mainstream education while maintaining specialised structures that enact a categorically different logic. The normative standard for evaluating such policies has itself evolved. General Comment No. 4 on Article 24 of the CRPD (Committee on the Rights of Persons with Disabilities, 2016) now distinguishes explicitly between exclusion, segregation, integration, and inclusion, defining the last as requiring systemic transformation of culture, policy, and practice rather than merely the placement of learners with disabilities in mainstream settings. The UNESCO Global Education Monitoring Report (2020) reinforces this standard, emphasising that inclusion demands attention to all dimensions of marginalisation and that education systems must be evaluated against contemporary, not historical, benchmarks. Identifying which theoretical model predominantly shapes a policy's operational provisions, as distinct from its rhetorical framing, is therefore a central analytical question.</w:t>
      </w:r>
    </w:p>
    <w:p w14:paraId="74E2F93F" w14:textId="77777777" w:rsidR="00D301B0" w:rsidRDefault="00000000" w:rsidP="006D5DA2">
      <w:pPr>
        <w:pStyle w:val="Heading2"/>
        <w:spacing w:line="360" w:lineRule="auto"/>
      </w:pPr>
      <w:bookmarkStart w:id="22" w:name="_Toc227014904"/>
      <w:r>
        <w:t>2.3 Conceptual Framework</w:t>
      </w:r>
      <w:bookmarkEnd w:id="22"/>
    </w:p>
    <w:p w14:paraId="4280DC0C" w14:textId="77777777" w:rsidR="00D301B0" w:rsidRDefault="00000000" w:rsidP="006D5DA2">
      <w:pPr>
        <w:spacing w:after="200" w:line="360" w:lineRule="auto"/>
        <w:ind w:firstLine="720"/>
        <w:jc w:val="both"/>
      </w:pPr>
      <w:r>
        <w:t>The conceptual lens guiding this study draws on three interrelated dimensions: policy design, institutional capacity, and implementation outcomes. Together, these organise and direct the analysis presented in Chapter 4.</w:t>
      </w:r>
    </w:p>
    <w:p w14:paraId="6486A36E" w14:textId="77777777" w:rsidR="00D301B0" w:rsidRDefault="00000000" w:rsidP="006D5DA2">
      <w:pPr>
        <w:spacing w:after="200" w:line="360" w:lineRule="auto"/>
        <w:ind w:firstLine="720"/>
        <w:jc w:val="both"/>
      </w:pPr>
      <w:r>
        <w:t>Policy design encompasses the content, language, values, and operational specificity of the policy document itself. Key questions include: What values does the policy articulate? How specific is its implementation guidance? Does it provide disability-specific provisions? Does it specify accountability mechanisms?</w:t>
      </w:r>
    </w:p>
    <w:p w14:paraId="1C38A275" w14:textId="77777777" w:rsidR="00D301B0" w:rsidRDefault="00000000" w:rsidP="006D5DA2">
      <w:pPr>
        <w:spacing w:after="200" w:line="360" w:lineRule="auto"/>
        <w:ind w:firstLine="720"/>
        <w:jc w:val="both"/>
      </w:pPr>
      <w:r>
        <w:t>Institutional capacity refers to the organisational, financial, human, and infrastructural resources available to enact the policy. Key questions include: What coordination structures does the policy envisage? Are these structures resourced and operational? Are teachers trained to the standard the policy implies?</w:t>
      </w:r>
    </w:p>
    <w:p w14:paraId="43BD20C5" w14:textId="77777777" w:rsidR="00D301B0" w:rsidRDefault="00000000" w:rsidP="006D5DA2">
      <w:pPr>
        <w:spacing w:after="200" w:line="360" w:lineRule="auto"/>
        <w:ind w:firstLine="720"/>
        <w:jc w:val="both"/>
      </w:pPr>
      <w:r>
        <w:t>Implementation outcomes refer to the observable patterns of practice that result from the interaction between policy design and institutional capacity. A central proposition is that strong policy design not supported by adequate institutional capacity will produce aspiration without practice; conversely, institutional capacity without a coherent and authoritative policy instrument will produce fragmented, uncoordinated initiatives rather than systemic inclusion (Ainscow, 2020). A second proposition holds that policy formalisation is an important mediating variable: a formally adopted policy carries governance authority, enabling it to mandate action, direct resources, and integrate inclusive education into mainstream accountability systems. An unadopted draft policy lacks this authority, however sound its conceptual content. A third proposition concerns policy coherence: the degree to which different components of the education system are oriented toward the same inclusive objectives (Fullan, 2007; Opertti, Walker and Zhang, 2014). Where coherence is weak, implementation becomes fragmented and dependent on individual initiative. Two further theoretical frameworks structure the analysis of implementation dynamics. Matland's (1995) ambiguity-conflict model predicts that policies characterised by high ambiguity and low overt conflict tend toward "symbolic" or "experimental" implementation, in which outcomes vary by local context rather than following centralised direction. Lipsky's (2010) concept of street-level bureaucracy complements this by explaining the mechanism through which such variation occurs: in the absence of clear, enforceable policy directives, frontline workers (teachers, SEN officers, school administrators) become the de facto policymakers, exercising discretion that collectively constitutes the actual policy as experienced. Together, these frameworks predict that an unadopted draft policy in a resource-constrained system will produce localised, uncoordinated implementation driven by the priorities of individual actors.</w:t>
      </w:r>
    </w:p>
    <w:p w14:paraId="499EFD3B" w14:textId="77777777" w:rsidR="00D301B0" w:rsidRDefault="00000000" w:rsidP="006D5DA2">
      <w:pPr>
        <w:pStyle w:val="Heading2"/>
        <w:spacing w:line="360" w:lineRule="auto"/>
      </w:pPr>
      <w:bookmarkStart w:id="23" w:name="_Toc227014905"/>
      <w:r>
        <w:lastRenderedPageBreak/>
        <w:t>2.4 Review of Empirical Literature</w:t>
      </w:r>
      <w:bookmarkEnd w:id="23"/>
    </w:p>
    <w:p w14:paraId="7365AE33" w14:textId="77777777" w:rsidR="00D301B0" w:rsidRDefault="00000000" w:rsidP="006D5DA2">
      <w:pPr>
        <w:pStyle w:val="Heading3"/>
        <w:spacing w:line="360" w:lineRule="auto"/>
      </w:pPr>
      <w:bookmarkStart w:id="24" w:name="_Toc227014906"/>
      <w:r>
        <w:t>2.4.1 Teacher Preparedness and Pedagogical Practice</w:t>
      </w:r>
      <w:bookmarkEnd w:id="24"/>
    </w:p>
    <w:p w14:paraId="1ED8DEB4" w14:textId="77777777" w:rsidR="00D301B0" w:rsidRDefault="00000000" w:rsidP="006D5DA2">
      <w:pPr>
        <w:spacing w:after="200" w:line="360" w:lineRule="auto"/>
        <w:ind w:firstLine="720"/>
        <w:jc w:val="both"/>
      </w:pPr>
      <w:r>
        <w:t>The empirical literature consistently identifies teacher preparedness as one of the most significant determinants of inclusive education outcomes. Avramidis and Norwich (2002), in a thorough review of the literature on teacher attitudes toward inclusion, found that the level and quality of professional preparation received was among the strongest predictors of positive attitudes toward inclusive practice. Teachers who had received structured training in inclusive pedagogy, differentiated assessment, and collaborative support were considerably more likely to implement inclusive approaches effectively. Sharma, Forlin and Loreman (2008) showed that even teachers ideologically supportive of inclusion frequently felt ill-equipped to manage the demands of a diverse classroom, particularly where their initial training had not provided sustained engagement with inclusive pedagogical strategies.</w:t>
      </w:r>
    </w:p>
    <w:p w14:paraId="00E462C1" w14:textId="77777777" w:rsidR="00D301B0" w:rsidRDefault="00000000" w:rsidP="006D5DA2">
      <w:pPr>
        <w:spacing w:after="200" w:line="360" w:lineRule="auto"/>
        <w:ind w:firstLine="720"/>
        <w:jc w:val="both"/>
      </w:pPr>
      <w:r>
        <w:t>Florian and Black-Hawkins (2011) developed the concept of inclusive pedagogy, arguing for an approach in which teaching is planned from the outset to expand access for the whole class rather than treating inclusion as an individual accommodation added after mainstream lesson design. The implication for teacher preparation is significant: inclusive practice needs to be integrated into the core of initial teacher education rather than treated as a specialist supplement. The literature also distinguishes between technical and attitudinal dimensions of preparedness. Technical knowledge without supportive attitudes may produce mechanical compliance rather than genuine inclusion; positive attitudes without practical skills may not translate into effective pedagogical action (Forlin, Sharma and Loreman, 2014). Both dimensions must be addressed through coherent professional preparation programmes.</w:t>
      </w:r>
    </w:p>
    <w:p w14:paraId="54AD44E7" w14:textId="77777777" w:rsidR="00D301B0" w:rsidRDefault="00000000" w:rsidP="006D5DA2">
      <w:pPr>
        <w:pStyle w:val="Heading3"/>
        <w:spacing w:line="360" w:lineRule="auto"/>
      </w:pPr>
      <w:bookmarkStart w:id="25" w:name="_Toc227014907"/>
      <w:r>
        <w:t>2.4.2 Policy Implementation and Institutional Capacity</w:t>
      </w:r>
      <w:bookmarkEnd w:id="25"/>
    </w:p>
    <w:p w14:paraId="16393401" w14:textId="77777777" w:rsidR="00D301B0" w:rsidRDefault="00000000" w:rsidP="006D5DA2">
      <w:pPr>
        <w:spacing w:after="200" w:line="360" w:lineRule="auto"/>
        <w:ind w:firstLine="720"/>
        <w:jc w:val="both"/>
      </w:pPr>
      <w:r>
        <w:t>The study of Pressman and Wildavsky (1973) remains foundational to understanding why policy implementation so frequently falls short of policy intention. Their analysis showed that the more numerous the stages required for implementation and the more actors who must agree at each stage, the lower the probability of successful outcomes. Matland (1995) advanced this literature by proposing an ambiguity-conflict model that identifies four implementation paradigms. When policy goals are clear and conflict is low, implementation proceeds administratively. When goals are ambiguous and conflict is low, implementation becomes experimental, with outcomes varying across sites. When both ambiguity and conflict are high, the result is symbolic implementation: the policy exists as a signal of intent rather than a programme of action. The Draft Inclusion Policy, which specifies detailed institutional structures but lacks the formal authority to compel their adoption, represents a plausible case of experimental implementation under Matland's model. Fullan (2007) applied related insights to educational change specifically, arguing that sustainable reform requires clear educational purpose, effective professional practice, and a coherent institutional environment that supports change over time.</w:t>
      </w:r>
    </w:p>
    <w:p w14:paraId="2B8CC063" w14:textId="2FBFB775" w:rsidR="00D301B0" w:rsidRDefault="00000000" w:rsidP="006D5DA2">
      <w:pPr>
        <w:spacing w:after="200" w:line="360" w:lineRule="auto"/>
        <w:ind w:firstLine="720"/>
        <w:jc w:val="both"/>
      </w:pPr>
      <w:r>
        <w:t xml:space="preserve">Engelbrecht (2020), examining inclusive education developments and challenges in South Africa, highlights that implementation in developing contexts faces qualitatively different challenges characterised by resource scarcity and weak institutional infrastructure. She identifies monitoring and evaluation as particularly critical dimensions that are often neglected: where there is no systematic mechanism for reviewing progress and holding actors accountable, policy commitments easily become symbolic. Abdul-Hamid (2014) provides a structural framework for understanding this gap, demonstrating that effective education policy implementation depends on functioning Education Management Information Systems (EMIS) capable of tracking enrolment, attendance, completion, and learning outcomes for specific populations. Without such systems, ministries of education cannot identify where policy provisions are being enacted and where they are not. Lipsky (2010) offers an essential complement to these perspectives. His concept of street-level bureaucracy demonstrates that frontline public service workers effectively become the real policymakers through their daily discretionary decisions. In contexts where formal policy is absent, ambiguous, or unenforced, these workers develop coping mechanisms, ration resources, and exercise professional judgement that collectively constitutes the actual policy experienced by citizens. Ball, Maguire and Braun (2012) reinforce this insight, establishing that policies are not mechanically applied but actively interpreted and reshaped by practitioners within institutional contexts. The implication for Guyana is that where the Draft Inclusion Policy has not been formally adopted, the inclusive education “policy” experienced by learners and families may be whatever </w:t>
        <w:lastRenderedPageBreak/>
        <w:t>individual teachers and SEN officers decide to do, producing the uneven, localised implementation the study’s working propositions anticipate.</w:t>
      </w:r>
    </w:p>
    <w:p w14:paraId="51BD6E61" w14:textId="77777777" w:rsidR="00D301B0" w:rsidRDefault="00000000" w:rsidP="006D5DA2">
      <w:pPr>
        <w:pStyle w:val="Heading3"/>
        <w:spacing w:line="360" w:lineRule="auto"/>
      </w:pPr>
      <w:bookmarkStart w:id="26" w:name="_Toc227014908"/>
      <w:r>
        <w:t>2.4.3 Disability-Specific Approaches and Differentiation</w:t>
      </w:r>
      <w:bookmarkEnd w:id="26"/>
    </w:p>
    <w:p w14:paraId="6B4065F6" w14:textId="77777777" w:rsidR="00D301B0" w:rsidRDefault="00000000" w:rsidP="006D5DA2">
      <w:pPr>
        <w:spacing w:after="200" w:line="360" w:lineRule="auto"/>
        <w:ind w:firstLine="720"/>
        <w:jc w:val="both"/>
      </w:pPr>
      <w:r>
        <w:t>An important strand of the literature concerns the necessity of disability-specific approaches alongside broad inclusive policies. Mitchell (2015) argues that effective inclusive education cannot rely on generic strategies alone but must incorporate evidence-based, disability-specific pedagogical and support interventions. Students with autism spectrum disorder may require highly structured learning environments and specific behavioural supports; students with hearing impairments require access to sign language interpretation or acoustic adaptations; students with visual impairments require Braille materials or screen-reading technologies. A broad, undifferentiated inclusion policy that does not address these distinct requirements leaves teachers without the guidance they need to respond appropriately. Viewed through the biopsychosocial lens established in Section 2.2.3, this literature shows that broad social model commitments are necessary but insufficient for effective inclusive practice, and that the development of disability-specific provisions is a rights-based imperative rather than merely a technical refinement.</w:t>
      </w:r>
    </w:p>
    <w:p w14:paraId="20948FB2" w14:textId="77777777" w:rsidR="00D301B0" w:rsidRDefault="00000000" w:rsidP="006D5DA2">
      <w:pPr>
        <w:spacing w:after="200" w:line="360" w:lineRule="auto"/>
        <w:ind w:firstLine="720"/>
        <w:jc w:val="both"/>
      </w:pPr>
      <w:r>
        <w:t>Kozleski et al. (2014) reinforce this argument, emphasising that meaningful inclusion — as opposed to mere physical integration — requires attention to the quality and nature of each learner's participation in educational activities. Physical presence in a mainstream classroom does not constitute inclusion if the learner is unable to access the curriculum, communicate with peers and teachers, or engage substantively with learning activities. The distinction between physical integration and substantive inclusion is central to evaluating whether a policy's provisions are sufficient to guarantee meaningful participation for learners with diverse disability profiles.</w:t>
      </w:r>
    </w:p>
    <w:p w14:paraId="7E5966C4" w14:textId="77777777" w:rsidR="00D301B0" w:rsidRDefault="00000000" w:rsidP="006D5DA2">
      <w:pPr>
        <w:pStyle w:val="Heading3"/>
        <w:spacing w:line="360" w:lineRule="auto"/>
      </w:pPr>
      <w:bookmarkStart w:id="27" w:name="_Toc227014909"/>
      <w:r>
        <w:t>2.4.4 Inclusive Education in Developing Contexts</w:t>
      </w:r>
      <w:bookmarkEnd w:id="27"/>
    </w:p>
    <w:p w14:paraId="46C87BDE" w14:textId="77777777" w:rsidR="00D301B0" w:rsidRDefault="00000000" w:rsidP="006D5DA2">
      <w:pPr>
        <w:spacing w:after="200" w:line="360" w:lineRule="auto"/>
        <w:ind w:firstLine="720"/>
        <w:jc w:val="both"/>
      </w:pPr>
      <w:r>
        <w:t>The literature on inclusive education in developing countries documents a characteristic pattern in which formal policy commitment coexists with significant implementation limitations. Peters (2007) identifies a persistent tension between the adoption of internationally endorsed models and the development of national capacity required to implement them. Miles and Singal (2010) extend this analysis by examining the specific challenges of inclusive education in low- and middle-income countries, arguing that simplistic application of models developed in high-income contexts frequently fails to attend to the institutional, cultural, and resource conditions that characterise developing systems. Srivastava, de Boer and Pijl (2015), in a systematic review of inclusive education implementation projects in developing countries over the preceding decade, found that most initiatives focused on school-level and teacher-level factors, with very few reporting on their measurable effects — pointing to the absence of monitoring and evaluation mechanisms in such contexts.</w:t>
      </w:r>
    </w:p>
    <w:p w14:paraId="1444C77F" w14:textId="77777777" w:rsidR="00D301B0" w:rsidRDefault="00000000" w:rsidP="006D5DA2">
      <w:pPr>
        <w:spacing w:after="200" w:line="360" w:lineRule="auto"/>
        <w:ind w:firstLine="720"/>
        <w:jc w:val="both"/>
      </w:pPr>
      <w:r>
        <w:t>Walton (2018) introduces a decolonial perspective, stressing the importance of developing inclusive education policy and practice responsive to local cultural and historical conditions rather than simply adopting externally generated models. The concern is directly relevant to the Guyanese case, where the Draft Inclusion Policy was developed in part through VSO international technical assistance, raising questions about the degree to which its conceptual basis reflects local institutional conditions and educational cultures.</w:t>
      </w:r>
    </w:p>
    <w:p w14:paraId="1444C77F" w14:textId="77777777" w:rsidR="00D301B0" w:rsidRDefault="00000000" w:rsidP="006D5DA2">
      <w:pPr>
        <w:spacing w:after="200" w:line="360" w:lineRule="auto"/>
        <w:ind w:firstLine="720"/>
        <w:jc w:val="both"/>
      </w:pPr>
      <w:r>
        <w:t>The provenance of national inclusive education policies in postcolonial settings warrants closer scrutiny than the alignment question alone provides. Brissett (2019), examining the evolution of inclusive education policy discourse in Jamaica, shows that each era of Caribbean educational reform has been shaped by external political-economic conditions that influence both the definition and the implementation of inclusion. In the current globalisation era, inclusive education policies in the region are increasingly driven by international discourses adopted locally, raising questions about the degree to which such policies reflect indigenous priorities rather than externally generated expectations. Slee (2011) reinforces this concern, arguing that the global incorporation of inclusive education into government policy has sometimes proceeded with insufficient attention to cultural specificity and local institutional conditions. In the Guyanese case, this is not a hypothetical risk. The Draft Inclusion Policy was authored by a British VSO adviser through the National Centre for Educational Resource Development, rather than by Guyanese educators, disability advocates, or communities of persons with disabilities themselves. Walton (2018) argues that inclusive education models developed in the Global North may function as externally imposed structures when transplanted to postcolonial systems without substantive local adaptation. That the Draft Inclusion Policy has remained unadopted for more than fifteen years may itself reflect this tension: a document produced through international technical assistance has not secured the local institutional ownership necessary for formal adoption and sustained implementation. Lashley (2024) extends this argument empirically, contending that the modification and adaptation of Northern models to suit Guyana's educational and cultural context remains a central unresolved challenge. The decolonial concern is not that international expertise was involved in the policy's development; it is that the resulting document may be misaligned with the conditions under which Guyanese educators and learners actually operate.</w:t>
      </w:r>
    </w:p>
    <w:p w14:paraId="2DA6106E" w14:textId="77777777" w:rsidR="00D301B0" w:rsidRDefault="00000000" w:rsidP="006D5DA2">
      <w:pPr>
        <w:pStyle w:val="Heading3"/>
        <w:spacing w:line="360" w:lineRule="auto"/>
      </w:pPr>
      <w:bookmarkStart w:id="28" w:name="_Toc227014910"/>
      <w:r>
        <w:t>2.4.5 Inclusive Education in the Caribbean and Guyana</w:t>
      </w:r>
      <w:bookmarkEnd w:id="28"/>
    </w:p>
    <w:p w14:paraId="56D115C4" w14:textId="77777777" w:rsidR="00D301B0" w:rsidRDefault="00000000" w:rsidP="006D5DA2">
      <w:pPr>
        <w:spacing w:line="360" w:lineRule="auto"/>
        <w:ind w:firstLine="720"/>
      </w:pPr>
      <w:r>
        <w:t>The Caribbean region presents a distinctive context for inclusive education, shaped by shared legacies of colonial education systems, examination-driven curricula, and historically limited specialist provision. Armstrong et al. (2005), in their study of the Eastern Caribbean, reported that across the region the curriculum for children with disabilities remained heavily biased toward vocational skills, with insufficient trained special education teachers and inadequate resource allocation. Blackman, Conrad and Brown (2019), in the most extensive edited collection on the subject, examine the historical, systemic, and attitudinal barriers that continue to impede inclusive education across the region. They argue that globalised views of inclusion, informed by philosophical ideas from the Global North, have shaped but not always served the Caribbean equity agenda. Conrad and Brown (2011), examining principals' perspectives in Trinidad and Tobago, found that school leaders identified lack of resources, inadequate training, and attitudinal barriers as the primary obstacles, and that leadership commitment to inclusion was a necessary but insufficient condition without systemic support.</w:t>
      </w:r>
    </w:p>
    <w:p w14:paraId="3A1EC561" w14:textId="77777777" w:rsidR="006D5DA2" w:rsidRDefault="006D5DA2" w:rsidP="006D5DA2">
      <w:pPr>
        <w:spacing w:line="360" w:lineRule="auto"/>
      </w:pPr>
    </w:p>
    <w:p w14:paraId="2E3CD6D2" w14:textId="726F7D17" w:rsidR="00D301B0" w:rsidRDefault="00000000" w:rsidP="006D5DA2">
      <w:pPr>
        <w:spacing w:line="360" w:lineRule="auto"/>
        <w:ind w:firstLine="720"/>
      </w:pPr>
      <w:r>
        <w:t>Within this regional context, a small but growing body of empirical research addresses inclusive education specifically in Guyana. Ajodhia-Andrews and Frankel (2010) conducted the earliest systematic qualitative study, interviewing policymakers, teachers, and parents of children with special needs. Four interacting barriers emerged: negative societal attitudes toward disability, the absence of effective change agents, inadequate resources, and limited direct experience with children with special needs. The National Commission on Disability survey data reported by the authors indicated that 42% of children with disabilities under sixteen had never attended school, with over half citing parental discouragement (Mitchell, 2005, cited in Cheong et al., 2019). Cheong, Kellems, Andersen and Steed (2019) provide a broader overview of disability education in Guyana, documenting that despite legislative developments including the Persons with Disabilities Act 2010, students with disabilities continue to face higher rates of poverty, limited school access, and a severe shortage of trained teachers. Fraser (2014) identifies a similar gap between government funding for special schools and the resources required for effective provision.</w:t>
      </w:r>
    </w:p>
    <w:p w14:paraId="5970F362" w14:textId="77777777" w:rsidR="006D5DA2" w:rsidRDefault="006D5DA2" w:rsidP="006D5DA2">
      <w:pPr>
        <w:spacing w:line="360" w:lineRule="auto"/>
      </w:pPr>
    </w:p>
    <w:p w14:paraId="6F0A0F3A" w14:textId="4986F4FA" w:rsidR="00D301B0" w:rsidRDefault="00000000" w:rsidP="006D5DA2">
      <w:pPr>
        <w:spacing w:line="360" w:lineRule="auto"/>
        <w:ind w:firstLine="720"/>
      </w:pPr>
      <w:r>
        <w:t xml:space="preserve">The most extensive recent empirical contribution is Lashley’s ethnographic research in Guyanese mainstream primary schools. Lashley (2023) documents experiences of marginalisation, discrimination, and depersonalisation among children with SEND, captured in the metaphor of being told to “stay in your lane,” a systemic message communicated through institutional practices, teacher behaviour, and peer dynamics that mainstream schooling is not for them. Lashley (2025) extends this analysis to identify a “curious gap between hope and happening” in the experiences of children with exceptionalities, arguing that the gap between inclusive policy aspiration and classroom reality is not a static void but an active zone of localised struggle. Most recently, Lashley (2024) argues that inclusive education in Guyana remains firmly embedded in medical model assumptions despite social model policy language, and that the system’s actual operation reproduces exclusion even </w:t>
        <w:lastRenderedPageBreak/>
        <w:t>where formal zero-rejection policies exist. This body of Guyana-specific evidence provides an essential empirical counterpart to the document analysis conducted in the present study.</w:t>
      </w:r>
    </w:p>
    <w:p w14:paraId="6FF71536" w14:textId="77777777" w:rsidR="00D301B0" w:rsidRDefault="00000000" w:rsidP="006D5DA2">
      <w:pPr>
        <w:pStyle w:val="Heading2"/>
        <w:spacing w:line="360" w:lineRule="auto"/>
      </w:pPr>
      <w:bookmarkStart w:id="29" w:name="_Toc227014911"/>
      <w:r>
        <w:t>2.5 Summary of Literature Review</w:t>
      </w:r>
      <w:bookmarkEnd w:id="29"/>
    </w:p>
    <w:p w14:paraId="74F59D18" w14:textId="77777777" w:rsidR="00D301B0" w:rsidRDefault="00000000" w:rsidP="006D5DA2">
      <w:pPr>
        <w:spacing w:after="200" w:line="360" w:lineRule="auto"/>
        <w:ind w:firstLine="720"/>
        <w:jc w:val="both"/>
      </w:pPr>
      <w:r>
        <w:t>The literature reviewed in this chapter establishes five propositions that provide the analytical foundation for the chapters that follow. Inclusive education is most effectively conceptualised through the biopsychosocial model, which acknowledges both the social barriers that exclude learners with disabilities and the individual support needs that effective inclusion must address; this lens is applied in Chapter 4 to evaluate the Draft Inclusion Policy's approach to special educational needs. Effective policy implementation requires not only sound policy design but also adequate institutional capacity, coherent governance structures, and sustained professional development; Matland's (1995) ambiguity-conflict model and Lipsky's (2010) concept of street-level bureaucracy provide complementary tools for analysing why implementation outcomes diverge from policy intentions. Disability-specific implementation guidance is an essential complement to broad inclusive policy commitments, without which policy language risks producing integration without inclusion. The normative standard for evaluating inclusive education policy has evolved significantly since the Salamanca Statement, with General Comment No. 4 (2016) and the UNESCO Global Education Monitoring Report (2020) establishing contemporary benchmarks against which the Draft Inclusion Policy must be assessed. The emerging Guyana-specific empirical literature — particularly the ethnographic work of Lashley (2023, 2024, 2025) and the stakeholder research of Ajodhia-Andrews and Frankel (2010) — documents a persistent gap between policy aspiration and classroom reality that the present study's document analysis can examine from the complementary perspective of the policy text itself.</w:t>
      </w:r>
    </w:p>
    <w:p w14:paraId="0D9891E4" w14:textId="77777777" w:rsidR="00D301B0" w:rsidRDefault="00000000" w:rsidP="006D5DA2">
      <w:pPr>
        <w:spacing w:line="360" w:lineRule="auto"/>
      </w:pPr>
      <w:r>
        <w:br w:type="page"/>
      </w:r>
    </w:p>
    <w:p w14:paraId="31218828" w14:textId="77777777" w:rsidR="00D301B0" w:rsidRDefault="00000000" w:rsidP="007E7A00">
      <w:pPr>
        <w:pStyle w:val="Heading1"/>
        <w:spacing w:line="360" w:lineRule="auto"/>
      </w:pPr>
      <w:bookmarkStart w:id="30" w:name="_Toc227014912"/>
      <w:r>
        <w:rPr>
          <w:caps/>
        </w:rPr>
        <w:lastRenderedPageBreak/>
        <w:t>CHAPTER 3: METHODOLOGY</w:t>
      </w:r>
      <w:bookmarkEnd w:id="30"/>
    </w:p>
    <w:p w14:paraId="6E714670" w14:textId="77777777" w:rsidR="00D301B0" w:rsidRDefault="00000000" w:rsidP="007E7A00">
      <w:pPr>
        <w:pStyle w:val="Heading2"/>
        <w:spacing w:line="360" w:lineRule="auto"/>
      </w:pPr>
      <w:bookmarkStart w:id="31" w:name="_Toc227014913"/>
      <w:r>
        <w:t>3.1 Introduction</w:t>
      </w:r>
      <w:bookmarkEnd w:id="31"/>
    </w:p>
    <w:p w14:paraId="0AA823B6" w14:textId="77777777" w:rsidR="00D301B0" w:rsidRDefault="00000000" w:rsidP="007E7A00">
      <w:pPr>
        <w:spacing w:after="200" w:line="360" w:lineRule="auto"/>
        <w:ind w:firstLine="720"/>
        <w:jc w:val="both"/>
      </w:pPr>
      <w:r>
        <w:t>The methodological approach adopted in this study is described and justified below. The chapter outlines the research design, explains the rationale for employing document analysis as the primary method of inquiry, details the population of documents considered and the purposive sampling strategy used to select the core corpus, describes the analytical instrument, and addresses questions of validity, reliability, positionality, and ethical integrity. It concludes by acknowledging the key limitations of the methodology and their implications for the interpretation of findings.</w:t>
      </w:r>
    </w:p>
    <w:p w14:paraId="6F6EBBAE" w14:textId="77777777" w:rsidR="00D301B0" w:rsidRDefault="00000000" w:rsidP="007E7A00">
      <w:pPr>
        <w:pStyle w:val="Heading2"/>
        <w:spacing w:line="360" w:lineRule="auto"/>
      </w:pPr>
      <w:bookmarkStart w:id="32" w:name="_Toc227014914"/>
      <w:r>
        <w:t>3.2 Research Design</w:t>
      </w:r>
      <w:bookmarkEnd w:id="32"/>
    </w:p>
    <w:p w14:paraId="0622F5C1" w14:textId="77777777" w:rsidR="00D301B0" w:rsidRDefault="00000000" w:rsidP="007E7A00">
      <w:pPr>
        <w:spacing w:after="200" w:line="360" w:lineRule="auto"/>
        <w:ind w:firstLine="720"/>
        <w:jc w:val="both"/>
      </w:pPr>
      <w:r>
        <w:t>This study adopts a qualitative research design, employing a desktop research methodology based on systematic document analysis. Qualitative research is distinguished by its focus on meaning, interpretation, and context, and by its commitment to developing in-depth understanding of complex social phenomena rather than producing statistical generalisations (Creswell, 2014). This orientation is particularly well-suited to the study of educational policy, where the meaning of policy language, the institutional logic embedded in documents, and the structural conditions of implementation are all matters of interpretive inquiry that resist quantification. The study's research questions, which concern the content and alignment of a policy document, the institutional mechanisms associated with it, and the structural factors shaping its implementation, can all be addressed systematically through the analysis of policy texts and strategic planning documents.</w:t>
      </w:r>
    </w:p>
    <w:p w14:paraId="063AA40A" w14:textId="77777777" w:rsidR="00D301B0" w:rsidRDefault="00000000" w:rsidP="007E7A00">
      <w:pPr>
        <w:spacing w:after="200" w:line="360" w:lineRule="auto"/>
        <w:ind w:firstLine="720"/>
        <w:jc w:val="both"/>
      </w:pPr>
      <w:r>
        <w:t xml:space="preserve">Document analysis, as defined by Bowen (2009, p. 27), is a systematic procedure for reviewing or evaluating documents, both printed and electronic. The epistemological rationale for this choice is that policy documents are themselves primary social data: they do not merely describe institutional arrangements but actively constitute them, establishing what is valued, who is responsible, and what counts as legitimate practice. Understanding the gap between policy aspiration and institutional reality therefore begins with a rigorous, textually grounded reading of the policy document itself, an understanding of what it says, what it implies, and </w:t>
        <w:lastRenderedPageBreak/>
        <w:t>what it conspicuously omits. This is an interpretive and analytical task that qualitative document analysis is specifically designed to perform, and it is consistent with the broadly interpretivist epistemological position that underpins the study's approach to knowledge generation.</w:t>
      </w:r>
    </w:p>
    <w:p w14:paraId="12B3CC95" w14:textId="77777777" w:rsidR="00D301B0" w:rsidRDefault="00000000" w:rsidP="007E7A00">
      <w:pPr>
        <w:spacing w:line="360" w:lineRule="auto"/>
        <w:ind w:firstLine="720"/>
      </w:pPr>
      <w:r>
        <w:t>The study is guided by a set of working propositions, as articulated in Section 1.5. The use of propositions within a qualitative, interpretivist research design requires explicit methodological justification, as hypotheses are more commonly associated with positivist and quantitative traditions. Lincoln and Guba (1985, pp. 122–128) introduced the concept of the working hypothesis as part of the naturalistic inquiry paradigm, arguing that the outcomes of qualitative research are best expressed not as generalisable laws but as tentative, context-bound propositions that provide transferable insights while remaining open to revision. Shields, Rangarajan and Casula (2019) develop this concept further, demonstrating that working propositions function as micro-conceptual frameworks that help organise the inquiry and are refined through iterative engagement with the evidence. In this study, the working propositions serve as orienting formulations derived from the preliminary literature review. They structure the analytical inquiry without constraining it. The document analysis is designed to test, refine, and where necessary challenge these propositions through systematic engagement with the primary sources, and the evaluation presented in Section 4.5 reports the outcome of that engagement in terms of refinement and qualification rather than binary confirmation.</w:t>
      </w:r>
    </w:p>
    <w:p w14:paraId="6A25699A" w14:textId="77777777" w:rsidR="007E7A00" w:rsidRDefault="007E7A00" w:rsidP="007E7A00">
      <w:pPr>
        <w:spacing w:line="360" w:lineRule="auto"/>
        <w:ind w:firstLine="720"/>
      </w:pPr>
    </w:p>
    <w:p w14:paraId="16BC2568" w14:textId="77777777" w:rsidR="00D301B0" w:rsidRDefault="00000000" w:rsidP="007E7A00">
      <w:pPr>
        <w:spacing w:line="360" w:lineRule="auto"/>
        <w:ind w:firstLine="720"/>
      </w:pPr>
      <w:r>
        <w:t>The analytical procedure integrates Bowen's (2009) document analysis model with elements of Braun and Clarke's (2006) approach to thematic analysis. Bowen's four-stage process — familiarisation, systematic reading with annotation, cross-document comparison, and interpretive synthesis — provides the overall structure of the analytical workflow. Braun and Clarke's six-phase model complements this by providing a more granular account of how themes are generated from textual data: initial coding of relevant passages, collation of codes into candidate themes, review of themes against the coded extracts and the full data set, and the definition and naming of final themes. The analysis employed a primarily deductive coding approach, applying the thirteen dimensions specified in the structured analysis instrument (reproduced in Appendix C) as the initial coding categories. Within this deductive structure, inductive refinement was permitted where recurring patterns emerged across documents that were not fully anticipated by the initial instrument. Each document in the core corpus was first read in its entirety, then systematically coded against these dimensions. Codes were collated into thematic clusters corresponding to the study's research questions, and these clusters were reviewed iteratively to ensure internal coherence and adequate grounding in the documentary evidence. The resulting thematic structure organises the presentation of findings in Chapter 4.</w:t>
      </w:r>
    </w:p>
    <w:p w14:paraId="4AF3BFE0" w14:textId="77777777" w:rsidR="00D301B0" w:rsidRDefault="00000000" w:rsidP="007E7A00">
      <w:pPr>
        <w:pStyle w:val="Heading2"/>
        <w:spacing w:line="360" w:lineRule="auto"/>
      </w:pPr>
      <w:bookmarkStart w:id="33" w:name="_Toc227014915"/>
      <w:r>
        <w:t>3.3 Population of the Study</w:t>
      </w:r>
      <w:bookmarkEnd w:id="33"/>
    </w:p>
    <w:p w14:paraId="0414DDF4" w14:textId="77777777" w:rsidR="00D301B0" w:rsidRDefault="00000000" w:rsidP="007E7A00">
      <w:pPr>
        <w:spacing w:after="200" w:line="360" w:lineRule="auto"/>
        <w:ind w:firstLine="720"/>
        <w:jc w:val="both"/>
      </w:pPr>
      <w:r>
        <w:t>The population of the study consists of all documents relevant to inclusive education policy and practice in Guyana, including: official policy documents produced by the Ministry of Education Guyana; national strategic planning frameworks; legislative instruments relevant to disability and educational rights; institutional reports from schools, SEN departments, and allied organisations; publicly available communications and materials from the Ministry of Education and the Guyana Council of Organisations for Persons with Disabilities; and peer-reviewed scholarly literature on inclusive education, policy implementation, and disability in developing contexts. This population is large and heterogeneous. Not all documents within it are equally relevant to the study's specific research questions, nor are all equally accessible or reliable as sources of evidence. The selection of a manageable and analytically productive sample requires a principled and justified strategy.</w:t>
      </w:r>
    </w:p>
    <w:p w14:paraId="2F938A7F" w14:textId="77777777" w:rsidR="00D301B0" w:rsidRDefault="00000000" w:rsidP="007E7A00">
      <w:pPr>
        <w:pStyle w:val="Heading2"/>
        <w:spacing w:line="360" w:lineRule="auto"/>
      </w:pPr>
      <w:bookmarkStart w:id="34" w:name="_Toc227014916"/>
      <w:r>
        <w:t>3.4 Sample and Sampling Technique</w:t>
      </w:r>
      <w:bookmarkEnd w:id="34"/>
    </w:p>
    <w:p w14:paraId="4A34EE19" w14:textId="77777777" w:rsidR="00D301B0" w:rsidRDefault="00000000" w:rsidP="007E7A00">
      <w:pPr>
        <w:spacing w:after="200" w:line="360" w:lineRule="auto"/>
        <w:ind w:firstLine="720"/>
        <w:jc w:val="both"/>
      </w:pPr>
      <w:r>
        <w:t>A purposive sampling technique was employed to select the core corpus of documents for analysis. Purposive sampling involves the deliberate selection of cases or documents on the basis of their relevance to the study’s theoretical and empirical concerns, rather than on the basis of random or representative sampling logic (Creswell, 2014). The goal is not statistical representativeness but analytical richness and relevance. The sampling strategy was guided by three criteria: direct relevance to the research questions; provision of insight into either the formal policy position of the Guyanese education system or the scholarly debates necessary for interpreting that position; and preference for primary sources, particularly official policy, legislative, and planning documents produced by or for the Government of Guyana.</w:t>
      </w:r>
    </w:p>
    <w:p w14:paraId="6B9F0541" w14:textId="77777777" w:rsidR="00D301B0" w:rsidRDefault="00000000" w:rsidP="007E7A00">
      <w:pPr>
        <w:spacing w:after="200" w:line="360" w:lineRule="auto"/>
        <w:ind w:firstLine="720"/>
        <w:jc w:val="both"/>
      </w:pPr>
      <w:r>
        <w:lastRenderedPageBreak/>
        <w:t>The core corpus is organised in three tiers. The primary object of close textual analysis is the Draft Inclusion Policy for Special Educational Needs (Ministry of Education Guyana, 2010). The national policy and legislative context is established through three further documents: the Education Strategic Plan 2021–2025 (Ministry of Education Guyana, 2021), the Persons with Disabilities Act 2010, and the Education Bill 2014. International normative benchmarks against which the Draft Inclusion Policy is evaluated comprise the UNESCO Salamanca Statement (1994), the United Nations Convention on the Rights of Persons with Disabilities (2006), and General Comment No. 4 on Article 24: Right to Inclusive Education (Committee on the Rights of Persons with Disabilities, 2016). The corpus also draws on institutional and contextual sources, including publicly available materials from the Ministry of Education Guyana and the Guyana Council of Organisations for Persons with Disabilities, and the World Bank’s Disability Inclusion country profile for Guyana (World Bank, 2023). This documentary corpus is supplemented by a purposively selected body of peer-reviewed scholarly literature providing theoretical, empirical, and comparative context. Summary details of all core documents are provided in Appendix B.</w:t>
      </w:r>
    </w:p>
    <w:p>
      <w:pPr>
        <w:spacing w:after="200" w:line="360" w:lineRule="auto"/>
        <w:ind w:firstLine="720"/>
        <w:jc w:val="both"/>
      </w:pPr>
      <w:r>
        <w:rPr>
          <w:rFonts w:ascii="Times New Roman" w:cs="Times New Roman" w:eastAsia="Times New Roman" w:hAnsi="Times New Roman"/>
          <w:sz w:val="24"/>
          <w:szCs w:val="24"/>
        </w:rPr>
        <w:t xml:space="preserve">Each research question draws on a specific subset of this corpus. Research Question 1 (policy alignment with international frameworks) is addressed primarily through close comparative reading of the Draft Inclusion Policy against the Salamanca Statement, the CRPD, and General Comment No. 4. Research Question 2 (institutional mechanisms and operationalisation) draws on the Draft Inclusion Policy, the Education Strategic Plan 2021–2025, publicly available Ministry of Education materials, and the World Bank country profile to identify evidence of implementation. Research Question 3 (structural factors contributing to the policy-practice gap) requires the broadest engagement with the corpus, integrating evidence from the Draft Inclusion Policy, the Persons with Disabilities Act 2010, the Education Bill 2014, the Education Strategic Plan, and the scholarly literature on Guyanese inclusive education. Research Question 4 (preconditions for strengthening the policy framework) is addressed in Chapter 5 by synthesising the analytical findings from the preceding questions.</w:t>
      </w:r>
    </w:p>
    <w:p w14:paraId="4E997617" w14:textId="77777777" w:rsidR="00D301B0" w:rsidRDefault="00000000" w:rsidP="007E7A00">
      <w:pPr>
        <w:pStyle w:val="Heading2"/>
        <w:spacing w:line="360" w:lineRule="auto"/>
      </w:pPr>
      <w:bookmarkStart w:id="35" w:name="_Toc227014917"/>
      <w:r>
        <w:t>3.5 Instrument of Data Collection</w:t>
      </w:r>
      <w:bookmarkEnd w:id="35"/>
    </w:p>
    <w:p w14:paraId="70542459" w14:textId="77777777" w:rsidR="00D301B0" w:rsidRDefault="00000000" w:rsidP="007E7A00">
      <w:pPr>
        <w:spacing w:after="200" w:line="360" w:lineRule="auto"/>
        <w:ind w:firstLine="720"/>
        <w:jc w:val="both"/>
      </w:pPr>
      <w:r>
        <w:t>The primary instrument of analysis is a structured document analysis framework developed for this study. The framework was designed to ensure systematic and consistent engagement with all core documents and to maintain alignment between the analysis and the study's research questions. It operationalises the conceptual lens articulated in Chapter 2 by translating its key propositions into specific analytic questions applied to each document. The framework examines each document across thirteen dimensions including: policy purpose and scope; definition and conceptualisation of SEN and disability; inclusive education principles; relationship to international frameworks; implementation mechanisms; roles and responsibilities; teacher preparation and professional development; disability-specific guidance; monitoring and accountability; resource and institutional capacity implications; policy coherence; policy limitations or silences; and implications for reform. The full framework is reproduced in Appendix C.</w:t>
      </w:r>
    </w:p>
    <w:p w14:paraId="67035BEC" w14:textId="77777777" w:rsidR="00D301B0" w:rsidRDefault="00000000" w:rsidP="007E7A00">
      <w:pPr>
        <w:spacing w:after="200" w:line="360" w:lineRule="auto"/>
        <w:ind w:firstLine="720"/>
        <w:jc w:val="both"/>
      </w:pPr>
      <w:r>
        <w:t>The analytical process involved four iterative stages described by Bowen (2009). Each document was first read in its entirety to develop familiarity. A systematic reading was then conducted, applying the instrument's categories as organising themes and annotating the text with page references and direct quotations. Emerging themes were compared across documents, and patterns of convergence and divergence were identified. In the final stage, findings were interpreted in relation to the theoretical and empirical literature. The process was designed to ensure that findings in Chapter 4 are explicitly traceable to specific sections of the primary documents — particularly the Draft Inclusion Policy — through quoted extracts with page references. The aim is that the analysis functions as genuine document analysis rather than as inferential commentary on what documents fail to say.</w:t>
      </w:r>
    </w:p>
    <w:p w14:paraId="06EA54AA" w14:textId="77777777" w:rsidR="00D301B0" w:rsidRDefault="00000000" w:rsidP="007E7A00">
      <w:pPr>
        <w:pStyle w:val="Heading2"/>
        <w:spacing w:line="360" w:lineRule="auto"/>
      </w:pPr>
      <w:bookmarkStart w:id="36" w:name="_Toc227014918"/>
      <w:r>
        <w:t>3.6 Validity of the Instrument</w:t>
      </w:r>
      <w:bookmarkEnd w:id="36"/>
    </w:p>
    <w:p w14:paraId="66BEAEC2" w14:textId="77777777" w:rsidR="00D301B0" w:rsidRDefault="00000000" w:rsidP="007E7A00">
      <w:pPr>
        <w:spacing w:after="200" w:line="360" w:lineRule="auto"/>
        <w:ind w:firstLine="720"/>
        <w:jc w:val="both"/>
      </w:pPr>
      <w:r>
        <w:t>Validity in qualitative research refers to the credibility and trustworthiness of the findings (Creswell, 2014). Several strategies were employed. Triangulation was achieved by drawing on multiple document sources rather than relying on a single text. The document analysis instrument was designed to maintain close alignment with the research questions and conceptual lens. The study maintains a consistent three-tier distinction between: findings directly supported by quoted or page-referenced textual evidence from the primary documents; findings inferred from patterns across the documentary corpus; and interpretive conclusions drawn with support from the wider scholarly literature. Claims built on the second and third categories are explicitly signalled in Chapter 4. This distinction is designed to prevent the conflation of interpretive claim with documented fact and to ensure that the study's epistemological standards are transparently applied. Validity is also supported through conceptual alignment across chapters: the theoretical and conceptual lens established in Chapter 2 directly generated the analytical categories applied in Chapter 3, which in turn structure the discussion in Chapter 4.</w:t>
      </w:r>
    </w:p>
    <w:p w14:paraId="3C4340BD" w14:textId="77777777" w:rsidR="00D301B0" w:rsidRDefault="00000000" w:rsidP="007E7A00">
      <w:pPr>
        <w:pStyle w:val="Heading2"/>
        <w:spacing w:line="360" w:lineRule="auto"/>
      </w:pPr>
      <w:bookmarkStart w:id="37" w:name="_Toc227014919"/>
      <w:r>
        <w:t>3.7 Reliability of the Instrument</w:t>
      </w:r>
      <w:bookmarkEnd w:id="37"/>
    </w:p>
    <w:p w14:paraId="7B175A97" w14:textId="77777777" w:rsidR="00D301B0" w:rsidRDefault="00000000" w:rsidP="007E7A00">
      <w:pPr>
        <w:spacing w:after="200" w:line="360" w:lineRule="auto"/>
        <w:ind w:firstLine="720"/>
        <w:jc w:val="both"/>
      </w:pPr>
      <w:r>
        <w:t>Reliability in qualitative document analysis refers to the consistency and transparency of the analytical process. Reliability was supported through the application of consistent analytic questions across all core documents, ensuring that each was examined on a comparable basis. The explicit documentation of the framework in Appendix C provides a transparent account of the procedures employed, enabling readers to assess the consistency of the approach and, if desired, to apply it to additional documents. Qualitative analysis inevitably involves interpretive judgement that cannot be fully eliminated (Creswell, 2014). To minimise unwarranted bias, the study grounds its interpretations explicitly in quoted or page-referenced documentary evidence and explicitly acknowledges where interpretive claims go beyond what the evidence strictly warrants.</w:t>
      </w:r>
    </w:p>
    <w:p w14:paraId="49FB3B15" w14:textId="77777777" w:rsidR="00D301B0" w:rsidRDefault="00000000" w:rsidP="007E7A00">
      <w:pPr>
        <w:pStyle w:val="Heading2"/>
        <w:spacing w:line="360" w:lineRule="auto"/>
      </w:pPr>
      <w:bookmarkStart w:id="38" w:name="_Toc227014920"/>
      <w:r>
        <w:t>3.8 Positionality and Ethical Considerations</w:t>
      </w:r>
      <w:bookmarkEnd w:id="38"/>
    </w:p>
    <w:p w14:paraId="46166195" w14:textId="77777777" w:rsidR="00D301B0" w:rsidRDefault="00000000" w:rsidP="007E7A00">
      <w:pPr>
        <w:spacing w:after="200" w:line="360" w:lineRule="auto"/>
        <w:ind w:firstLine="720"/>
        <w:jc w:val="both"/>
      </w:pPr>
      <w:r>
        <w:t>As a researcher engaged with education policy in the Caribbean context, I acknowledge that my professional standpoint may shape the reading of documents and the framing of analytical conclusions. In particular, familiarity with the structural conditions of Caribbean education systems may predispose the analysis toward certain interpretations of policy gaps and implementation challenges. To mitigate this, the study grounds all analytical claims in direct textual evidence from the documents analysed, and where interpretive judgement is exercised, this is made explicit in the text. All sources are properly acknowledged and cited in accordance with the Harvard referencing convention. Critical analysis of the Draft Inclusion Policy implies neither that the policy has no value nor that the individuals and institutions involved in its development have acted in bad faith. The aim is to produce a rigorous, evidence-based assessment that contributes constructively to the policy's improvement. The study relies exclusively on publicly available documents and does not make use of confidential or restricted materials.</w:t>
      </w:r>
    </w:p>
    <w:p w14:paraId="63AA5982" w14:textId="77777777" w:rsidR="00D301B0" w:rsidRDefault="00000000" w:rsidP="007E7A00">
      <w:pPr>
        <w:pStyle w:val="Heading2"/>
        <w:spacing w:line="360" w:lineRule="auto"/>
      </w:pPr>
      <w:bookmarkStart w:id="39" w:name="_Toc227014921"/>
      <w:r>
        <w:t>3.9 Limitations of the Methodology</w:t>
      </w:r>
      <w:bookmarkEnd w:id="39"/>
    </w:p>
    <w:p w14:paraId="1938BBE7" w14:textId="77777777" w:rsidR="00D301B0" w:rsidRDefault="00000000" w:rsidP="007E7A00">
      <w:pPr>
        <w:spacing w:after="200" w:line="360" w:lineRule="auto"/>
        <w:ind w:firstLine="720"/>
        <w:jc w:val="both"/>
      </w:pPr>
      <w:r>
        <w:t>The most significant limitation of the document analysis methodology is that it cannot capture the lived experiences of stakeholders within the inclusive education system (Bowen, 2009). The views, experiences, and professional judgments of teachers, SEN officers, school administrators, parents, and learners with disabilities are central to understanding how inclusive education policy is enacted in practice. A further limitation concerns the completeness of the documentary record: publicly available documentation on inclusive education in Guyana is relatively limited, and some institutional initiatives, internal guidelines, or recent administrative developments may not be fully captured in publicly available documentation. Importantly, documentary absence should not automatically be interpreted as institutional absence; the absence of documented evidence of a programme does not necessarily mean that the programme does not exist. Document analysis also cannot fully account for the informal, relational, and culturally embedded dimensions of inclusive education practice, or for the degree to which the policy's international technical assistance origins may have produced an instrument ill-fitted to local conditions (Walton, 2018). These limitations are acknowledged explicitly wherever they bear on the interpretation of specific findings in Chapter 4.</w:t>
      </w:r>
    </w:p>
    <w:p w14:paraId="308D4112" w14:textId="77777777" w:rsidR="00D301B0" w:rsidRDefault="00000000">
      <w:r>
        <w:br w:type="page"/>
      </w:r>
    </w:p>
    <w:p w14:paraId="36061333" w14:textId="77777777" w:rsidR="00D301B0" w:rsidRDefault="00000000">
      <w:pPr>
        <w:pStyle w:val="Heading1"/>
      </w:pPr>
      <w:bookmarkStart w:id="40" w:name="_Toc227014922"/>
      <w:r>
        <w:rPr>
          <w:caps/>
        </w:rPr>
        <w:lastRenderedPageBreak/>
        <w:t>CHAPTER 4: RESULTS AND DISCUSSION</w:t>
      </w:r>
      <w:bookmarkEnd w:id="40"/>
    </w:p>
    <w:p w14:paraId="221B6631" w14:textId="77777777" w:rsidR="00D301B0" w:rsidRDefault="00000000">
      <w:pPr>
        <w:pStyle w:val="Heading2"/>
      </w:pPr>
      <w:bookmarkStart w:id="41" w:name="_Toc227014923"/>
      <w:r>
        <w:t>4.1 Introduction</w:t>
      </w:r>
      <w:bookmarkEnd w:id="41"/>
    </w:p>
    <w:p w14:paraId="102C3767" w14:textId="77777777" w:rsidR="00D301B0" w:rsidRDefault="00000000">
      <w:pPr>
        <w:spacing w:after="200" w:line="360" w:lineRule="auto"/>
        <w:ind w:firstLine="720"/>
        <w:jc w:val="both"/>
      </w:pPr>
      <w:r>
        <w:t>The findings below are organised by research question; Section 4.5 evaluates the working propositions from Section 1.5 against the evidence that emerges. Every claim rests on quoted or page-referenced documentary evidence.</w:t>
      </w:r>
    </w:p>
    <w:p w14:paraId="0B56167B" w14:textId="77777777" w:rsidR="00D301B0" w:rsidRDefault="00000000">
      <w:pPr>
        <w:pStyle w:val="Heading2"/>
      </w:pPr>
      <w:bookmarkStart w:id="42" w:name="_Toc227014924"/>
      <w:r>
        <w:t>4.2 Research Question 1: Policy Alignment with International Frameworks</w:t>
      </w:r>
      <w:bookmarkEnd w:id="42"/>
    </w:p>
    <w:p w14:paraId="00A918AC" w14:textId="77777777" w:rsidR="00D301B0" w:rsidRDefault="00000000">
      <w:pPr>
        <w:spacing w:after="200" w:line="360" w:lineRule="auto"/>
        <w:ind w:firstLine="720"/>
        <w:jc w:val="both"/>
      </w:pPr>
      <w:r>
        <w:rPr>
          <w:i/>
          <w:iCs/>
        </w:rPr>
        <w:t>Research Question 1 asks: To what extent does the Draft Inclusion Policy for Special Educational Needs (2010) reflect the principles of international frameworks for inclusive education?</w:t>
      </w:r>
    </w:p>
    <w:p w14:paraId="7224237F" w14:textId="77777777" w:rsidR="00D301B0" w:rsidRDefault="00000000">
      <w:pPr>
        <w:spacing w:after="200" w:line="360" w:lineRule="auto"/>
        <w:ind w:firstLine="720"/>
        <w:jc w:val="both"/>
      </w:pPr>
      <w:r>
        <w:t>Alignment is evaluated across seven thematic dimensions drawn from the structured document analysis framework (Appendix C), using two primary international benchmarks: the Salamanca Statement and Framework for Action (UNESCO, 1994) and the Convention on the Rights of Persons with Disabilities as interpreted through General Comment No. 4 (Committee on the Rights of Persons with Disabilities, 2016). Table 4.01 sets out the comparative findings.</w:t>
      </w:r>
    </w:p>
    <w:p w14:paraId="6F72B4FF" w14:textId="04713327" w:rsidR="00D301B0" w:rsidRPr="007E7A00" w:rsidRDefault="007E7A00" w:rsidP="007E7A00">
      <w:pPr>
        <w:pStyle w:val="Caption"/>
        <w:keepNext/>
        <w:jc w:val="both"/>
        <w:rPr>
          <w:b/>
          <w:bCs/>
          <w:i w:val="0"/>
          <w:iCs w:val="0"/>
          <w:sz w:val="24"/>
          <w:szCs w:val="24"/>
        </w:rPr>
      </w:pPr>
      <w:bookmarkStart w:id="43" w:name="_Toc227014946"/>
      <w:bookmarkStart w:id="44" w:name="_Toc227016104"/>
      <w:r>
        <w:rPr>
          <w:b/>
          <w:bCs/>
          <w:i w:val="0"/>
          <w:iCs w:val="0"/>
          <w:sz w:val="24"/>
          <w:szCs w:val="24"/>
        </w:rPr>
        <w:t>Table 4.0</w:t>
        <w:fldChar w:fldCharType="begin"/>
        <w:instrText xml:space="preserve"> SEQ Table_4.0 \* ARABIC </w:instrText>
        <w:fldChar w:fldCharType="separate"/>
      </w:r>
      <w:r>
        <w:rPr>
          <w:b/>
          <w:bCs/>
          <w:i w:val="0"/>
          <w:iCs w:val="0"/>
          <w:noProof/>
          <w:sz w:val="24"/>
          <w:szCs w:val="24"/>
        </w:rPr>
        <w:t>1</w:t>
      </w:r>
      <w:r>
        <w:rPr>
          <w:b/>
          <w:bCs/>
          <w:i w:val="0"/>
          <w:iCs w:val="0"/>
          <w:sz w:val="24"/>
          <w:szCs w:val="24"/>
        </w:rPr>
        <w:fldChar w:fldCharType="end"/>
        <w:t>: Alignment of the Draft Inclusion Policy with International Frameworks</w:t>
      </w:r>
      <w:bookmarkEnd w:id="43"/>
      <w:bookmarkEnd w:id="44"/>
    </w:p>
    <w:tbl>
      <w:tblPr>
        <w:tblW w:w="8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600"/>
        <w:gridCol w:w="1900"/>
        <w:gridCol w:w="2100"/>
        <w:gridCol w:w="2100"/>
        <w:gridCol w:w="900"/>
      </w:tblGrid>
      <w:tr w:rsidR="00D301B0" w14:paraId="7840A67A" w14:textId="77777777">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E2F3"/>
          </w:tcPr>
          <w:p w14:paraId="1E969B97" w14:textId="77777777" w:rsidR="00D301B0" w:rsidRDefault="00000000">
            <w:pPr>
              <w:spacing w:before="40" w:after="40"/>
            </w:pPr>
            <w:r>
              <w:rPr>
                <w:b/>
                <w:bCs/>
                <w:sz w:val="20"/>
                <w:szCs w:val="20"/>
              </w:rPr>
              <w:t>Dimension</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Pr>
          <w:p w14:paraId="12DBBA90" w14:textId="77777777" w:rsidR="00D301B0" w:rsidRDefault="00000000">
            <w:pPr>
              <w:spacing w:before="40" w:after="40"/>
            </w:pPr>
            <w:r>
              <w:rPr>
                <w:b/>
                <w:bCs/>
                <w:sz w:val="20"/>
                <w:szCs w:val="20"/>
              </w:rPr>
              <w:t>Salamanca Statement (1994)</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Pr>
          <w:p w14:paraId="1290DD76" w14:textId="77777777" w:rsidR="00D301B0" w:rsidRDefault="00000000">
            <w:pPr>
              <w:spacing w:before="40" w:after="40"/>
            </w:pPr>
            <w:r>
              <w:rPr>
                <w:b/>
                <w:bCs/>
                <w:sz w:val="20"/>
                <w:szCs w:val="20"/>
              </w:rPr>
              <w:t>CRPD / General Comment No. 4 (2006; 2016)</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Pr>
          <w:p w14:paraId="5A8CC5B7" w14:textId="77777777" w:rsidR="00D301B0" w:rsidRDefault="00000000">
            <w:pPr>
              <w:spacing w:before="40" w:after="40"/>
            </w:pPr>
            <w:r>
              <w:rPr>
                <w:b/>
                <w:bCs/>
                <w:sz w:val="20"/>
                <w:szCs w:val="20"/>
              </w:rPr>
              <w:t>Draft Inclusion Policy (2010)</w:t>
            </w:r>
          </w:p>
        </w:tc>
        <w:tc>
          <w:tcPr>
            <w:tcW w:w="900" w:type="dxa"/>
            <w:tcBorders>
              <w:top w:val="single" w:sz="4" w:space="0" w:color="000000"/>
              <w:left w:val="single" w:sz="4" w:space="0" w:color="000000"/>
              <w:bottom w:val="single" w:sz="4" w:space="0" w:color="000000"/>
              <w:right w:val="single" w:sz="4" w:space="0" w:color="000000"/>
            </w:tcBorders>
            <w:shd w:val="clear" w:color="auto" w:fill="D9E2F3"/>
          </w:tcPr>
          <w:p w14:paraId="6589F31E" w14:textId="77777777" w:rsidR="00D301B0" w:rsidRDefault="00000000">
            <w:pPr>
              <w:spacing w:before="40" w:after="40"/>
            </w:pPr>
            <w:r>
              <w:rPr>
                <w:b/>
                <w:bCs/>
                <w:sz w:val="20"/>
                <w:szCs w:val="20"/>
              </w:rPr>
              <w:t>Alignment</w:t>
            </w:r>
          </w:p>
        </w:tc>
      </w:tr>
      <w:tr w:rsidR="00D301B0" w14:paraId="4A68BF9A" w14:textId="77777777">
        <w:tc>
          <w:tcPr>
            <w:tcW w:w="1600" w:type="dxa"/>
            <w:tcBorders>
              <w:top w:val="single" w:sz="4" w:space="0" w:color="000000"/>
              <w:left w:val="single" w:sz="4" w:space="0" w:color="000000"/>
              <w:bottom w:val="single" w:sz="4" w:space="0" w:color="000000"/>
              <w:right w:val="single" w:sz="4" w:space="0" w:color="000000"/>
            </w:tcBorders>
          </w:tcPr>
          <w:p w14:paraId="633F9BB1" w14:textId="77777777" w:rsidR="00D301B0" w:rsidRDefault="00000000">
            <w:pPr>
              <w:spacing w:before="40" w:after="40"/>
            </w:pPr>
            <w:r>
              <w:rPr>
                <w:sz w:val="20"/>
                <w:szCs w:val="20"/>
              </w:rPr>
              <w:t>Right to education and non-exclusion</w:t>
            </w:r>
          </w:p>
        </w:tc>
        <w:tc>
          <w:tcPr>
            <w:tcW w:w="1900" w:type="dxa"/>
            <w:tcBorders>
              <w:top w:val="single" w:sz="4" w:space="0" w:color="000000"/>
              <w:left w:val="single" w:sz="4" w:space="0" w:color="000000"/>
              <w:bottom w:val="single" w:sz="4" w:space="0" w:color="000000"/>
              <w:right w:val="single" w:sz="4" w:space="0" w:color="000000"/>
            </w:tcBorders>
          </w:tcPr>
          <w:p w14:paraId="1A44BB6E" w14:textId="77777777" w:rsidR="00D301B0" w:rsidRDefault="00000000">
            <w:pPr>
              <w:spacing w:before="40" w:after="40"/>
            </w:pPr>
            <w:r>
              <w:rPr>
                <w:sz w:val="20"/>
                <w:szCs w:val="20"/>
              </w:rPr>
              <w:t>Every child has a fundamental right to education (p. viii)</w:t>
            </w:r>
          </w:p>
        </w:tc>
        <w:tc>
          <w:tcPr>
            <w:tcW w:w="2100" w:type="dxa"/>
            <w:tcBorders>
              <w:top w:val="single" w:sz="4" w:space="0" w:color="000000"/>
              <w:left w:val="single" w:sz="4" w:space="0" w:color="000000"/>
              <w:bottom w:val="single" w:sz="4" w:space="0" w:color="000000"/>
              <w:right w:val="single" w:sz="4" w:space="0" w:color="000000"/>
            </w:tcBorders>
          </w:tcPr>
          <w:p w14:paraId="59D7348A" w14:textId="77777777" w:rsidR="00D301B0" w:rsidRDefault="00000000">
            <w:pPr>
              <w:spacing w:before="40" w:after="40"/>
            </w:pPr>
            <w:r>
              <w:rPr>
                <w:sz w:val="20"/>
                <w:szCs w:val="20"/>
              </w:rPr>
              <w:t>Persons with disabilities shall not be excluded from the general education system (Art. 24.2a)</w:t>
            </w:r>
          </w:p>
        </w:tc>
        <w:tc>
          <w:tcPr>
            <w:tcW w:w="2100" w:type="dxa"/>
            <w:tcBorders>
              <w:top w:val="single" w:sz="4" w:space="0" w:color="000000"/>
              <w:left w:val="single" w:sz="4" w:space="0" w:color="000000"/>
              <w:bottom w:val="single" w:sz="4" w:space="0" w:color="000000"/>
              <w:right w:val="single" w:sz="4" w:space="0" w:color="000000"/>
            </w:tcBorders>
          </w:tcPr>
          <w:p w14:paraId="30077A36" w14:textId="77777777" w:rsidR="00D301B0" w:rsidRDefault="00000000">
            <w:pPr>
              <w:spacing w:before="40" w:after="40"/>
            </w:pPr>
            <w:r>
              <w:rPr>
                <w:sz w:val="20"/>
                <w:szCs w:val="20"/>
              </w:rPr>
              <w:t>All children in Guyana are to be in full-time education (p. 14); persons with disabilities not excluded from general education (p. 10)</w:t>
            </w:r>
          </w:p>
        </w:tc>
        <w:tc>
          <w:tcPr>
            <w:tcW w:w="900" w:type="dxa"/>
            <w:tcBorders>
              <w:top w:val="single" w:sz="4" w:space="0" w:color="000000"/>
              <w:left w:val="single" w:sz="4" w:space="0" w:color="000000"/>
              <w:bottom w:val="single" w:sz="4" w:space="0" w:color="000000"/>
              <w:right w:val="single" w:sz="4" w:space="0" w:color="000000"/>
            </w:tcBorders>
          </w:tcPr>
          <w:p w14:paraId="29E8288F" w14:textId="77777777" w:rsidR="00D301B0" w:rsidRDefault="00000000">
            <w:pPr>
              <w:spacing w:before="40" w:after="40"/>
            </w:pPr>
            <w:r>
              <w:rPr>
                <w:sz w:val="20"/>
                <w:szCs w:val="20"/>
              </w:rPr>
              <w:t>Full</w:t>
            </w:r>
          </w:p>
        </w:tc>
      </w:tr>
      <w:tr w:rsidR="00D301B0" w14:paraId="2B53519C" w14:textId="77777777">
        <w:tc>
          <w:tcPr>
            <w:tcW w:w="1600" w:type="dxa"/>
            <w:tcBorders>
              <w:top w:val="single" w:sz="4" w:space="0" w:color="000000"/>
              <w:left w:val="single" w:sz="4" w:space="0" w:color="000000"/>
              <w:bottom w:val="single" w:sz="4" w:space="0" w:color="000000"/>
              <w:right w:val="single" w:sz="4" w:space="0" w:color="000000"/>
            </w:tcBorders>
          </w:tcPr>
          <w:p w14:paraId="2F8B65FE" w14:textId="77777777" w:rsidR="00D301B0" w:rsidRDefault="00000000">
            <w:pPr>
              <w:spacing w:before="40" w:after="40"/>
            </w:pPr>
            <w:r>
              <w:rPr>
                <w:sz w:val="20"/>
                <w:szCs w:val="20"/>
              </w:rPr>
              <w:t>Mainstream as default setting</w:t>
            </w:r>
          </w:p>
        </w:tc>
        <w:tc>
          <w:tcPr>
            <w:tcW w:w="1900" w:type="dxa"/>
            <w:tcBorders>
              <w:top w:val="single" w:sz="4" w:space="0" w:color="000000"/>
              <w:left w:val="single" w:sz="4" w:space="0" w:color="000000"/>
              <w:bottom w:val="single" w:sz="4" w:space="0" w:color="000000"/>
              <w:right w:val="single" w:sz="4" w:space="0" w:color="000000"/>
            </w:tcBorders>
          </w:tcPr>
          <w:p w14:paraId="11D47C18" w14:textId="77777777" w:rsidR="00D301B0" w:rsidRDefault="00000000">
            <w:pPr>
              <w:spacing w:before="40" w:after="40"/>
            </w:pPr>
            <w:r>
              <w:rPr>
                <w:sz w:val="20"/>
                <w:szCs w:val="20"/>
              </w:rPr>
              <w:t>Regular schools with inclusive orientation are the most effective means of combating discrimination (p. ix)</w:t>
            </w:r>
          </w:p>
        </w:tc>
        <w:tc>
          <w:tcPr>
            <w:tcW w:w="2100" w:type="dxa"/>
            <w:tcBorders>
              <w:top w:val="single" w:sz="4" w:space="0" w:color="000000"/>
              <w:left w:val="single" w:sz="4" w:space="0" w:color="000000"/>
              <w:bottom w:val="single" w:sz="4" w:space="0" w:color="000000"/>
              <w:right w:val="single" w:sz="4" w:space="0" w:color="000000"/>
            </w:tcBorders>
          </w:tcPr>
          <w:p w14:paraId="1FA96EC0" w14:textId="77777777" w:rsidR="00D301B0" w:rsidRDefault="00000000">
            <w:pPr>
              <w:spacing w:before="40" w:after="40"/>
            </w:pPr>
            <w:r>
              <w:rPr>
                <w:sz w:val="20"/>
                <w:szCs w:val="20"/>
              </w:rPr>
              <w:t>States must ensure an inclusive education system at all levels (Art. 24.1); dual systems incompatible with inclusion (GC No. 4, para. 40)</w:t>
            </w:r>
          </w:p>
        </w:tc>
        <w:tc>
          <w:tcPr>
            <w:tcW w:w="2100" w:type="dxa"/>
            <w:tcBorders>
              <w:top w:val="single" w:sz="4" w:space="0" w:color="000000"/>
              <w:left w:val="single" w:sz="4" w:space="0" w:color="000000"/>
              <w:bottom w:val="single" w:sz="4" w:space="0" w:color="000000"/>
              <w:right w:val="single" w:sz="4" w:space="0" w:color="000000"/>
            </w:tcBorders>
          </w:tcPr>
          <w:p w14:paraId="420A80E9" w14:textId="77777777" w:rsidR="00D301B0" w:rsidRDefault="00000000">
            <w:pPr>
              <w:spacing w:before="40" w:after="40"/>
            </w:pPr>
            <w:r>
              <w:rPr>
                <w:sz w:val="20"/>
                <w:szCs w:val="20"/>
              </w:rPr>
              <w:t>Wherever possible children should be educated in their local mainstream school (p. 32); specialist settings retained for assessed cases (p. 32)</w:t>
            </w:r>
          </w:p>
        </w:tc>
        <w:tc>
          <w:tcPr>
            <w:tcW w:w="900" w:type="dxa"/>
            <w:tcBorders>
              <w:top w:val="single" w:sz="4" w:space="0" w:color="000000"/>
              <w:left w:val="single" w:sz="4" w:space="0" w:color="000000"/>
              <w:bottom w:val="single" w:sz="4" w:space="0" w:color="000000"/>
              <w:right w:val="single" w:sz="4" w:space="0" w:color="000000"/>
            </w:tcBorders>
          </w:tcPr>
          <w:p w14:paraId="28003739" w14:textId="77777777" w:rsidR="00D301B0" w:rsidRDefault="00000000">
            <w:pPr>
              <w:spacing w:before="40" w:after="40"/>
            </w:pPr>
            <w:r>
              <w:rPr>
                <w:sz w:val="20"/>
                <w:szCs w:val="20"/>
              </w:rPr>
              <w:t>Partial</w:t>
            </w:r>
          </w:p>
        </w:tc>
      </w:tr>
      <w:tr w:rsidR="00D301B0" w14:paraId="6B418030" w14:textId="77777777">
        <w:tc>
          <w:tcPr>
            <w:tcW w:w="1600" w:type="dxa"/>
            <w:tcBorders>
              <w:top w:val="single" w:sz="4" w:space="0" w:color="000000"/>
              <w:left w:val="single" w:sz="4" w:space="0" w:color="000000"/>
              <w:bottom w:val="single" w:sz="4" w:space="0" w:color="000000"/>
              <w:right w:val="single" w:sz="4" w:space="0" w:color="000000"/>
            </w:tcBorders>
          </w:tcPr>
          <w:p w14:paraId="366EA796" w14:textId="77777777" w:rsidR="00D301B0" w:rsidRDefault="00000000">
            <w:pPr>
              <w:spacing w:before="40" w:after="40"/>
            </w:pPr>
            <w:r>
              <w:rPr>
                <w:sz w:val="20"/>
                <w:szCs w:val="20"/>
              </w:rPr>
              <w:t>Teacher preparation</w:t>
            </w:r>
          </w:p>
        </w:tc>
        <w:tc>
          <w:tcPr>
            <w:tcW w:w="1900" w:type="dxa"/>
            <w:tcBorders>
              <w:top w:val="single" w:sz="4" w:space="0" w:color="000000"/>
              <w:left w:val="single" w:sz="4" w:space="0" w:color="000000"/>
              <w:bottom w:val="single" w:sz="4" w:space="0" w:color="000000"/>
              <w:right w:val="single" w:sz="4" w:space="0" w:color="000000"/>
            </w:tcBorders>
          </w:tcPr>
          <w:p w14:paraId="4E1FFE22" w14:textId="77777777" w:rsidR="00D301B0" w:rsidRDefault="00000000">
            <w:pPr>
              <w:spacing w:before="40" w:after="40"/>
            </w:pPr>
            <w:r>
              <w:rPr>
                <w:sz w:val="20"/>
                <w:szCs w:val="20"/>
              </w:rPr>
              <w:t xml:space="preserve">Teacher education programmes, pre-service and in-service, </w:t>
              <w:lastRenderedPageBreak/>
              <w:t>must address SEN provision (paras. 40–41)</w:t>
            </w:r>
          </w:p>
        </w:tc>
        <w:tc>
          <w:tcPr>
            <w:tcW w:w="2100" w:type="dxa"/>
            <w:tcBorders>
              <w:top w:val="single" w:sz="4" w:space="0" w:color="000000"/>
              <w:left w:val="single" w:sz="4" w:space="0" w:color="000000"/>
              <w:bottom w:val="single" w:sz="4" w:space="0" w:color="000000"/>
              <w:right w:val="single" w:sz="4" w:space="0" w:color="000000"/>
            </w:tcBorders>
          </w:tcPr>
          <w:p w14:paraId="3C65339F" w14:textId="77777777" w:rsidR="00D301B0" w:rsidRDefault="00000000">
            <w:pPr>
              <w:spacing w:before="40" w:after="40"/>
            </w:pPr>
            <w:r>
              <w:rPr>
                <w:sz w:val="20"/>
                <w:szCs w:val="20"/>
              </w:rPr>
              <w:lastRenderedPageBreak/>
              <w:t xml:space="preserve">Teachers at all levels must be trained in inclusive education; </w:t>
              <w:lastRenderedPageBreak/>
              <w:t>training must cover disability awareness and appropriate pedagogy (GC No. 4, para. 69)</w:t>
            </w:r>
          </w:p>
        </w:tc>
        <w:tc>
          <w:tcPr>
            <w:tcW w:w="2100" w:type="dxa"/>
            <w:tcBorders>
              <w:top w:val="single" w:sz="4" w:space="0" w:color="000000"/>
              <w:left w:val="single" w:sz="4" w:space="0" w:color="000000"/>
              <w:bottom w:val="single" w:sz="4" w:space="0" w:color="000000"/>
              <w:right w:val="single" w:sz="4" w:space="0" w:color="000000"/>
            </w:tcBorders>
          </w:tcPr>
          <w:p w14:paraId="117A295D" w14:textId="77777777" w:rsidR="00D301B0" w:rsidRDefault="00000000">
            <w:pPr>
              <w:spacing w:before="40" w:after="40"/>
            </w:pPr>
            <w:r>
              <w:rPr>
                <w:sz w:val="20"/>
                <w:szCs w:val="20"/>
              </w:rPr>
              <w:lastRenderedPageBreak/>
              <w:t xml:space="preserve">Training must continue at CPCE and UG so all newly qualified teachers </w:t>
              <w:lastRenderedPageBreak/>
              <w:t>have necessary skills (p. 22); thirteen training provisions specified (pp. 22-24)</w:t>
            </w:r>
          </w:p>
        </w:tc>
        <w:tc>
          <w:tcPr>
            <w:tcW w:w="900" w:type="dxa"/>
            <w:tcBorders>
              <w:top w:val="single" w:sz="4" w:space="0" w:color="000000"/>
              <w:left w:val="single" w:sz="4" w:space="0" w:color="000000"/>
              <w:bottom w:val="single" w:sz="4" w:space="0" w:color="000000"/>
              <w:right w:val="single" w:sz="4" w:space="0" w:color="000000"/>
            </w:tcBorders>
          </w:tcPr>
          <w:p w14:paraId="16919D05" w14:textId="77777777" w:rsidR="00D301B0" w:rsidRDefault="00000000">
            <w:pPr>
              <w:spacing w:before="40" w:after="40"/>
            </w:pPr>
            <w:r>
              <w:rPr>
                <w:sz w:val="20"/>
                <w:szCs w:val="20"/>
              </w:rPr>
              <w:lastRenderedPageBreak/>
              <w:t>Partial</w:t>
            </w:r>
          </w:p>
        </w:tc>
      </w:tr>
      <w:tr w:rsidR="00D301B0" w14:paraId="3163239A" w14:textId="77777777">
        <w:tc>
          <w:tcPr>
            <w:tcW w:w="1600" w:type="dxa"/>
            <w:tcBorders>
              <w:top w:val="single" w:sz="4" w:space="0" w:color="000000"/>
              <w:left w:val="single" w:sz="4" w:space="0" w:color="000000"/>
              <w:bottom w:val="single" w:sz="4" w:space="0" w:color="000000"/>
              <w:right w:val="single" w:sz="4" w:space="0" w:color="000000"/>
            </w:tcBorders>
          </w:tcPr>
          <w:p w14:paraId="4ADF9431" w14:textId="77777777" w:rsidR="00D301B0" w:rsidRDefault="00000000">
            <w:pPr>
              <w:spacing w:before="40" w:after="40"/>
            </w:pPr>
            <w:r>
              <w:rPr>
                <w:sz w:val="20"/>
                <w:szCs w:val="20"/>
              </w:rPr>
              <w:t>Curriculum and differentiation</w:t>
            </w:r>
          </w:p>
        </w:tc>
        <w:tc>
          <w:tcPr>
            <w:tcW w:w="1900" w:type="dxa"/>
            <w:tcBorders>
              <w:top w:val="single" w:sz="4" w:space="0" w:color="000000"/>
              <w:left w:val="single" w:sz="4" w:space="0" w:color="000000"/>
              <w:bottom w:val="single" w:sz="4" w:space="0" w:color="000000"/>
              <w:right w:val="single" w:sz="4" w:space="0" w:color="000000"/>
            </w:tcBorders>
          </w:tcPr>
          <w:p w14:paraId="7E450512" w14:textId="77777777" w:rsidR="00D301B0" w:rsidRDefault="00000000">
            <w:pPr>
              <w:spacing w:before="40" w:after="40"/>
            </w:pPr>
            <w:r>
              <w:rPr>
                <w:sz w:val="20"/>
                <w:szCs w:val="20"/>
              </w:rPr>
              <w:t>Curriculum should be adapted to children’s needs, not vice versa (para. 28)</w:t>
            </w:r>
          </w:p>
        </w:tc>
        <w:tc>
          <w:tcPr>
            <w:tcW w:w="2100" w:type="dxa"/>
            <w:tcBorders>
              <w:top w:val="single" w:sz="4" w:space="0" w:color="000000"/>
              <w:left w:val="single" w:sz="4" w:space="0" w:color="000000"/>
              <w:bottom w:val="single" w:sz="4" w:space="0" w:color="000000"/>
              <w:right w:val="single" w:sz="4" w:space="0" w:color="000000"/>
            </w:tcBorders>
          </w:tcPr>
          <w:p w14:paraId="38E08B9C" w14:textId="77777777" w:rsidR="00D301B0" w:rsidRDefault="00000000">
            <w:pPr>
              <w:spacing w:before="40" w:after="40"/>
            </w:pPr>
            <w:r>
              <w:rPr>
                <w:sz w:val="20"/>
                <w:szCs w:val="20"/>
              </w:rPr>
              <w:t>Flexible curricula using Universal Design for Learning required (GC No. 4, para. 25); UNESCO GEM Report reinforces UDL as systemic principle (UNESCO, 2020)</w:t>
            </w:r>
          </w:p>
        </w:tc>
        <w:tc>
          <w:tcPr>
            <w:tcW w:w="2100" w:type="dxa"/>
            <w:tcBorders>
              <w:top w:val="single" w:sz="4" w:space="0" w:color="000000"/>
              <w:left w:val="single" w:sz="4" w:space="0" w:color="000000"/>
              <w:bottom w:val="single" w:sz="4" w:space="0" w:color="000000"/>
              <w:right w:val="single" w:sz="4" w:space="0" w:color="000000"/>
            </w:tcBorders>
          </w:tcPr>
          <w:p w14:paraId="1958B41E" w14:textId="77777777" w:rsidR="00D301B0" w:rsidRDefault="00000000">
            <w:pPr>
              <w:spacing w:before="40" w:after="40"/>
            </w:pPr>
            <w:r>
              <w:rPr>
                <w:sz w:val="20"/>
                <w:szCs w:val="20"/>
              </w:rPr>
              <w:t>All children follow the same curriculum regardless of disability; teaching must be well differentiated (p. 19)</w:t>
            </w:r>
          </w:p>
        </w:tc>
        <w:tc>
          <w:tcPr>
            <w:tcW w:w="900" w:type="dxa"/>
            <w:tcBorders>
              <w:top w:val="single" w:sz="4" w:space="0" w:color="000000"/>
              <w:left w:val="single" w:sz="4" w:space="0" w:color="000000"/>
              <w:bottom w:val="single" w:sz="4" w:space="0" w:color="000000"/>
              <w:right w:val="single" w:sz="4" w:space="0" w:color="000000"/>
            </w:tcBorders>
          </w:tcPr>
          <w:p w14:paraId="7B02B192" w14:textId="77777777" w:rsidR="00D301B0" w:rsidRDefault="00000000">
            <w:pPr>
              <w:spacing w:before="40" w:after="40"/>
            </w:pPr>
            <w:r>
              <w:rPr>
                <w:sz w:val="20"/>
                <w:szCs w:val="20"/>
              </w:rPr>
              <w:t>Partial</w:t>
            </w:r>
          </w:p>
        </w:tc>
      </w:tr>
      <w:tr w:rsidR="00D301B0" w14:paraId="052E9947" w14:textId="77777777">
        <w:tc>
          <w:tcPr>
            <w:tcW w:w="1600" w:type="dxa"/>
            <w:tcBorders>
              <w:top w:val="single" w:sz="4" w:space="0" w:color="000000"/>
              <w:left w:val="single" w:sz="4" w:space="0" w:color="000000"/>
              <w:bottom w:val="single" w:sz="4" w:space="0" w:color="000000"/>
              <w:right w:val="single" w:sz="4" w:space="0" w:color="000000"/>
            </w:tcBorders>
          </w:tcPr>
          <w:p w14:paraId="4359A4A2" w14:textId="77777777" w:rsidR="00D301B0" w:rsidRDefault="00000000">
            <w:pPr>
              <w:spacing w:before="40" w:after="40"/>
            </w:pPr>
            <w:r>
              <w:rPr>
                <w:sz w:val="20"/>
                <w:szCs w:val="20"/>
              </w:rPr>
              <w:t>Individual education planning</w:t>
            </w:r>
          </w:p>
        </w:tc>
        <w:tc>
          <w:tcPr>
            <w:tcW w:w="1900" w:type="dxa"/>
            <w:tcBorders>
              <w:top w:val="single" w:sz="4" w:space="0" w:color="000000"/>
              <w:left w:val="single" w:sz="4" w:space="0" w:color="000000"/>
              <w:bottom w:val="single" w:sz="4" w:space="0" w:color="000000"/>
              <w:right w:val="single" w:sz="4" w:space="0" w:color="000000"/>
            </w:tcBorders>
          </w:tcPr>
          <w:p w14:paraId="610DC4F3" w14:textId="77777777" w:rsidR="00D301B0" w:rsidRDefault="00000000">
            <w:pPr>
              <w:spacing w:before="40" w:after="40"/>
            </w:pPr>
            <w:r>
              <w:rPr>
                <w:sz w:val="20"/>
                <w:szCs w:val="20"/>
              </w:rPr>
              <w:t>Framework for Action calls for individualised educational programmes (para. 26)</w:t>
            </w:r>
          </w:p>
        </w:tc>
        <w:tc>
          <w:tcPr>
            <w:tcW w:w="2100" w:type="dxa"/>
            <w:tcBorders>
              <w:top w:val="single" w:sz="4" w:space="0" w:color="000000"/>
              <w:left w:val="single" w:sz="4" w:space="0" w:color="000000"/>
              <w:bottom w:val="single" w:sz="4" w:space="0" w:color="000000"/>
              <w:right w:val="single" w:sz="4" w:space="0" w:color="000000"/>
            </w:tcBorders>
          </w:tcPr>
          <w:p w14:paraId="68497FE8" w14:textId="77777777" w:rsidR="00D301B0" w:rsidRDefault="00000000">
            <w:pPr>
              <w:spacing w:before="40" w:after="40"/>
            </w:pPr>
            <w:r>
              <w:rPr>
                <w:sz w:val="20"/>
                <w:szCs w:val="20"/>
              </w:rPr>
              <w:t>Individualised support and reasonable accommodation required (Art. 24.2c-d)</w:t>
            </w:r>
          </w:p>
        </w:tc>
        <w:tc>
          <w:tcPr>
            <w:tcW w:w="2100" w:type="dxa"/>
            <w:tcBorders>
              <w:top w:val="single" w:sz="4" w:space="0" w:color="000000"/>
              <w:left w:val="single" w:sz="4" w:space="0" w:color="000000"/>
              <w:bottom w:val="single" w:sz="4" w:space="0" w:color="000000"/>
              <w:right w:val="single" w:sz="4" w:space="0" w:color="000000"/>
            </w:tcBorders>
          </w:tcPr>
          <w:p w14:paraId="66BCDB1E" w14:textId="77777777" w:rsidR="00D301B0" w:rsidRDefault="00000000">
            <w:pPr>
              <w:spacing w:before="40" w:after="40"/>
            </w:pPr>
            <w:r>
              <w:rPr>
                <w:sz w:val="20"/>
                <w:szCs w:val="20"/>
              </w:rPr>
              <w:t>All students with a special need must have an IEP (p. 24); regional centres collaborate with schools on IEP development (p. 25)</w:t>
            </w:r>
          </w:p>
        </w:tc>
        <w:tc>
          <w:tcPr>
            <w:tcW w:w="900" w:type="dxa"/>
            <w:tcBorders>
              <w:top w:val="single" w:sz="4" w:space="0" w:color="000000"/>
              <w:left w:val="single" w:sz="4" w:space="0" w:color="000000"/>
              <w:bottom w:val="single" w:sz="4" w:space="0" w:color="000000"/>
              <w:right w:val="single" w:sz="4" w:space="0" w:color="000000"/>
            </w:tcBorders>
          </w:tcPr>
          <w:p w14:paraId="762F070E" w14:textId="77777777" w:rsidR="00D301B0" w:rsidRDefault="00000000">
            <w:pPr>
              <w:spacing w:before="40" w:after="40"/>
            </w:pPr>
            <w:r>
              <w:rPr>
                <w:sz w:val="20"/>
                <w:szCs w:val="20"/>
              </w:rPr>
              <w:t>Partial</w:t>
            </w:r>
          </w:p>
        </w:tc>
      </w:tr>
      <w:tr w:rsidR="00D301B0" w14:paraId="3864DCD8" w14:textId="77777777">
        <w:tc>
          <w:tcPr>
            <w:tcW w:w="1600" w:type="dxa"/>
            <w:tcBorders>
              <w:top w:val="single" w:sz="4" w:space="0" w:color="000000"/>
              <w:left w:val="single" w:sz="4" w:space="0" w:color="000000"/>
              <w:bottom w:val="single" w:sz="4" w:space="0" w:color="000000"/>
              <w:right w:val="single" w:sz="4" w:space="0" w:color="000000"/>
            </w:tcBorders>
          </w:tcPr>
          <w:p w14:paraId="67BAEF90" w14:textId="77777777" w:rsidR="00D301B0" w:rsidRDefault="00000000">
            <w:pPr>
              <w:spacing w:before="40" w:after="40"/>
            </w:pPr>
            <w:r>
              <w:rPr>
                <w:sz w:val="20"/>
                <w:szCs w:val="20"/>
              </w:rPr>
              <w:t>Monitoring and accountability</w:t>
            </w:r>
          </w:p>
        </w:tc>
        <w:tc>
          <w:tcPr>
            <w:tcW w:w="1900" w:type="dxa"/>
            <w:tcBorders>
              <w:top w:val="single" w:sz="4" w:space="0" w:color="000000"/>
              <w:left w:val="single" w:sz="4" w:space="0" w:color="000000"/>
              <w:bottom w:val="single" w:sz="4" w:space="0" w:color="000000"/>
              <w:right w:val="single" w:sz="4" w:space="0" w:color="000000"/>
            </w:tcBorders>
          </w:tcPr>
          <w:p w14:paraId="09855F0D" w14:textId="77777777" w:rsidR="00D301B0" w:rsidRDefault="00000000">
            <w:pPr>
              <w:spacing w:before="40" w:after="40"/>
            </w:pPr>
            <w:r>
              <w:rPr>
                <w:sz w:val="20"/>
                <w:szCs w:val="20"/>
              </w:rPr>
              <w:t>Governments should establish mechanisms for planning, monitoring and evaluation (para. 52)</w:t>
            </w:r>
          </w:p>
        </w:tc>
        <w:tc>
          <w:tcPr>
            <w:tcW w:w="2100" w:type="dxa"/>
            <w:tcBorders>
              <w:top w:val="single" w:sz="4" w:space="0" w:color="000000"/>
              <w:left w:val="single" w:sz="4" w:space="0" w:color="000000"/>
              <w:bottom w:val="single" w:sz="4" w:space="0" w:color="000000"/>
              <w:right w:val="single" w:sz="4" w:space="0" w:color="000000"/>
            </w:tcBorders>
          </w:tcPr>
          <w:p w14:paraId="5C9C333D" w14:textId="77777777" w:rsidR="00D301B0" w:rsidRDefault="00000000">
            <w:pPr>
              <w:spacing w:before="40" w:after="40"/>
            </w:pPr>
            <w:r>
              <w:rPr>
                <w:sz w:val="20"/>
                <w:szCs w:val="20"/>
              </w:rPr>
              <w:t>States must collect data, monitor implementation, and develop indicators (GC No. 4, para. 61)</w:t>
            </w:r>
          </w:p>
        </w:tc>
        <w:tc>
          <w:tcPr>
            <w:tcW w:w="2100" w:type="dxa"/>
            <w:tcBorders>
              <w:top w:val="single" w:sz="4" w:space="0" w:color="000000"/>
              <w:left w:val="single" w:sz="4" w:space="0" w:color="000000"/>
              <w:bottom w:val="single" w:sz="4" w:space="0" w:color="000000"/>
              <w:right w:val="single" w:sz="4" w:space="0" w:color="000000"/>
            </w:tcBorders>
          </w:tcPr>
          <w:p w14:paraId="6F6689DE" w14:textId="77777777" w:rsidR="00D301B0" w:rsidRDefault="00000000">
            <w:pPr>
              <w:spacing w:before="40" w:after="40"/>
            </w:pPr>
            <w:r>
              <w:rPr>
                <w:sz w:val="20"/>
                <w:szCs w:val="20"/>
              </w:rPr>
              <w:t>Ministry to develop a monitoring system with clear targets; six-monthly reviews and annual parliamentary reporting required (p. 20)</w:t>
            </w:r>
          </w:p>
        </w:tc>
        <w:tc>
          <w:tcPr>
            <w:tcW w:w="900" w:type="dxa"/>
            <w:tcBorders>
              <w:top w:val="single" w:sz="4" w:space="0" w:color="000000"/>
              <w:left w:val="single" w:sz="4" w:space="0" w:color="000000"/>
              <w:bottom w:val="single" w:sz="4" w:space="0" w:color="000000"/>
              <w:right w:val="single" w:sz="4" w:space="0" w:color="000000"/>
            </w:tcBorders>
          </w:tcPr>
          <w:p w14:paraId="4BC3FA44" w14:textId="77777777" w:rsidR="00D301B0" w:rsidRDefault="00000000">
            <w:pPr>
              <w:spacing w:before="40" w:after="40"/>
            </w:pPr>
            <w:r>
              <w:rPr>
                <w:sz w:val="20"/>
                <w:szCs w:val="20"/>
              </w:rPr>
              <w:t>Partial</w:t>
            </w:r>
          </w:p>
        </w:tc>
      </w:tr>
      <w:tr w:rsidR="00D301B0" w14:paraId="65678270" w14:textId="77777777">
        <w:tc>
          <w:tcPr>
            <w:tcW w:w="1600" w:type="dxa"/>
            <w:tcBorders>
              <w:top w:val="single" w:sz="4" w:space="0" w:color="000000"/>
              <w:left w:val="single" w:sz="4" w:space="0" w:color="000000"/>
              <w:bottom w:val="single" w:sz="4" w:space="0" w:color="000000"/>
              <w:right w:val="single" w:sz="4" w:space="0" w:color="000000"/>
            </w:tcBorders>
          </w:tcPr>
          <w:p w14:paraId="107911A7" w14:textId="77777777" w:rsidR="00D301B0" w:rsidRDefault="00000000">
            <w:pPr>
              <w:spacing w:before="40" w:after="40"/>
            </w:pPr>
            <w:r>
              <w:rPr>
                <w:sz w:val="20"/>
                <w:szCs w:val="20"/>
              </w:rPr>
              <w:t>Reasonable accommodation and Universal Design</w:t>
            </w:r>
          </w:p>
        </w:tc>
        <w:tc>
          <w:tcPr>
            <w:tcW w:w="1900" w:type="dxa"/>
            <w:tcBorders>
              <w:top w:val="single" w:sz="4" w:space="0" w:color="000000"/>
              <w:left w:val="single" w:sz="4" w:space="0" w:color="000000"/>
              <w:bottom w:val="single" w:sz="4" w:space="0" w:color="000000"/>
              <w:right w:val="single" w:sz="4" w:space="0" w:color="000000"/>
            </w:tcBorders>
          </w:tcPr>
          <w:p w14:paraId="0FA6FC94" w14:textId="77777777" w:rsidR="00D301B0" w:rsidRDefault="00000000">
            <w:pPr>
              <w:spacing w:before="40" w:after="40"/>
            </w:pPr>
            <w:r>
              <w:rPr>
                <w:sz w:val="20"/>
                <w:szCs w:val="20"/>
              </w:rPr>
              <w:t>Not explicitly addressed</w:t>
            </w:r>
          </w:p>
        </w:tc>
        <w:tc>
          <w:tcPr>
            <w:tcW w:w="2100" w:type="dxa"/>
            <w:tcBorders>
              <w:top w:val="single" w:sz="4" w:space="0" w:color="000000"/>
              <w:left w:val="single" w:sz="4" w:space="0" w:color="000000"/>
              <w:bottom w:val="single" w:sz="4" w:space="0" w:color="000000"/>
              <w:right w:val="single" w:sz="4" w:space="0" w:color="000000"/>
            </w:tcBorders>
          </w:tcPr>
          <w:p w14:paraId="14346321" w14:textId="77777777" w:rsidR="00D301B0" w:rsidRDefault="00000000">
            <w:pPr>
              <w:spacing w:before="40" w:after="40"/>
            </w:pPr>
            <w:r>
              <w:rPr>
                <w:sz w:val="20"/>
                <w:szCs w:val="20"/>
              </w:rPr>
              <w:t>Reasonable accommodation must be provided; failure constitutes discrimination (Art. 24.2c; GC No. 4, para. 30)</w:t>
            </w:r>
          </w:p>
        </w:tc>
        <w:tc>
          <w:tcPr>
            <w:tcW w:w="2100" w:type="dxa"/>
            <w:tcBorders>
              <w:top w:val="single" w:sz="4" w:space="0" w:color="000000"/>
              <w:left w:val="single" w:sz="4" w:space="0" w:color="000000"/>
              <w:bottom w:val="single" w:sz="4" w:space="0" w:color="000000"/>
              <w:right w:val="single" w:sz="4" w:space="0" w:color="000000"/>
            </w:tcBorders>
          </w:tcPr>
          <w:p w14:paraId="38CBA6A8" w14:textId="77777777" w:rsidR="00D301B0" w:rsidRDefault="00000000">
            <w:pPr>
              <w:spacing w:before="40" w:after="40"/>
            </w:pPr>
            <w:r>
              <w:rPr>
                <w:sz w:val="20"/>
                <w:szCs w:val="20"/>
              </w:rPr>
              <w:t>No reference to reasonable accommodation or Universal Design for Learning</w:t>
            </w:r>
          </w:p>
        </w:tc>
        <w:tc>
          <w:tcPr>
            <w:tcW w:w="900" w:type="dxa"/>
            <w:tcBorders>
              <w:top w:val="single" w:sz="4" w:space="0" w:color="000000"/>
              <w:left w:val="single" w:sz="4" w:space="0" w:color="000000"/>
              <w:bottom w:val="single" w:sz="4" w:space="0" w:color="000000"/>
              <w:right w:val="single" w:sz="4" w:space="0" w:color="000000"/>
            </w:tcBorders>
          </w:tcPr>
          <w:p w14:paraId="77C54150" w14:textId="77777777" w:rsidR="00D301B0" w:rsidRDefault="00000000">
            <w:pPr>
              <w:spacing w:before="40" w:after="40"/>
            </w:pPr>
            <w:r>
              <w:rPr>
                <w:sz w:val="20"/>
                <w:szCs w:val="20"/>
              </w:rPr>
              <w:t>Absent</w:t>
            </w:r>
          </w:p>
        </w:tc>
      </w:tr>
    </w:tbl>
    <w:p w14:paraId="3550A04F" w14:textId="77777777" w:rsidR="006D5DA2" w:rsidRDefault="006D5DA2">
      <w:pPr>
        <w:spacing w:after="200" w:line="360" w:lineRule="auto"/>
        <w:ind w:firstLine="720"/>
        <w:jc w:val="both"/>
      </w:pPr>
    </w:p>
    <w:p w14:paraId="4F03DD93" w14:textId="135B6C26" w:rsidR="00D301B0" w:rsidRDefault="00000000">
      <w:pPr>
        <w:spacing w:after="200" w:line="360" w:lineRule="auto"/>
        <w:ind w:firstLine="720"/>
        <w:jc w:val="both"/>
      </w:pPr>
      <w:r>
        <w:t>At the level of values and rights-based commitment, alignment between the Draft Inclusion Policy and both international frameworks is substantial. The policy declares that all children in Guyana are to be in full-time education (Ministry of Education Guyana, 2010, p. 14), a statement that directly mirrors the Salamanca Statement's articulation of the right to education. By referencing the Persons with Disabilities Bill 2009, it frames inclusive education in rights-based terms (Ministry of Education Guyana, 2010, p. 10). This gestures toward a legal entitlement structure; the relationship between the Bill, the subsequently enacted Persons with Disabilities Act 2010, and the still-unadopted Draft Policy is examined more fully in Section 4.4.</w:t>
      </w:r>
    </w:p>
    <w:p w14:paraId="625836E7" w14:textId="77777777" w:rsidR="00D301B0" w:rsidRDefault="00000000">
      <w:pPr>
        <w:spacing w:after="200" w:line="360" w:lineRule="auto"/>
        <w:ind w:firstLine="720"/>
        <w:jc w:val="both"/>
      </w:pPr>
      <w:r>
        <w:t>Alignment weakens at the level of operational detail.</w:t>
      </w:r>
    </w:p>
    <w:p w14:paraId="6D3F2856" w14:textId="77777777" w:rsidR="00D301B0" w:rsidRDefault="00000000">
      <w:pPr>
        <w:spacing w:after="200" w:line="360" w:lineRule="auto"/>
        <w:ind w:firstLine="720"/>
        <w:jc w:val="both"/>
      </w:pPr>
      <w:r>
        <w:t>On the question of mainstream schooling, the policy reflects an earlier conception of the inclusion–specialist continuum. Under the Salamanca Statement’s graduated model, mainstream schools serve as the default setting, though some learners may need intensive support elsewhere (UNESCO, 1994). The Draft Inclusion Policy replicates this arrangement: children should attend local mainstream schools wherever possible, with specialist settings retained for assessed cases (Ministry of Education Guyana, 2010, p. 32). By the standards of 1994, that represents appropriate alignment. General Comment No. 4, however, has since clarified that maintaining parallel mainstream and segregated systems is incompatible with the right to inclusive education (Committee on the Rights of Persons with Disabilities, 2016, para. 40). Assessed against the contemporary standard, the policy’s dual-system model belongs to the era in which it was drafted.</w:t>
      </w:r>
    </w:p>
    <w:p w14:paraId="2AFB6514" w14:textId="77777777" w:rsidR="00D301B0" w:rsidRDefault="00000000">
      <w:pPr>
        <w:spacing w:after="200" w:line="360" w:lineRule="auto"/>
        <w:ind w:firstLine="720"/>
        <w:jc w:val="both"/>
      </w:pPr>
      <w:r>
        <w:t>Teacher preparation and individual education planning provisions are structurally present in the policy but operationally underdeveloped. Thirteen training provisions appear across the Training Issues section (Ministry of Education Guyana, 2010, pp. 22–24), and the policy clearly states that every student with a special need must have an IEP (Ministry of Education Guyana, 2010, p. 24). Neither provision, however, specifies the competencies that constitute adequate preparation for inclusive teaching. The content of an IEP, the process governing its development and review, and the standards against which training quality might be measured all remain undefined. General Comment No. 4 requires teacher training to cover disability awareness, appropriate pedagogical methods, and augmentative and alternative communication (Committee on the Rights of Persons with Disabilities, 2016, para. 69); the policy’s training provisions, though wide in scope, do not meet this standard.</w:t>
      </w:r>
    </w:p>
    <w:p w14:paraId="09617115" w14:textId="77777777" w:rsidR="00D301B0" w:rsidRDefault="00000000">
      <w:pPr>
        <w:spacing w:after="200" w:line="360" w:lineRule="auto"/>
        <w:ind w:firstLine="720"/>
        <w:jc w:val="both"/>
      </w:pPr>
      <w:r>
        <w:t>A striking omission is the policy's silence on reasonable accommodation and Universal Design for Learning. Both concepts are central to the CRPD's operational requirements: Article 24.2(c) mandates reasonable accommodation, and General Comment No. 4 treats Universal Design for Learning as a foundational principle of inclusive curricula (Committee on the Rights of Persons with Disabilities, 2016, para. 25). The UNESCO Global Education Monitoring Report reinforces this position, treating Universal Design for Learning as a systemic requirement rather than an optional pedagogical technique and insisting that inclusive systems must be designed for diversity from the outset (UNESCO, 2020). Instead, the policy directs schools to ensure that “all teaching is well differentiated to meet the needs of all” (Ministry of Education Guyana, 2010, p. 19). That distinction matters. Differentiation is a pedagogical strategy that places the burden of adaptation on individual teachers; Universal Design for Learning requires structural curricular flexibility built into the system itself. Norwich (2016) observes that this gap between broad social model commitments and condition-specific operational guidance recurs in policies drafted within a social model orientation: such policies are stronger at removing categorical exclusion than at specifying how educational systems should respond to the interaction between individual conditions and learning environments.</w:t>
      </w:r>
    </w:p>
    <w:p w14:paraId="7A3BEAAC" w14:textId="77777777" w:rsidR="00D301B0" w:rsidRDefault="00000000">
      <w:pPr>
        <w:spacing w:after="200" w:line="360" w:lineRule="auto"/>
        <w:ind w:firstLine="720"/>
        <w:jc w:val="both"/>
      </w:pPr>
      <w:r>
        <w:t>The answer to Research Question 1 is therefore qualified. At the level of values and rights-based commitment, the Draft Inclusion Policy reflects the principles of international frameworks. At the level of institutional design, that reflection is partial. At the level of operational concepts — reasonable accommodation, Universal Design for Learning — it is absent entirely. Working Proposition 1 is complicated rather than confirmed: the degree of alignment depends on which normative benchmark is applied and whether the assessment concerns principle or operational specificity.</w:t>
      </w:r>
    </w:p>
    <w:p w14:paraId="67A6C397" w14:textId="77777777" w:rsidR="00D301B0" w:rsidRDefault="00000000">
      <w:pPr>
        <w:pStyle w:val="Heading2"/>
      </w:pPr>
      <w:bookmarkStart w:id="45" w:name="_Toc227014925"/>
      <w:r>
        <w:t>4.3 Research Question 2: Institutional Mechanisms and Operationalisation</w:t>
      </w:r>
      <w:bookmarkEnd w:id="45"/>
    </w:p>
    <w:p w14:paraId="03AA627C" w14:textId="77777777" w:rsidR="00D301B0" w:rsidRDefault="00000000">
      <w:pPr>
        <w:spacing w:after="200" w:line="360" w:lineRule="auto"/>
        <w:ind w:firstLine="720"/>
        <w:jc w:val="both"/>
      </w:pPr>
      <w:r>
        <w:rPr>
          <w:i/>
          <w:iCs/>
        </w:rPr>
        <w:t>Research Question 2 asks: What institutional mechanisms have been established for the implementation of inclusive education in Guyana, and how effectively do they operationalise the policy’s stated objectives?</w:t>
      </w:r>
    </w:p>
    <w:p w14:paraId="3A90CE5E" w14:textId="77777777" w:rsidR="00D301B0" w:rsidRDefault="00000000">
      <w:pPr>
        <w:spacing w:after="200" w:line="360" w:lineRule="auto"/>
        <w:ind w:firstLine="720"/>
        <w:jc w:val="both"/>
      </w:pPr>
      <w:r>
        <w:t>The Draft Inclusion Policy specifies an unusually detailed set of institutional mechanisms across five domains: governance coordination, teacher preparation, assessment and individual planning, specialised provision, and multi-sector collaboration. Table 4.02 maps these against the available documentary evidence of their implementation.</w:t>
      </w:r>
    </w:p>
    <w:p w14:paraId="6049C323" w14:textId="5DA5FC80" w:rsidR="00D301B0" w:rsidRPr="007E7A00" w:rsidRDefault="007E7A00" w:rsidP="007E7A00">
      <w:pPr>
        <w:pStyle w:val="Caption"/>
        <w:rPr>
          <w:b/>
          <w:bCs/>
          <w:i w:val="0"/>
          <w:iCs w:val="0"/>
          <w:sz w:val="24"/>
          <w:szCs w:val="24"/>
        </w:rPr>
      </w:pPr>
      <w:bookmarkStart w:id="46" w:name="_Toc227014947"/>
      <w:bookmarkStart w:id="47" w:name="_Toc227016105"/>
      <w:r>
        <w:rPr>
          <w:b/>
          <w:bCs/>
          <w:i w:val="0"/>
          <w:iCs w:val="0"/>
          <w:sz w:val="24"/>
          <w:szCs w:val="24"/>
        </w:rPr>
        <w:t>Table 4.0</w:t>
        <w:fldChar w:fldCharType="begin"/>
        <w:instrText xml:space="preserve"> SEQ Table_4.0 \* ARABIC </w:instrText>
        <w:fldChar w:fldCharType="separate"/>
      </w:r>
      <w:r>
        <w:rPr>
          <w:b/>
          <w:bCs/>
          <w:i w:val="0"/>
          <w:iCs w:val="0"/>
          <w:noProof/>
          <w:sz w:val="24"/>
          <w:szCs w:val="24"/>
        </w:rPr>
        <w:t>2</w:t>
      </w:r>
      <w:r>
        <w:rPr>
          <w:b/>
          <w:bCs/>
          <w:i w:val="0"/>
          <w:iCs w:val="0"/>
          <w:sz w:val="24"/>
          <w:szCs w:val="24"/>
        </w:rPr>
        <w:fldChar w:fldCharType="end"/>
        <w:t>: Operationalisation of Policy-Specified Institutional Mechanisms</w:t>
      </w:r>
      <w:bookmarkEnd w:id="46"/>
      <w:bookmarkEnd w:id="47"/>
    </w:p>
    <w:tbl>
      <w:tblPr>
        <w:tblW w:w="89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111"/>
        <w:gridCol w:w="2463"/>
        <w:gridCol w:w="2815"/>
        <w:gridCol w:w="1525"/>
      </w:tblGrid>
      <w:tr w:rsidR="00D301B0" w14:paraId="3ED61DC8" w14:textId="77777777" w:rsidTr="007E7A00">
        <w:trPr>
          <w:trHeight w:val="523"/>
          <w:tblHeader/>
        </w:trPr>
        <w:tc>
          <w:tcPr>
            <w:tcW w:w="2111" w:type="dxa"/>
            <w:tcBorders>
              <w:top w:val="single" w:sz="4" w:space="0" w:color="000000"/>
              <w:left w:val="single" w:sz="4" w:space="0" w:color="000000"/>
              <w:bottom w:val="single" w:sz="4" w:space="0" w:color="000000"/>
              <w:right w:val="single" w:sz="4" w:space="0" w:color="000000"/>
            </w:tcBorders>
            <w:shd w:val="clear" w:color="auto" w:fill="D9E2F3"/>
          </w:tcPr>
          <w:p w14:paraId="08D01180" w14:textId="77777777" w:rsidR="00D301B0" w:rsidRDefault="00000000">
            <w:pPr>
              <w:spacing w:before="40" w:after="40"/>
            </w:pPr>
            <w:r>
              <w:rPr>
                <w:b/>
                <w:bCs/>
                <w:sz w:val="20"/>
                <w:szCs w:val="20"/>
              </w:rPr>
              <w:t>Policy Mechanism</w:t>
            </w:r>
          </w:p>
        </w:tc>
        <w:tc>
          <w:tcPr>
            <w:tcW w:w="2463" w:type="dxa"/>
            <w:tcBorders>
              <w:top w:val="single" w:sz="4" w:space="0" w:color="000000"/>
              <w:left w:val="single" w:sz="4" w:space="0" w:color="000000"/>
              <w:bottom w:val="single" w:sz="4" w:space="0" w:color="000000"/>
              <w:right w:val="single" w:sz="4" w:space="0" w:color="000000"/>
            </w:tcBorders>
            <w:shd w:val="clear" w:color="auto" w:fill="D9E2F3"/>
          </w:tcPr>
          <w:p w14:paraId="313C11AD" w14:textId="77777777" w:rsidR="00D301B0" w:rsidRDefault="00000000">
            <w:pPr>
              <w:spacing w:before="40" w:after="40"/>
            </w:pPr>
            <w:r>
              <w:rPr>
                <w:b/>
                <w:bCs/>
                <w:sz w:val="20"/>
                <w:szCs w:val="20"/>
              </w:rPr>
              <w:t>Specified Provision (Draft Policy)</w:t>
            </w:r>
          </w:p>
        </w:tc>
        <w:tc>
          <w:tcPr>
            <w:tcW w:w="2815" w:type="dxa"/>
            <w:tcBorders>
              <w:top w:val="single" w:sz="4" w:space="0" w:color="000000"/>
              <w:left w:val="single" w:sz="4" w:space="0" w:color="000000"/>
              <w:bottom w:val="single" w:sz="4" w:space="0" w:color="000000"/>
              <w:right w:val="single" w:sz="4" w:space="0" w:color="000000"/>
            </w:tcBorders>
            <w:shd w:val="clear" w:color="auto" w:fill="D9E2F3"/>
          </w:tcPr>
          <w:p w14:paraId="687ED9D6" w14:textId="77777777" w:rsidR="00D301B0" w:rsidRDefault="00000000">
            <w:pPr>
              <w:spacing w:before="40" w:after="40"/>
            </w:pPr>
            <w:r>
              <w:rPr>
                <w:b/>
                <w:bCs/>
                <w:sz w:val="20"/>
                <w:szCs w:val="20"/>
              </w:rPr>
              <w:t>Documentary Evidence of Operationalisation</w:t>
            </w:r>
          </w:p>
        </w:tc>
        <w:tc>
          <w:tcPr>
            <w:tcW w:w="1525" w:type="dxa"/>
            <w:tcBorders>
              <w:top w:val="single" w:sz="4" w:space="0" w:color="000000"/>
              <w:left w:val="single" w:sz="4" w:space="0" w:color="000000"/>
              <w:bottom w:val="single" w:sz="4" w:space="0" w:color="000000"/>
              <w:right w:val="single" w:sz="4" w:space="0" w:color="000000"/>
            </w:tcBorders>
            <w:shd w:val="clear" w:color="auto" w:fill="D9E2F3"/>
          </w:tcPr>
          <w:p w14:paraId="6577C53A" w14:textId="77777777" w:rsidR="00D301B0" w:rsidRDefault="00000000">
            <w:pPr>
              <w:spacing w:before="40" w:after="40"/>
            </w:pPr>
            <w:r>
              <w:rPr>
                <w:b/>
                <w:bCs/>
                <w:sz w:val="20"/>
                <w:szCs w:val="20"/>
              </w:rPr>
              <w:t>Status</w:t>
            </w:r>
          </w:p>
        </w:tc>
      </w:tr>
      <w:tr w:rsidR="00D301B0" w14:paraId="796D705F" w14:textId="77777777" w:rsidTr="007E7A00">
        <w:trPr>
          <w:trHeight w:val="764"/>
        </w:trPr>
        <w:tc>
          <w:tcPr>
            <w:tcW w:w="2111" w:type="dxa"/>
            <w:tcBorders>
              <w:top w:val="single" w:sz="4" w:space="0" w:color="000000"/>
              <w:left w:val="single" w:sz="4" w:space="0" w:color="000000"/>
              <w:bottom w:val="single" w:sz="4" w:space="0" w:color="000000"/>
              <w:right w:val="single" w:sz="4" w:space="0" w:color="000000"/>
            </w:tcBorders>
          </w:tcPr>
          <w:p w14:paraId="37416816" w14:textId="77777777" w:rsidR="00D301B0" w:rsidRDefault="00000000">
            <w:pPr>
              <w:spacing w:before="40" w:after="40"/>
            </w:pPr>
            <w:r>
              <w:rPr>
                <w:sz w:val="20"/>
                <w:szCs w:val="20"/>
              </w:rPr>
              <w:t>National SEN coordination</w:t>
            </w:r>
          </w:p>
        </w:tc>
        <w:tc>
          <w:tcPr>
            <w:tcW w:w="2463" w:type="dxa"/>
            <w:tcBorders>
              <w:top w:val="single" w:sz="4" w:space="0" w:color="000000"/>
              <w:left w:val="single" w:sz="4" w:space="0" w:color="000000"/>
              <w:bottom w:val="single" w:sz="4" w:space="0" w:color="000000"/>
              <w:right w:val="single" w:sz="4" w:space="0" w:color="000000"/>
            </w:tcBorders>
          </w:tcPr>
          <w:p w14:paraId="6342D314" w14:textId="77777777" w:rsidR="00D301B0" w:rsidRDefault="00000000">
            <w:pPr>
              <w:spacing w:before="40" w:after="40"/>
            </w:pPr>
            <w:r>
              <w:rPr>
                <w:sz w:val="20"/>
                <w:szCs w:val="20"/>
              </w:rPr>
              <w:t>ACEO-SEN to lead the NSENO and coordinate national strategy (p. 27)</w:t>
            </w:r>
          </w:p>
        </w:tc>
        <w:tc>
          <w:tcPr>
            <w:tcW w:w="2815" w:type="dxa"/>
            <w:tcBorders>
              <w:top w:val="single" w:sz="4" w:space="0" w:color="000000"/>
              <w:left w:val="single" w:sz="4" w:space="0" w:color="000000"/>
              <w:bottom w:val="single" w:sz="4" w:space="0" w:color="000000"/>
              <w:right w:val="single" w:sz="4" w:space="0" w:color="000000"/>
            </w:tcBorders>
          </w:tcPr>
          <w:p w14:paraId="15A8A439" w14:textId="77777777" w:rsidR="00D301B0" w:rsidRDefault="00000000">
            <w:pPr>
              <w:spacing w:before="40" w:after="40"/>
            </w:pPr>
            <w:r>
              <w:rPr>
                <w:sz w:val="20"/>
                <w:szCs w:val="20"/>
              </w:rPr>
              <w:t>ACEO-SEND appointed; Dr Keon Cheong heading SEND efforts at ministerial level</w:t>
            </w:r>
          </w:p>
        </w:tc>
        <w:tc>
          <w:tcPr>
            <w:tcW w:w="1525" w:type="dxa"/>
            <w:tcBorders>
              <w:top w:val="single" w:sz="4" w:space="0" w:color="000000"/>
              <w:left w:val="single" w:sz="4" w:space="0" w:color="000000"/>
              <w:bottom w:val="single" w:sz="4" w:space="0" w:color="000000"/>
              <w:right w:val="single" w:sz="4" w:space="0" w:color="000000"/>
            </w:tcBorders>
          </w:tcPr>
          <w:p w14:paraId="01B0DF26" w14:textId="77777777" w:rsidR="00D301B0" w:rsidRDefault="00000000">
            <w:pPr>
              <w:spacing w:before="40" w:after="40"/>
            </w:pPr>
            <w:r>
              <w:rPr>
                <w:sz w:val="20"/>
                <w:szCs w:val="20"/>
              </w:rPr>
              <w:t>Partially operationalised</w:t>
            </w:r>
          </w:p>
        </w:tc>
      </w:tr>
      <w:tr w:rsidR="00D301B0" w14:paraId="33CCE17F" w14:textId="77777777" w:rsidTr="007E7A00">
        <w:trPr>
          <w:trHeight w:val="1006"/>
        </w:trPr>
        <w:tc>
          <w:tcPr>
            <w:tcW w:w="2111" w:type="dxa"/>
            <w:tcBorders>
              <w:top w:val="single" w:sz="4" w:space="0" w:color="000000"/>
              <w:left w:val="single" w:sz="4" w:space="0" w:color="000000"/>
              <w:bottom w:val="single" w:sz="4" w:space="0" w:color="000000"/>
              <w:right w:val="single" w:sz="4" w:space="0" w:color="000000"/>
            </w:tcBorders>
          </w:tcPr>
          <w:p w14:paraId="767CD5DC" w14:textId="77777777" w:rsidR="00D301B0" w:rsidRDefault="00000000">
            <w:pPr>
              <w:spacing w:before="40" w:after="40"/>
            </w:pPr>
            <w:r>
              <w:rPr>
                <w:sz w:val="20"/>
                <w:szCs w:val="20"/>
              </w:rPr>
              <w:t>Regional SEN officers</w:t>
            </w:r>
          </w:p>
        </w:tc>
        <w:tc>
          <w:tcPr>
            <w:tcW w:w="2463" w:type="dxa"/>
            <w:tcBorders>
              <w:top w:val="single" w:sz="4" w:space="0" w:color="000000"/>
              <w:left w:val="single" w:sz="4" w:space="0" w:color="000000"/>
              <w:bottom w:val="single" w:sz="4" w:space="0" w:color="000000"/>
              <w:right w:val="single" w:sz="4" w:space="0" w:color="000000"/>
            </w:tcBorders>
          </w:tcPr>
          <w:p w14:paraId="2E255887" w14:textId="77777777" w:rsidR="00D301B0" w:rsidRDefault="00000000">
            <w:pPr>
              <w:spacing w:before="40" w:after="40"/>
            </w:pPr>
            <w:r>
              <w:rPr>
                <w:sz w:val="20"/>
                <w:szCs w:val="20"/>
              </w:rPr>
              <w:t>RSENOs responsible for assessment, placement, teacher training in each region (p. 22)</w:t>
            </w:r>
          </w:p>
        </w:tc>
        <w:tc>
          <w:tcPr>
            <w:tcW w:w="2815" w:type="dxa"/>
            <w:tcBorders>
              <w:top w:val="single" w:sz="4" w:space="0" w:color="000000"/>
              <w:left w:val="single" w:sz="4" w:space="0" w:color="000000"/>
              <w:bottom w:val="single" w:sz="4" w:space="0" w:color="000000"/>
              <w:right w:val="single" w:sz="4" w:space="0" w:color="000000"/>
            </w:tcBorders>
          </w:tcPr>
          <w:p w14:paraId="69C1F367" w14:textId="77777777" w:rsidR="00D301B0" w:rsidRDefault="00000000">
            <w:pPr>
              <w:spacing w:before="40" w:after="40"/>
            </w:pPr>
            <w:r>
              <w:rPr>
                <w:sz w:val="20"/>
                <w:szCs w:val="20"/>
              </w:rPr>
              <w:t>SEN officers appointed at national and some regional levels; coverage across ten regions not documented</w:t>
            </w:r>
          </w:p>
        </w:tc>
        <w:tc>
          <w:tcPr>
            <w:tcW w:w="1525" w:type="dxa"/>
            <w:tcBorders>
              <w:top w:val="single" w:sz="4" w:space="0" w:color="000000"/>
              <w:left w:val="single" w:sz="4" w:space="0" w:color="000000"/>
              <w:bottom w:val="single" w:sz="4" w:space="0" w:color="000000"/>
              <w:right w:val="single" w:sz="4" w:space="0" w:color="000000"/>
            </w:tcBorders>
          </w:tcPr>
          <w:p w14:paraId="50A3B7BE" w14:textId="77777777" w:rsidR="00D301B0" w:rsidRDefault="00000000">
            <w:pPr>
              <w:spacing w:before="40" w:after="40"/>
            </w:pPr>
            <w:r>
              <w:rPr>
                <w:sz w:val="20"/>
                <w:szCs w:val="20"/>
              </w:rPr>
              <w:t>Partially operationalised</w:t>
            </w:r>
          </w:p>
        </w:tc>
      </w:tr>
      <w:tr w:rsidR="00D301B0" w14:paraId="5B035017" w14:textId="77777777" w:rsidTr="007E7A00">
        <w:trPr>
          <w:trHeight w:val="986"/>
        </w:trPr>
        <w:tc>
          <w:tcPr>
            <w:tcW w:w="2111" w:type="dxa"/>
            <w:tcBorders>
              <w:top w:val="single" w:sz="4" w:space="0" w:color="000000"/>
              <w:left w:val="single" w:sz="4" w:space="0" w:color="000000"/>
              <w:bottom w:val="single" w:sz="4" w:space="0" w:color="000000"/>
              <w:right w:val="single" w:sz="4" w:space="0" w:color="000000"/>
            </w:tcBorders>
          </w:tcPr>
          <w:p w14:paraId="55F38713" w14:textId="77777777" w:rsidR="00D301B0" w:rsidRDefault="00000000">
            <w:pPr>
              <w:spacing w:before="40" w:after="40"/>
            </w:pPr>
            <w:r>
              <w:rPr>
                <w:sz w:val="20"/>
                <w:szCs w:val="20"/>
              </w:rPr>
              <w:t>School-level coordinators</w:t>
            </w:r>
          </w:p>
        </w:tc>
        <w:tc>
          <w:tcPr>
            <w:tcW w:w="2463" w:type="dxa"/>
            <w:tcBorders>
              <w:top w:val="single" w:sz="4" w:space="0" w:color="000000"/>
              <w:left w:val="single" w:sz="4" w:space="0" w:color="000000"/>
              <w:bottom w:val="single" w:sz="4" w:space="0" w:color="000000"/>
              <w:right w:val="single" w:sz="4" w:space="0" w:color="000000"/>
            </w:tcBorders>
          </w:tcPr>
          <w:p w14:paraId="7A91B7BE" w14:textId="77777777" w:rsidR="00D301B0" w:rsidRDefault="00000000">
            <w:pPr>
              <w:spacing w:before="40" w:after="40"/>
            </w:pPr>
            <w:r>
              <w:rPr>
                <w:sz w:val="20"/>
                <w:szCs w:val="20"/>
              </w:rPr>
              <w:t>A teacher in every school nominated as Coordinator of Special Needs (p. 24)</w:t>
            </w:r>
          </w:p>
        </w:tc>
        <w:tc>
          <w:tcPr>
            <w:tcW w:w="2815" w:type="dxa"/>
            <w:tcBorders>
              <w:top w:val="single" w:sz="4" w:space="0" w:color="000000"/>
              <w:left w:val="single" w:sz="4" w:space="0" w:color="000000"/>
              <w:bottom w:val="single" w:sz="4" w:space="0" w:color="000000"/>
              <w:right w:val="single" w:sz="4" w:space="0" w:color="000000"/>
            </w:tcBorders>
          </w:tcPr>
          <w:p w14:paraId="4342FE0B" w14:textId="77777777" w:rsidR="00D301B0" w:rsidRDefault="00000000">
            <w:pPr>
              <w:spacing w:before="40" w:after="40"/>
            </w:pPr>
            <w:r>
              <w:rPr>
                <w:sz w:val="20"/>
                <w:szCs w:val="20"/>
              </w:rPr>
              <w:t>No documentary evidence identified in the corpus of systematic appointment or coverage</w:t>
            </w:r>
          </w:p>
        </w:tc>
        <w:tc>
          <w:tcPr>
            <w:tcW w:w="1525" w:type="dxa"/>
            <w:tcBorders>
              <w:top w:val="single" w:sz="4" w:space="0" w:color="000000"/>
              <w:left w:val="single" w:sz="4" w:space="0" w:color="000000"/>
              <w:bottom w:val="single" w:sz="4" w:space="0" w:color="000000"/>
              <w:right w:val="single" w:sz="4" w:space="0" w:color="000000"/>
            </w:tcBorders>
          </w:tcPr>
          <w:p w14:paraId="7C18B5CC" w14:textId="77777777" w:rsidR="00D301B0" w:rsidRDefault="00000000">
            <w:pPr>
              <w:spacing w:before="40" w:after="40"/>
            </w:pPr>
            <w:r>
              <w:rPr>
                <w:sz w:val="20"/>
                <w:szCs w:val="20"/>
              </w:rPr>
              <w:t>Not evidenced</w:t>
            </w:r>
          </w:p>
        </w:tc>
      </w:tr>
      <w:tr w:rsidR="00D301B0" w14:paraId="57D478F6" w14:textId="77777777" w:rsidTr="007E7A00">
        <w:trPr>
          <w:trHeight w:val="1690"/>
        </w:trPr>
        <w:tc>
          <w:tcPr>
            <w:tcW w:w="2111" w:type="dxa"/>
            <w:tcBorders>
              <w:top w:val="single" w:sz="4" w:space="0" w:color="000000"/>
              <w:left w:val="single" w:sz="4" w:space="0" w:color="000000"/>
              <w:bottom w:val="single" w:sz="4" w:space="0" w:color="000000"/>
              <w:right w:val="single" w:sz="4" w:space="0" w:color="000000"/>
            </w:tcBorders>
          </w:tcPr>
          <w:p w14:paraId="29245B4C" w14:textId="77777777" w:rsidR="00D301B0" w:rsidRDefault="00000000">
            <w:pPr>
              <w:spacing w:before="40" w:after="40"/>
            </w:pPr>
            <w:r>
              <w:rPr>
                <w:sz w:val="20"/>
                <w:szCs w:val="20"/>
              </w:rPr>
              <w:t>Teacher preparation</w:t>
            </w:r>
          </w:p>
        </w:tc>
        <w:tc>
          <w:tcPr>
            <w:tcW w:w="2463" w:type="dxa"/>
            <w:tcBorders>
              <w:top w:val="single" w:sz="4" w:space="0" w:color="000000"/>
              <w:left w:val="single" w:sz="4" w:space="0" w:color="000000"/>
              <w:bottom w:val="single" w:sz="4" w:space="0" w:color="000000"/>
              <w:right w:val="single" w:sz="4" w:space="0" w:color="000000"/>
            </w:tcBorders>
          </w:tcPr>
          <w:p w14:paraId="72CF3D63" w14:textId="77777777" w:rsidR="00D301B0" w:rsidRDefault="00000000">
            <w:pPr>
              <w:spacing w:before="40" w:after="40"/>
            </w:pPr>
            <w:r>
              <w:rPr>
                <w:sz w:val="20"/>
                <w:szCs w:val="20"/>
              </w:rPr>
              <w:t>Training through CPCE, UG, and NCERD SEND Unit; thirteen provisions specified (pp. 22-24)</w:t>
            </w:r>
          </w:p>
        </w:tc>
        <w:tc>
          <w:tcPr>
            <w:tcW w:w="2815" w:type="dxa"/>
            <w:tcBorders>
              <w:top w:val="single" w:sz="4" w:space="0" w:color="000000"/>
              <w:left w:val="single" w:sz="4" w:space="0" w:color="000000"/>
              <w:bottom w:val="single" w:sz="4" w:space="0" w:color="000000"/>
              <w:right w:val="single" w:sz="4" w:space="0" w:color="000000"/>
            </w:tcBorders>
          </w:tcPr>
          <w:p w14:paraId="1372E372" w14:textId="77777777" w:rsidR="00D301B0" w:rsidRDefault="00000000">
            <w:pPr>
              <w:spacing w:before="40" w:after="40"/>
            </w:pPr>
            <w:r>
              <w:rPr>
                <w:sz w:val="20"/>
                <w:szCs w:val="20"/>
              </w:rPr>
              <w:t>51 teachers graduated with Associate Degree in SEN (October 2024); SEND programme formally launched January 2025; 30 SEND spaces reported across nine regions by 2025</w:t>
            </w:r>
          </w:p>
        </w:tc>
        <w:tc>
          <w:tcPr>
            <w:tcW w:w="1525" w:type="dxa"/>
            <w:tcBorders>
              <w:top w:val="single" w:sz="4" w:space="0" w:color="000000"/>
              <w:left w:val="single" w:sz="4" w:space="0" w:color="000000"/>
              <w:bottom w:val="single" w:sz="4" w:space="0" w:color="000000"/>
              <w:right w:val="single" w:sz="4" w:space="0" w:color="000000"/>
            </w:tcBorders>
          </w:tcPr>
          <w:p w14:paraId="398C5638" w14:textId="77777777" w:rsidR="00D301B0" w:rsidRDefault="00000000">
            <w:pPr>
              <w:spacing w:before="40" w:after="40"/>
            </w:pPr>
            <w:r>
              <w:rPr>
                <w:sz w:val="20"/>
                <w:szCs w:val="20"/>
              </w:rPr>
              <w:t>Partially operationalised</w:t>
            </w:r>
          </w:p>
        </w:tc>
      </w:tr>
      <w:tr w:rsidR="00D301B0" w14:paraId="660A338A" w14:textId="77777777" w:rsidTr="007E7A00">
        <w:trPr>
          <w:trHeight w:val="1227"/>
        </w:trPr>
        <w:tc>
          <w:tcPr>
            <w:tcW w:w="2111" w:type="dxa"/>
            <w:tcBorders>
              <w:top w:val="single" w:sz="4" w:space="0" w:color="000000"/>
              <w:left w:val="single" w:sz="4" w:space="0" w:color="000000"/>
              <w:bottom w:val="single" w:sz="4" w:space="0" w:color="000000"/>
              <w:right w:val="single" w:sz="4" w:space="0" w:color="000000"/>
            </w:tcBorders>
          </w:tcPr>
          <w:p w14:paraId="0D314E4F" w14:textId="77777777" w:rsidR="00D301B0" w:rsidRDefault="00000000">
            <w:pPr>
              <w:spacing w:before="40" w:after="40"/>
            </w:pPr>
            <w:r>
              <w:rPr>
                <w:sz w:val="20"/>
                <w:szCs w:val="20"/>
              </w:rPr>
              <w:t>Assessment and IEPs</w:t>
            </w:r>
          </w:p>
        </w:tc>
        <w:tc>
          <w:tcPr>
            <w:tcW w:w="2463" w:type="dxa"/>
            <w:tcBorders>
              <w:top w:val="single" w:sz="4" w:space="0" w:color="000000"/>
              <w:left w:val="single" w:sz="4" w:space="0" w:color="000000"/>
              <w:bottom w:val="single" w:sz="4" w:space="0" w:color="000000"/>
              <w:right w:val="single" w:sz="4" w:space="0" w:color="000000"/>
            </w:tcBorders>
          </w:tcPr>
          <w:p w14:paraId="3795F77A" w14:textId="77777777" w:rsidR="00D301B0" w:rsidRDefault="00000000">
            <w:pPr>
              <w:spacing w:before="40" w:after="40"/>
            </w:pPr>
            <w:r>
              <w:rPr>
                <w:sz w:val="20"/>
                <w:szCs w:val="20"/>
              </w:rPr>
              <w:t>Regional diagnostic centres to conduct assessment; IEPs for all students with SEN (pp. 24-25)</w:t>
            </w:r>
          </w:p>
        </w:tc>
        <w:tc>
          <w:tcPr>
            <w:tcW w:w="2815" w:type="dxa"/>
            <w:tcBorders>
              <w:top w:val="single" w:sz="4" w:space="0" w:color="000000"/>
              <w:left w:val="single" w:sz="4" w:space="0" w:color="000000"/>
              <w:bottom w:val="single" w:sz="4" w:space="0" w:color="000000"/>
              <w:right w:val="single" w:sz="4" w:space="0" w:color="000000"/>
            </w:tcBorders>
          </w:tcPr>
          <w:p w14:paraId="0F43E7CD" w14:textId="77777777" w:rsidR="00D301B0" w:rsidRDefault="00000000">
            <w:pPr>
              <w:spacing w:before="40" w:after="40"/>
            </w:pPr>
            <w:r>
              <w:rPr>
                <w:sz w:val="20"/>
                <w:szCs w:val="20"/>
              </w:rPr>
              <w:t>IEP requirement stated; no documentary evidence identified of content standards, review processes, or coverage data</w:t>
            </w:r>
          </w:p>
        </w:tc>
        <w:tc>
          <w:tcPr>
            <w:tcW w:w="1525" w:type="dxa"/>
            <w:tcBorders>
              <w:top w:val="single" w:sz="4" w:space="0" w:color="000000"/>
              <w:left w:val="single" w:sz="4" w:space="0" w:color="000000"/>
              <w:bottom w:val="single" w:sz="4" w:space="0" w:color="000000"/>
              <w:right w:val="single" w:sz="4" w:space="0" w:color="000000"/>
            </w:tcBorders>
          </w:tcPr>
          <w:p w14:paraId="3B206D34" w14:textId="77777777" w:rsidR="00D301B0" w:rsidRDefault="00000000">
            <w:pPr>
              <w:spacing w:before="40" w:after="40"/>
            </w:pPr>
            <w:r>
              <w:rPr>
                <w:sz w:val="20"/>
                <w:szCs w:val="20"/>
              </w:rPr>
              <w:t>Partially operationalised</w:t>
            </w:r>
          </w:p>
        </w:tc>
      </w:tr>
      <w:tr w:rsidR="00D301B0" w14:paraId="53F2E3D9" w14:textId="77777777" w:rsidTr="007E7A00">
        <w:trPr>
          <w:trHeight w:val="1006"/>
        </w:trPr>
        <w:tc>
          <w:tcPr>
            <w:tcW w:w="2111" w:type="dxa"/>
            <w:tcBorders>
              <w:top w:val="single" w:sz="4" w:space="0" w:color="000000"/>
              <w:left w:val="single" w:sz="4" w:space="0" w:color="000000"/>
              <w:bottom w:val="single" w:sz="4" w:space="0" w:color="000000"/>
              <w:right w:val="single" w:sz="4" w:space="0" w:color="000000"/>
            </w:tcBorders>
          </w:tcPr>
          <w:p w14:paraId="30681232" w14:textId="77777777" w:rsidR="00D301B0" w:rsidRDefault="00000000">
            <w:pPr>
              <w:spacing w:before="40" w:after="40"/>
            </w:pPr>
            <w:r>
              <w:rPr>
                <w:sz w:val="20"/>
                <w:szCs w:val="20"/>
              </w:rPr>
              <w:t>Specialised provision</w:t>
            </w:r>
          </w:p>
        </w:tc>
        <w:tc>
          <w:tcPr>
            <w:tcW w:w="2463" w:type="dxa"/>
            <w:tcBorders>
              <w:top w:val="single" w:sz="4" w:space="0" w:color="000000"/>
              <w:left w:val="single" w:sz="4" w:space="0" w:color="000000"/>
              <w:bottom w:val="single" w:sz="4" w:space="0" w:color="000000"/>
              <w:right w:val="single" w:sz="4" w:space="0" w:color="000000"/>
            </w:tcBorders>
          </w:tcPr>
          <w:p w14:paraId="238ED292" w14:textId="77777777" w:rsidR="00D301B0" w:rsidRDefault="00000000">
            <w:pPr>
              <w:spacing w:before="40" w:after="40"/>
            </w:pPr>
            <w:r>
              <w:rPr>
                <w:sz w:val="20"/>
                <w:szCs w:val="20"/>
              </w:rPr>
              <w:t>Ten government-funded specialist schools and institutes identified (p. 12)</w:t>
            </w:r>
          </w:p>
        </w:tc>
        <w:tc>
          <w:tcPr>
            <w:tcW w:w="2815" w:type="dxa"/>
            <w:tcBorders>
              <w:top w:val="single" w:sz="4" w:space="0" w:color="000000"/>
              <w:left w:val="single" w:sz="4" w:space="0" w:color="000000"/>
              <w:bottom w:val="single" w:sz="4" w:space="0" w:color="000000"/>
              <w:right w:val="single" w:sz="4" w:space="0" w:color="000000"/>
            </w:tcBorders>
          </w:tcPr>
          <w:p w14:paraId="3930ECAD" w14:textId="77777777" w:rsidR="00D301B0" w:rsidRDefault="00000000">
            <w:pPr>
              <w:spacing w:before="40" w:after="40"/>
            </w:pPr>
            <w:r>
              <w:rPr>
                <w:sz w:val="20"/>
                <w:szCs w:val="20"/>
              </w:rPr>
              <w:t>Specialist schools continue to operate; funding and staffing mismatches documented (p. 12)</w:t>
            </w:r>
          </w:p>
        </w:tc>
        <w:tc>
          <w:tcPr>
            <w:tcW w:w="1525" w:type="dxa"/>
            <w:tcBorders>
              <w:top w:val="single" w:sz="4" w:space="0" w:color="000000"/>
              <w:left w:val="single" w:sz="4" w:space="0" w:color="000000"/>
              <w:bottom w:val="single" w:sz="4" w:space="0" w:color="000000"/>
              <w:right w:val="single" w:sz="4" w:space="0" w:color="000000"/>
            </w:tcBorders>
          </w:tcPr>
          <w:p w14:paraId="24F4872F" w14:textId="77777777" w:rsidR="00D301B0" w:rsidRDefault="00000000">
            <w:pPr>
              <w:spacing w:before="40" w:after="40"/>
            </w:pPr>
            <w:r>
              <w:rPr>
                <w:sz w:val="20"/>
                <w:szCs w:val="20"/>
              </w:rPr>
              <w:t>Operationalised with limitations</w:t>
            </w:r>
          </w:p>
        </w:tc>
      </w:tr>
      <w:tr w:rsidR="00D301B0" w14:paraId="702FD4B3" w14:textId="77777777" w:rsidTr="007E7A00">
        <w:trPr>
          <w:trHeight w:val="1227"/>
        </w:trPr>
        <w:tc>
          <w:tcPr>
            <w:tcW w:w="2111" w:type="dxa"/>
            <w:tcBorders>
              <w:top w:val="single" w:sz="4" w:space="0" w:color="000000"/>
              <w:left w:val="single" w:sz="4" w:space="0" w:color="000000"/>
              <w:bottom w:val="single" w:sz="4" w:space="0" w:color="000000"/>
              <w:right w:val="single" w:sz="4" w:space="0" w:color="000000"/>
            </w:tcBorders>
          </w:tcPr>
          <w:p w14:paraId="281BEA81" w14:textId="77777777" w:rsidR="00D301B0" w:rsidRDefault="00000000">
            <w:pPr>
              <w:spacing w:before="40" w:after="40"/>
            </w:pPr>
            <w:r>
              <w:rPr>
                <w:sz w:val="20"/>
                <w:szCs w:val="20"/>
              </w:rPr>
              <w:t>Multi-sector coordination</w:t>
            </w:r>
          </w:p>
        </w:tc>
        <w:tc>
          <w:tcPr>
            <w:tcW w:w="2463" w:type="dxa"/>
            <w:tcBorders>
              <w:top w:val="single" w:sz="4" w:space="0" w:color="000000"/>
              <w:left w:val="single" w:sz="4" w:space="0" w:color="000000"/>
              <w:bottom w:val="single" w:sz="4" w:space="0" w:color="000000"/>
              <w:right w:val="single" w:sz="4" w:space="0" w:color="000000"/>
            </w:tcBorders>
          </w:tcPr>
          <w:p w14:paraId="52001534" w14:textId="77777777" w:rsidR="00D301B0" w:rsidRDefault="00000000">
            <w:pPr>
              <w:spacing w:before="40" w:after="40"/>
            </w:pPr>
            <w:r>
              <w:rPr>
                <w:sz w:val="20"/>
                <w:szCs w:val="20"/>
              </w:rPr>
              <w:t>National working group meeting at least twice per year (p. 22)</w:t>
            </w:r>
          </w:p>
        </w:tc>
        <w:tc>
          <w:tcPr>
            <w:tcW w:w="2815" w:type="dxa"/>
            <w:tcBorders>
              <w:top w:val="single" w:sz="4" w:space="0" w:color="000000"/>
              <w:left w:val="single" w:sz="4" w:space="0" w:color="000000"/>
              <w:bottom w:val="single" w:sz="4" w:space="0" w:color="000000"/>
              <w:right w:val="single" w:sz="4" w:space="0" w:color="000000"/>
            </w:tcBorders>
          </w:tcPr>
          <w:p w14:paraId="683A4A86" w14:textId="77777777" w:rsidR="00D301B0" w:rsidRDefault="00000000">
            <w:pPr>
              <w:spacing w:before="40" w:after="40"/>
            </w:pPr>
            <w:r>
              <w:rPr>
                <w:sz w:val="20"/>
                <w:szCs w:val="20"/>
              </w:rPr>
              <w:t>Policy acknowledges work done "in isolation" (p. 13); no documentary evidence identified of consistent convening</w:t>
            </w:r>
          </w:p>
        </w:tc>
        <w:tc>
          <w:tcPr>
            <w:tcW w:w="1525" w:type="dxa"/>
            <w:tcBorders>
              <w:top w:val="single" w:sz="4" w:space="0" w:color="000000"/>
              <w:left w:val="single" w:sz="4" w:space="0" w:color="000000"/>
              <w:bottom w:val="single" w:sz="4" w:space="0" w:color="000000"/>
              <w:right w:val="single" w:sz="4" w:space="0" w:color="000000"/>
            </w:tcBorders>
          </w:tcPr>
          <w:p w14:paraId="1F49E055" w14:textId="77777777" w:rsidR="00D301B0" w:rsidRDefault="00000000">
            <w:pPr>
              <w:spacing w:before="40" w:after="40"/>
            </w:pPr>
            <w:r>
              <w:rPr>
                <w:sz w:val="20"/>
                <w:szCs w:val="20"/>
              </w:rPr>
              <w:t>Not evidenced</w:t>
            </w:r>
          </w:p>
        </w:tc>
      </w:tr>
      <w:tr w:rsidR="00D301B0" w14:paraId="64F11F95" w14:textId="77777777" w:rsidTr="007E7A00">
        <w:trPr>
          <w:trHeight w:val="1207"/>
        </w:trPr>
        <w:tc>
          <w:tcPr>
            <w:tcW w:w="2111" w:type="dxa"/>
            <w:tcBorders>
              <w:top w:val="single" w:sz="4" w:space="0" w:color="000000"/>
              <w:left w:val="single" w:sz="4" w:space="0" w:color="000000"/>
              <w:bottom w:val="single" w:sz="4" w:space="0" w:color="000000"/>
              <w:right w:val="single" w:sz="4" w:space="0" w:color="000000"/>
            </w:tcBorders>
          </w:tcPr>
          <w:p w14:paraId="75FFBD3A" w14:textId="77777777" w:rsidR="00D301B0" w:rsidRDefault="00000000">
            <w:pPr>
              <w:spacing w:before="40" w:after="40"/>
            </w:pPr>
            <w:r>
              <w:rPr>
                <w:sz w:val="20"/>
                <w:szCs w:val="20"/>
              </w:rPr>
              <w:t>Monitoring and reporting</w:t>
            </w:r>
          </w:p>
        </w:tc>
        <w:tc>
          <w:tcPr>
            <w:tcW w:w="2463" w:type="dxa"/>
            <w:tcBorders>
              <w:top w:val="single" w:sz="4" w:space="0" w:color="000000"/>
              <w:left w:val="single" w:sz="4" w:space="0" w:color="000000"/>
              <w:bottom w:val="single" w:sz="4" w:space="0" w:color="000000"/>
              <w:right w:val="single" w:sz="4" w:space="0" w:color="000000"/>
            </w:tcBorders>
          </w:tcPr>
          <w:p w14:paraId="6F0B50FB" w14:textId="77777777" w:rsidR="00D301B0" w:rsidRDefault="00000000">
            <w:pPr>
              <w:spacing w:before="40" w:after="40"/>
            </w:pPr>
            <w:r>
              <w:rPr>
                <w:sz w:val="20"/>
                <w:szCs w:val="20"/>
              </w:rPr>
              <w:t>Ministry to develop monitoring system; six-monthly reviews; annual reporting (p. 20)</w:t>
            </w:r>
          </w:p>
        </w:tc>
        <w:tc>
          <w:tcPr>
            <w:tcW w:w="2815" w:type="dxa"/>
            <w:tcBorders>
              <w:top w:val="single" w:sz="4" w:space="0" w:color="000000"/>
              <w:left w:val="single" w:sz="4" w:space="0" w:color="000000"/>
              <w:bottom w:val="single" w:sz="4" w:space="0" w:color="000000"/>
              <w:right w:val="single" w:sz="4" w:space="0" w:color="000000"/>
            </w:tcBorders>
          </w:tcPr>
          <w:p w14:paraId="202E9137" w14:textId="77777777" w:rsidR="00D301B0" w:rsidRDefault="00000000">
            <w:pPr>
              <w:spacing w:before="40" w:after="40"/>
            </w:pPr>
            <w:r>
              <w:rPr>
                <w:sz w:val="20"/>
                <w:szCs w:val="20"/>
              </w:rPr>
              <w:t>No documentary evidence identified in the corpus of systematic monitoring, indicator development, or parliamentary reporting</w:t>
            </w:r>
          </w:p>
        </w:tc>
        <w:tc>
          <w:tcPr>
            <w:tcW w:w="1525" w:type="dxa"/>
            <w:tcBorders>
              <w:top w:val="single" w:sz="4" w:space="0" w:color="000000"/>
              <w:left w:val="single" w:sz="4" w:space="0" w:color="000000"/>
              <w:bottom w:val="single" w:sz="4" w:space="0" w:color="000000"/>
              <w:right w:val="single" w:sz="4" w:space="0" w:color="000000"/>
            </w:tcBorders>
          </w:tcPr>
          <w:p w14:paraId="3585B157" w14:textId="77777777" w:rsidR="00D301B0" w:rsidRDefault="00000000">
            <w:pPr>
              <w:spacing w:before="40" w:after="40"/>
            </w:pPr>
            <w:r>
              <w:rPr>
                <w:sz w:val="20"/>
                <w:szCs w:val="20"/>
              </w:rPr>
              <w:t>Not evidenced</w:t>
            </w:r>
          </w:p>
        </w:tc>
      </w:tr>
    </w:tbl>
    <w:p w14:paraId="4EE102AE" w14:textId="77777777" w:rsidR="006D5DA2" w:rsidRDefault="006D5DA2">
      <w:pPr>
        <w:spacing w:after="200" w:line="360" w:lineRule="auto"/>
        <w:ind w:firstLine="720"/>
        <w:jc w:val="both"/>
      </w:pPr>
    </w:p>
    <w:p w14:paraId="11559430" w14:textId="02388F60" w:rsidR="00D301B0" w:rsidRDefault="00000000" w:rsidP="006D5DA2">
      <w:pPr>
        <w:spacing w:after="200" w:line="360" w:lineRule="auto"/>
        <w:ind w:firstLine="720"/>
        <w:jc w:val="both"/>
      </w:pPr>
      <w:r>
        <w:t>What emerges is a pattern of selective and uneven implementation. Mechanisms closest to classroom practice — teacher preparation, specialist provision, and some regional coordination — show evidence of partial enactment. Those that depend on centralised institutional authority — systematic school-level coordination, multi-sector collaboration, and monitoring — show no documented evidence of implementation within the publicly available corpus reviewed for this study.</w:t>
      </w:r>
    </w:p>
    <w:p w14:paraId="1B22AEFC" w14:textId="77777777" w:rsidR="00D301B0" w:rsidRDefault="00000000" w:rsidP="006D5DA2">
      <w:pPr>
        <w:spacing w:after="200" w:line="360" w:lineRule="auto"/>
        <w:ind w:firstLine="720"/>
        <w:jc w:val="both"/>
      </w:pPr>
      <w:r>
        <w:t>Recent developments complicate any straightforward reading of this pattern. In October 2024, fifty-one teachers graduated with SEND qualifications; by January 2025, the CPCE SEND programme had been formally launched; and by the time of writing, thirty dedicated SEND spaces had been established across nine of Guyana's ten administrative regions (Department of Public Information Guyana, 2024; 2025). None of this was anticipated in the original working propositions. The inclusive education system is not static; it is in active, if uncoordinated, transition.</w:t>
      </w:r>
    </w:p>
    <w:p w14:paraId="1C9FC035" w14:textId="77777777" w:rsidR="00D301B0" w:rsidRDefault="00000000" w:rsidP="006D5DA2">
      <w:pPr>
        <w:spacing w:after="200" w:line="360" w:lineRule="auto"/>
        <w:ind w:firstLine="720"/>
        <w:jc w:val="both"/>
      </w:pPr>
      <w:r>
        <w:t>Lipsky’s (2010) concept of street-level bureaucracy offers an explanatory framework for this pattern. In contexts where formal policy has not been adopted, frontline workers become the de facto policymakers through their daily discretionary decisions. The 51 CPCE graduates and the regional SEN officers are precisely the kind of street-level bureaucrats Lipsky describes: professionals exercising judgement in the absence of centralised direction, developing localised responses that collectively constitute the actual policy experienced by learners. This explains both why implementation is occurring despite the policy’s draft status and why that implementation is uneven. Without a formalised policy instrument to coordinate their efforts, these frontline practitioners operate within their own institutional contexts, producing the fragmentation the policy itself acknowledged when it observed that “much of the good work is done in isolation” (Ministry of Education Guyana, 2010, p. 13).</w:t>
      </w:r>
    </w:p>
    <w:p w14:paraId="379D6FBF" w14:textId="77777777" w:rsidR="00D301B0" w:rsidRDefault="00000000" w:rsidP="006D5DA2">
      <w:pPr>
        <w:spacing w:after="200" w:line="360" w:lineRule="auto"/>
        <w:ind w:firstLine="720"/>
        <w:jc w:val="both"/>
      </w:pPr>
      <w:r>
        <w:t>The answer to Research Question 2 is more complex than Working Proposition 2 anticipated. Institutional mechanisms exist, and several have been partially enacted — in some cases more substantially than the draft status of the policy would predict. Yet mechanisms requiring centralised coordination, systematic data collection, and formal institutional authority remain largely unrealised. The result is bottom-up, practitioner-driven progress coexisting with top-down institutional stasis.</w:t>
      </w:r>
    </w:p>
    <w:p w14:paraId="2DD4B899" w14:textId="77777777" w:rsidR="00D301B0" w:rsidRDefault="00000000" w:rsidP="006D5DA2">
      <w:pPr>
        <w:pStyle w:val="Heading2"/>
        <w:spacing w:line="360" w:lineRule="auto"/>
      </w:pPr>
      <w:bookmarkStart w:id="48" w:name="_Toc227014926"/>
      <w:r>
        <w:t>4.4 Research Question 3: Structural Factors Contributing to the Policy-Practice Gap</w:t>
      </w:r>
      <w:bookmarkEnd w:id="48"/>
    </w:p>
    <w:p w14:paraId="54BA80A0" w14:textId="77777777" w:rsidR="00D301B0" w:rsidRDefault="00000000" w:rsidP="006D5DA2">
      <w:pPr>
        <w:spacing w:after="200" w:line="360" w:lineRule="auto"/>
        <w:ind w:firstLine="720"/>
        <w:jc w:val="both"/>
      </w:pPr>
      <w:r>
        <w:rPr>
          <w:i/>
          <w:iCs/>
        </w:rPr>
        <w:lastRenderedPageBreak/>
        <w:t>Research Question 3 asks: What structural factors contribute to the gap between policy intentions and implementation outcomes in the Guyanese context?</w:t>
      </w:r>
    </w:p>
    <w:p w14:paraId="11E55910" w14:textId="77777777" w:rsidR="00D301B0" w:rsidRDefault="00000000" w:rsidP="006D5DA2">
      <w:pPr>
        <w:spacing w:after="200" w:line="360" w:lineRule="auto"/>
        <w:ind w:firstLine="720"/>
        <w:jc w:val="both"/>
      </w:pPr>
      <w:r>
        <w:t>Five principal structural factors emerge from the analysis. Each is examined below, with attention to both the documentary evidence supporting the finding and the counter-evidence that qualifies it.</w:t>
      </w:r>
    </w:p>
    <w:p w14:paraId="2696739C" w14:textId="77777777" w:rsidR="00D301B0" w:rsidRDefault="00000000" w:rsidP="006D5DA2">
      <w:pPr>
        <w:pStyle w:val="Heading3"/>
        <w:spacing w:line="360" w:lineRule="auto"/>
      </w:pPr>
      <w:bookmarkStart w:id="49" w:name="_Toc227014927"/>
      <w:r>
        <w:t>4.4.1 The Unadopted Status of the Policy and the Legislative Landscape</w:t>
      </w:r>
      <w:bookmarkEnd w:id="49"/>
    </w:p>
    <w:p w14:paraId="74DDF55F" w14:textId="77777777" w:rsidR="00D301B0" w:rsidRDefault="00000000" w:rsidP="006D5DA2">
      <w:pPr>
        <w:spacing w:after="200" w:line="360" w:lineRule="auto"/>
        <w:ind w:firstLine="720"/>
        <w:jc w:val="both"/>
      </w:pPr>
      <w:r>
        <w:t>The most visible structural factor is the continued unadopted status of the Draft Inclusion Policy more than fifteen years after its production in December 2010. The policy itself expressed a clear expectation of formalisation, recording that a key success indicator was that “by the end of 2021 the policy is presented and accepted by the public and approved by the authorities” (Ministry of Education Guyana, 2010, Foreword). That deadline passed without adoption.</w:t>
      </w:r>
    </w:p>
    <w:p w14:paraId="021B2537" w14:textId="77777777" w:rsidR="00D301B0" w:rsidRDefault="00000000" w:rsidP="006D5DA2">
      <w:pPr>
        <w:spacing w:after="200" w:line="360" w:lineRule="auto"/>
        <w:ind w:firstLine="720"/>
        <w:jc w:val="both"/>
      </w:pPr>
      <w:r>
        <w:t>The implications are substantial. The policy's three principal accountability provisions (the requirement that "all schools must both have and be familiar with the National SEND Policy" (Ministry of Education Guyana, 2010, p. 19), the specification of annual parliamentary reporting, and a five-yearly review cycle (Ministry of Education Guyana, 2010, p. 20)) all depend on formal adoption for their binding force. Without it, each provision remains aspirational. Pressman and Wildavsky (1973) showed that the authority of the policy instrument is a precondition for coordinated implementation; in Guyana, that authority is absent.</w:t>
      </w:r>
    </w:p>
    <w:p w14:paraId="666F7171" w14:textId="77777777" w:rsidR="00D301B0" w:rsidRDefault="00000000" w:rsidP="006D5DA2">
      <w:pPr>
        <w:spacing w:after="200" w:line="360" w:lineRule="auto"/>
        <w:ind w:firstLine="720"/>
        <w:jc w:val="both"/>
      </w:pPr>
      <w:r>
        <w:t>The governance picture is more complex than this finding alone suggests. The Persons with Disabilities Act 2010 is an enacted statute that creates binding legal obligations: it mandates that the Ministry of Education ensure persons with disabilities are not excluded from the general education system, promote integration into regular schools, and develop teacher training programmes specialising in disabilities (Parliament of Guyana, 2010). Separately, the Education Bill 2014 specifies assessment procedures and establishes the Minister's power to create a Council on Special Education. Enacted legislation thus coexists with the unadopted Draft Policy, producing a situation in which legislative mandates for inclusive education exist without the operational policy that would translate them into coordinated institutional practice. The constraint is not the absence of legal authority as such; it is the absence of the operational bridge between enacted legislation and classroom implementation.</w:t>
      </w:r>
    </w:p>
    <w:p w14:paraId="5C5FDA50" w14:textId="77777777" w:rsidR="00D301B0" w:rsidRDefault="00000000" w:rsidP="006D5DA2">
      <w:pPr>
        <w:pStyle w:val="Heading3"/>
        <w:spacing w:line="360" w:lineRule="auto"/>
      </w:pPr>
      <w:bookmarkStart w:id="50" w:name="_Toc227014928"/>
      <w:r>
        <w:t>4.4.2 The Gap Between Policy Language and Operational Guidance</w:t>
      </w:r>
      <w:bookmarkEnd w:id="50"/>
    </w:p>
    <w:p w14:paraId="64470CDF" w14:textId="77777777" w:rsidR="00D301B0" w:rsidRDefault="00000000" w:rsidP="006D5DA2">
      <w:pPr>
        <w:spacing w:after="200" w:line="360" w:lineRule="auto"/>
        <w:ind w:firstLine="720"/>
        <w:jc w:val="both"/>
      </w:pPr>
      <w:r>
        <w:t>The second structural factor is the policy’s reliance on social model language without condition-specific operational guidance. The policy frames SEN through a barrier-removal approach, emphasising that “all children will follow the same curriculum regardless of any disability” and that teaching should be “well differentiated to meet the needs of all” (Ministry of Education Guyana, 2010, p. 19). For mainstream settings, it offers no specificity on what differentiated teaching looks like for learners with hearing impairments, intellectual disabilities, or autism spectrum disorder, nor what assistive technologies or environmental adaptations are required.</w:t>
      </w:r>
    </w:p>
    <w:p w14:paraId="14C5B0BD" w14:textId="77777777" w:rsidR="00D301B0" w:rsidRDefault="00000000" w:rsidP="006D5DA2">
      <w:pPr>
        <w:spacing w:after="200" w:line="360" w:lineRule="auto"/>
        <w:ind w:firstLine="720"/>
        <w:jc w:val="both"/>
      </w:pPr>
      <w:r>
        <w:t>Lashley’s (2024) ethnographic research in Guyanese schools provides a critical empirical counterpoint to this finding. His evidence suggests that the system’s actual operation does not even achieve the social model orientation the policy text articulates. Despite the policy’s barrier-removal language, classroom practice continues to reflect medical model assumptions in which disability is treated as an individual deficit rather than a systemic challenge (Lashley, 2024). Lashley (2023) documents children with SEND experiencing marginalisation and depersonalisation in mainstream settings, told in effect to “stay in your lane.” This evidence complicates the analysis: the gap is not only between social model policy language and operational specificity, but between social model language and medical model practice. Norwich (2016) would characterise this as a predictable consequence of policy that adopts social model rhetoric without embedding the biopsychosocial mechanisms (individualised assessment, differentiated planning, and condition-aware pedagogy) that translate inclusive commitments into differentiated responses.</w:t>
      </w:r>
    </w:p>
    <w:p w14:paraId="7F1A0172" w14:textId="77777777" w:rsidR="00D301B0" w:rsidRDefault="00000000" w:rsidP="006D5DA2">
      <w:pPr>
        <w:spacing w:after="200" w:line="360" w:lineRule="auto"/>
        <w:ind w:firstLine="720"/>
        <w:jc w:val="both"/>
      </w:pPr>
      <w:r>
        <w:t>The IEP provision illustrates this gap precisely. All students with a special need must have an IEP (Ministry of Education Guyana, 2010, p. 24), but the policy defines neither the content such a plan should contain nor the professional competencies needed to develop one. No review cycle is specified. The provision exists as a structural requirement without operational substance.</w:t>
      </w:r>
    </w:p>
    <w:p w14:paraId="23B67ADC" w14:textId="77777777" w:rsidR="00D301B0" w:rsidRDefault="00000000" w:rsidP="006D5DA2">
      <w:pPr>
        <w:pStyle w:val="Heading3"/>
        <w:spacing w:line="360" w:lineRule="auto"/>
      </w:pPr>
      <w:bookmarkStart w:id="51" w:name="_Toc227014929"/>
      <w:r>
        <w:t>4.4.3 Professional Development: Progress and Persistent Limitations</w:t>
      </w:r>
      <w:bookmarkEnd w:id="51"/>
    </w:p>
    <w:p w14:paraId="7AF641C0" w14:textId="1A9A57D9" w:rsidR="00495E53" w:rsidRDefault="00495E53" w:rsidP="00495E53">
      <w:pPr>
        <w:spacing w:after="200" w:line="360" w:lineRule="auto"/>
        <w:ind w:firstLine="720"/>
        <w:jc w:val="both"/>
      </w:pPr>
      <w:r>
        <w:t>The third structural factor concerns teacher preparation. The policy specifies thirteen training provisions across its Training Issues section (Ministry of Education Guyana, 2010, pp. 22–24), but none define content standards, competency thresholds, or evaluation mechanisms. Without these specifications, the quality of professional development remains a matter of institutional discretion rather than systemic assurance.</w:t>
      </w:r>
    </w:p>
    <w:p w14:paraId="03E0E89A" w14:textId="61869928" w:rsidR="00495E53" w:rsidRDefault="00495E53" w:rsidP="00495E53">
      <w:pPr>
        <w:spacing w:after="200" w:line="360" w:lineRule="auto"/>
        <w:ind w:firstLine="720"/>
        <w:jc w:val="both"/>
      </w:pPr>
      <w:r>
        <w:t>The trajectory of teacher preparation in Guyana illustrates, in compressed form, the broader pattern identified here. Ajodhia-Andrews and Frankel (2010) report that the CPCE introduced a compulsory special education module for all pre-service teachers as early as 2004 — four years before the Draft Inclusion Policy was produced. Yet Cheong et al. (2019) found that none of the eleven special schools had teachers trained in special education and that no programme existed at CPCE for teachers to specialise in the field. A compulsory module had existed for over a decade without producing specialist classroom capacity. The dynamic at the system level is consistent: individual initiatives, however well-intentioned, do not consolidate into sustained institutional capability without the coordinating authority of a formalised policy.</w:t>
      </w:r>
    </w:p>
    <w:p w14:paraId="0ED990C7" w14:textId="664816D6" w:rsidR="00D301B0" w:rsidRDefault="00495E53" w:rsidP="00495E53">
      <w:pPr>
        <w:spacing w:after="200" w:line="360" w:lineRule="auto"/>
        <w:ind w:firstLine="720"/>
        <w:jc w:val="both"/>
      </w:pPr>
      <w:r>
        <w:t>Recent developments suggest this pattern may be shifting. Fifty-one teachers graduated with SEND qualifications in October 2024; the CPCE SEND programme was formally launched in January 2025; and thirty dedicated SEND spaces were established across nine regions (Department of Public Information Guyana, 2024; 2025). The scale of institutional commitment represented here is qualitatively different from anything the documentary record previously showed. Whether this momentum proves more durable than the 2004 module remains to be seen. The structural limitation persists: training occurs without nationally defined competency standards against which its adequacy can be measured, and the system has no mechanism to assess whether these graduates possess the skills to support learners across the range of disabilities encountered in Guyanese schools. Avramidis and Norwich (2002) found that the quality and specificity of professional preparation is among the strongest predictors of effective inclusive practice; in the absence of defined standards, quality remains assumed rather than assured.</w:t>
      </w:r>
    </w:p>
    <w:p w14:paraId="4B93C8E1" w14:textId="77777777" w:rsidR="00D301B0" w:rsidRDefault="00000000" w:rsidP="006D5DA2">
      <w:pPr>
        <w:pStyle w:val="Heading3"/>
        <w:spacing w:line="360" w:lineRule="auto"/>
      </w:pPr>
      <w:bookmarkStart w:id="52" w:name="_Toc227014930"/>
      <w:r>
        <w:t>4.4.4 The Absence of Monitoring and Accountability Systems</w:t>
      </w:r>
      <w:bookmarkEnd w:id="52"/>
    </w:p>
    <w:p w14:paraId="7F8E4E7B" w14:textId="77777777" w:rsidR="00D301B0" w:rsidRDefault="00000000" w:rsidP="006D5DA2">
      <w:pPr>
        <w:spacing w:after="200" w:line="360" w:lineRule="auto"/>
        <w:ind w:firstLine="720"/>
        <w:jc w:val="both"/>
      </w:pPr>
      <w:r>
        <w:t>The fourth structural factor is the absence of a functioning monitoring framework. The policy specifies that the Ministry should develop a monitoring system with “clear targets in terms of dates and achievements” and that goals should be “reviewed every six months” (Ministry of Education Guyana, 2010, p. 20). These provisions demonstrate awareness of the need for systematic accountability. What the policy does not specify is what indicators would measure progress, what data collection systems would generate those indicators, or what institutional body would be responsible for conducting and publishing reviews. Abdul-Hamid (2014) argues that effective education monitoring requires a functioning Education Management Information System capable of collecting, analysing, and reporting disaggregated data on learner enrolment, participation, and outcomes. No documentary evidence was identified in the corpus to suggest that such a system is in operation for SEND provision in Guyana. Without it, the policy-practice gap cannot be reliably measured, attributed, or corrected.</w:t>
      </w:r>
    </w:p>
    <w:p w14:paraId="1165B05C" w14:textId="77777777" w:rsidR="00D301B0" w:rsidRDefault="00000000" w:rsidP="006D5DA2">
      <w:pPr>
        <w:pStyle w:val="Heading3"/>
        <w:spacing w:line="360" w:lineRule="auto"/>
      </w:pPr>
      <w:bookmarkStart w:id="53" w:name="_Toc227014931"/>
      <w:r>
        <w:t>4.4.5 Governance Incoherence and Implementation Dynamics</w:t>
      </w:r>
      <w:bookmarkEnd w:id="53"/>
    </w:p>
    <w:p w14:paraId="052B6DA7" w14:textId="77777777" w:rsidR="00D301B0" w:rsidRDefault="00000000" w:rsidP="006D5DA2">
      <w:pPr>
        <w:spacing w:after="200" w:line="360" w:lineRule="auto"/>
        <w:ind w:firstLine="720"/>
        <w:jc w:val="both"/>
      </w:pPr>
      <w:r>
        <w:t>The fifth structural factor is the incoherence between the Education Strategic Plan 2021–2025 and the unresolved Draft Policy. The strategic plan positions inclusive education as a national priority (Ministry of Education Guyana, 2021), but it does so without the finalised operational policy that would coordinate implementation across regions, schools, and training institutions. Strategic ambition has advanced beyond the policy infrastructure required to give it effect.</w:t>
      </w:r>
    </w:p>
    <w:p w14:paraId="6E1A43EE" w14:textId="77777777" w:rsidR="00D301B0" w:rsidRDefault="00000000" w:rsidP="006D5DA2">
      <w:pPr>
        <w:spacing w:after="200" w:line="360" w:lineRule="auto"/>
        <w:ind w:firstLine="720"/>
        <w:jc w:val="both"/>
      </w:pPr>
      <w:r>
        <w:t>Matland’s (1995) ambiguity-conflict model provides a framework for understanding the resulting implementation dynamics. The Draft Inclusion Policy is a case of high ambiguity and low conflict: the goals of inclusive education are broadly supported, but the means of achieving them are underspecified. Under these conditions, Matland predicts “experimental implementation”: localised, context-dependent responses shaped by the resources and dispositions of individual actors rather than by centralised direction. This is precisely the pattern the documentary evidence reveals: the 30 SEND spaces distributed unevenly across nine regions, the CPCE programme emerging from institutional initiative rather than policy mandate, the SEN officers operating within their own regional contexts without a coordinating framework. The result is not the absence of implementation but the absence of coordinated implementation. The pattern may also reflect a deeper challenge: a policy framework authored through international technical assistance and grounded in Global North conceptions of inclusion may lack the institutional rootedness necessary to compel local adoption, a concern the postcolonial literature identifies as recurring in Caribbean education reform (Brissett, 2019; Walton, 2018).</w:t>
      </w:r>
    </w:p>
    <w:p w14:paraId="00ACFE5F" w14:textId="77777777" w:rsidR="00D301B0" w:rsidRDefault="00000000" w:rsidP="006D5DA2">
      <w:pPr>
        <w:spacing w:after="200" w:line="360" w:lineRule="auto"/>
        <w:ind w:firstLine="720"/>
        <w:jc w:val="both"/>
      </w:pPr>
      <w:r>
        <w:t>Taken together, these five factors — the unadopted policy status, the gap between policy language and operational guidance, the limitations of professional development, the absence of monitoring systems, and governance incoherence — interact to produce selective and uneven progress rather than simple implementation failure. Recent developments in teacher preparation and SEND provision show that the system is not static. The constraints identified here, however, mean that progress is occurring through practitioner initiative at the frontline rather than through nationally directed reform, producing dispersed gains without systemic consolidation.</w:t>
      </w:r>
    </w:p>
    <w:p w14:paraId="07A72E33" w14:textId="77777777" w:rsidR="00D301B0" w:rsidRDefault="00000000" w:rsidP="006D5DA2">
      <w:pPr>
        <w:pStyle w:val="Heading2"/>
        <w:spacing w:line="360" w:lineRule="auto"/>
      </w:pPr>
      <w:bookmarkStart w:id="54" w:name="_Toc227014932"/>
      <w:r>
        <w:t>4.5 Evaluation of the Working Hypotheses</w:t>
      </w:r>
      <w:bookmarkEnd w:id="54"/>
    </w:p>
    <w:p w14:paraId="33A40A09" w14:textId="77777777" w:rsidR="00D301B0" w:rsidRDefault="00000000" w:rsidP="006D5DA2">
      <w:pPr>
        <w:spacing w:after="200" w:line="360" w:lineRule="auto"/>
        <w:ind w:firstLine="720"/>
        <w:jc w:val="both"/>
      </w:pPr>
      <w:r>
        <w:t>Consistent with the qualitative methodology of this study (Lincoln and Guba, 1985; Shields, Rangarajan and Casula, 2019), the evaluation below reports how the documentary evidence supported, refined, or complicated each proposition rather than assigning categorical verdicts.</w:t>
      </w:r>
    </w:p>
    <w:p w14:paraId="3721C064" w14:textId="77777777" w:rsidR="00D301B0" w:rsidRDefault="00000000" w:rsidP="006D5DA2">
      <w:pPr>
        <w:spacing w:after="200" w:line="360" w:lineRule="auto"/>
        <w:ind w:firstLine="720"/>
        <w:jc w:val="both"/>
      </w:pPr>
      <w:r>
        <w:rPr>
          <w:b/>
          <w:bCs/>
        </w:rPr>
        <w:t>Central Working Proposition: supported in its core claim but requiring recharacterisation. The proposition held that the Draft Inclusion Policy's conceptual alignment with international norms coexists with significant systemic limitations arising from its unadopted status, organisational capacity constraints, and the absence of disability-specific operational guidance. The evidence supports this core claim, but two dimensions require recharacterisation. The alignment finding is more qualified than the proposition anticipated: alignment is strong at the level of values and rights-based commitment, weakens at the level of governance design, and is absent at the level of operational concepts central to contemporary international standards (Section 4.2). Equally, the policy-practice gap is better characterised as selective and uneven embedding than as persistent failure. Recent developments in teacher preparation and SEND provision show the system in active, if piecemeal, transition; the gap is narrowing in areas driven by frontline practitioners while persisting in areas that require nationally coordinated authority.</w:t>
      </w:r>
      <w:r/>
    </w:p>
    <w:p w14:paraId="24DE989B" w14:textId="77777777" w:rsidR="00D301B0" w:rsidRDefault="00000000" w:rsidP="006D5DA2">
      <w:pPr>
        <w:spacing w:after="200" w:line="360" w:lineRule="auto"/>
        <w:ind w:firstLine="720"/>
        <w:jc w:val="both"/>
      </w:pPr>
      <w:r>
        <w:rPr>
          <w:b/>
          <w:bCs/>
        </w:rPr>
        <w:t>Working Proposition 1: supported but requiring reframing. The proposition held that the policy reflects core values of international frameworks but does not fully incorporate their operational requirements. The evidence confirms this, yet the alignment question proves more complex than the proposition anticipated. Assessed against the Salamanca Statement (1994), the policy's alignment is substantial; assessed against General Comment No. 4 (2016) and the UNESCO Global Education Monitoring Report (2020), significant operational gaps emerge — particularly the absence of reasonable accommodation and Universal Design for Learning. The proposition requires reframing: rather than a fixed judgement of partial alignment, the finding is that the policy's alignment reflects the normative standards of the era in which it was drafted and has not been updated to incorporate the requirements that have since become central to international inclusive education standards.</w:t>
      </w:r>
      <w:r/>
    </w:p>
    <w:p w14:paraId="0A912D22" w14:textId="77777777" w:rsidR="00D301B0" w:rsidRDefault="00000000" w:rsidP="006D5DA2">
      <w:pPr>
        <w:spacing w:after="200" w:line="360" w:lineRule="auto"/>
        <w:ind w:firstLine="720"/>
        <w:jc w:val="both"/>
      </w:pPr>
      <w:r>
        <w:rPr>
          <w:b/>
          <w:bCs/>
        </w:rPr>
        <w:t xml:space="preserve">Working Proposition 2: substantially supported with significant qualifications. </w:t>
      </w:r>
      <w:r>
        <w:t xml:space="preserve">This proposition held that institutional mechanisms are present but insufficiently resourced, inconsistently distributed, and inadequately monitored. The evidence substantially supports this characterisation, but with two qualifications. First, the degree of operationalisation is greater than the proposition anticipated, particularly in teacher preparation: the graduation of 51 teachers with SEND qualifications (October 2024), the launch of the CPCE SEND programme (January 2025), and the establishment of 30 SEND spaces across nine regions (reported 2025) represent concrete institutional progress (Department of Public Information Guyana, 2024; 2025). Second, Lipsky’s (2010) framework reveals that the implementation pattern is not simply a deficit to be corrected but a predictable consequence of absent centralised policy: frontline practitioners have become the de facto policymakers, producing localised progress that is real but fragmented. The proposition’s characterisation of mechanisms as “inadequately monitored” is fully confirmed: no </w:t>
        <w:lastRenderedPageBreak/>
        <w:t>documentary evidence was identified in the corpus of systematic monitoring, indicator development, or accountability reporting for SEND provision.</w:t>
      </w:r>
    </w:p>
    <w:p w14:paraId="7E7D1504" w14:textId="77777777" w:rsidR="00D301B0" w:rsidRDefault="00000000" w:rsidP="006D5DA2">
      <w:pPr>
        <w:spacing w:after="200" w:line="360" w:lineRule="auto"/>
        <w:ind w:firstLine="720"/>
        <w:jc w:val="both"/>
      </w:pPr>
      <w:r>
        <w:rPr>
          <w:b/>
          <w:bCs/>
        </w:rPr>
        <w:t xml:space="preserve">Working Proposition 3: supported and extended. </w:t>
      </w:r>
      <w:r>
        <w:t>This proposition identified four systemic constraints: the unadopted policy status, the absence of disability-specific frameworks, insufficiency of sustained professional development, and lack of monitoring and accountability. The evidence supports all four, but the analysis extends the proposition in three respects. First, a fifth structural factor was identified: governance incoherence between the Education Strategic Plan 2021–2025 and the Draft Policy (Section 4.4.5). Second, the relationship between enacted legislation (Persons with Disabilities Act 2010) and unadopted policy complicates the “draft status” factor: the structural constraint is not the absence of legal authority but the absence of the operational bridge between legislation and classroom practice. Third, Lashley’s (2024) ethnographic evidence reveals that the gap between policy language and practice is not only an operational deficit but a conceptual one: the system operates on medical model assumptions despite social model policy language. These extensions do not contradict the original proposition but deepen and complicate it.</w:t>
      </w:r>
    </w:p>
    <w:p w14:paraId="1F9C25FA" w14:textId="77777777" w:rsidR="00D301B0" w:rsidRDefault="00000000" w:rsidP="006D5DA2">
      <w:pPr>
        <w:pStyle w:val="Heading2"/>
        <w:spacing w:line="360" w:lineRule="auto"/>
      </w:pPr>
      <w:bookmarkStart w:id="55" w:name="_Toc227014933"/>
      <w:r>
        <w:t>4.6 Summary of Findings</w:t>
      </w:r>
      <w:bookmarkEnd w:id="55"/>
    </w:p>
    <w:p w14:paraId="263D58D4" w14:textId="2930BEE2" w:rsidR="00D301B0" w:rsidRDefault="00000000" w:rsidP="006D5DA2">
      <w:pPr>
        <w:spacing w:after="200" w:line="360" w:lineRule="auto"/>
        <w:ind w:firstLine="720"/>
        <w:jc w:val="both"/>
      </w:pPr>
      <w:r>
        <w:t>Inclusive education in Guyana emerges from this analysis as a system in selective, uneven transition rather than one defined by simple policy failure. The Draft Inclusion Policy shows substantial alignment with international norms at the level of values and rights-based commitment; that alignment weakens at the level of operational specificity and does not extend to the contemporary requirements of General Comment No. 4 and the UNESCO Global Education Monitoring Report. Governance arrangements exist, and several have been given practical effect — in some cases more substantially than the policy's unadopted status would predict — but those dependent on nationally directed coordination and formal authority remain largely unrealised. Five systemic factors interact to produce this pattern: the unadopted status alongside binding but operationally unguided legislation; the gap between social model language and both operational specificity and medical model classroom practice; limitations in professional development despite recent momentum; the absence of monitoring and accountability systems; and governance incoherence between strategic ambition and operational capacity. The overall picture is of a system driven by practitioner initiative from below rather than coordinated reform from above. The refined working propositions and their implications are taken up in Chapter 5.</w:t>
      </w:r>
    </w:p>
    <w:p w14:paraId="1A8592D0" w14:textId="77777777" w:rsidR="00D301B0" w:rsidRDefault="00000000" w:rsidP="006D5DA2">
      <w:pPr>
        <w:pStyle w:val="Heading1"/>
        <w:spacing w:line="360" w:lineRule="auto"/>
      </w:pPr>
      <w:bookmarkStart w:id="56" w:name="_Toc227014934"/>
      <w:r>
        <w:rPr>
          <w:caps/>
        </w:rPr>
        <w:t>CHAPTER 5: SUMMARY, CONCLUSION AND RECOMMENDATIONS</w:t>
      </w:r>
      <w:bookmarkEnd w:id="56"/>
    </w:p>
    <w:p w14:paraId="115DE838" w14:textId="77777777" w:rsidR="00D301B0" w:rsidRDefault="00000000" w:rsidP="006D5DA2">
      <w:pPr>
        <w:pStyle w:val="Heading2"/>
        <w:spacing w:line="360" w:lineRule="auto"/>
      </w:pPr>
      <w:bookmarkStart w:id="57" w:name="_Toc227014935"/>
      <w:r>
        <w:t>5.1 Introduction</w:t>
      </w:r>
      <w:bookmarkEnd w:id="57"/>
    </w:p>
    <w:p w14:paraId="5AA257BA" w14:textId="77777777" w:rsidR="00D301B0" w:rsidRDefault="00000000" w:rsidP="006D5DA2">
      <w:pPr>
        <w:spacing w:after="200" w:line="360" w:lineRule="auto"/>
        <w:ind w:firstLine="720"/>
        <w:jc w:val="both"/>
      </w:pPr>
      <w:r>
        <w:t>The findings of the study are synthesised below, together with the principal conclusions, recommendations, limitations, and suggestions for further research. The study's aims and research questions are revisited in light of the evidence developed through the document analysis, and implications for policy, practice, and future scholarship are set out.</w:t>
      </w:r>
    </w:p>
    <w:p w14:paraId="210C5AEE" w14:textId="77777777" w:rsidR="00D301B0" w:rsidRDefault="00000000" w:rsidP="006D5DA2">
      <w:pPr>
        <w:pStyle w:val="Heading2"/>
        <w:spacing w:line="360" w:lineRule="auto"/>
      </w:pPr>
      <w:bookmarkStart w:id="58" w:name="_Toc227014936"/>
      <w:r>
        <w:t>5.2 Summary of the Study</w:t>
      </w:r>
      <w:bookmarkEnd w:id="58"/>
    </w:p>
    <w:p w14:paraId="72092690" w14:textId="77777777" w:rsidR="00D301B0" w:rsidRDefault="00000000" w:rsidP="006D5DA2">
      <w:pPr>
        <w:spacing w:after="200" w:line="360" w:lineRule="auto"/>
        <w:ind w:firstLine="720"/>
        <w:jc w:val="both"/>
      </w:pPr>
      <w:r>
        <w:t>This dissertation conducted a critical desktop analysis of the Draft Inclusion Policy for Special Educational Needs (Ministry of Education Guyana, 2010), evaluating its effectiveness as a policy instrument for inclusive education and identifying the structural conditions that mediate the gap between policy intention and implementation practice. The study was motivated by the recognition that Guyana's inclusive education context combines normative commitment with significant structural incompleteness, and by the documented reality that, as the policy itself acknowledged, "a high proportion of children with Special Needs are not exposed to any form of education" (Ministry of Education Guyana, 2010, Foreword).</w:t>
      </w:r>
    </w:p>
    <w:p w14:paraId="641954CD" w14:textId="77777777" w:rsidR="00D301B0" w:rsidRDefault="00000000" w:rsidP="006D5DA2">
      <w:pPr>
        <w:spacing w:after="200" w:line="360" w:lineRule="auto"/>
        <w:ind w:firstLine="720"/>
        <w:jc w:val="both"/>
      </w:pPr>
      <w:r>
        <w:t>Chapter 1 established the study's background, problem statement, aims, objectives, four research questions, and four working propositions. Chapter 2 reviewed the medical, social, and biopsychosocial models of disability, articulated a three-part conceptual lens (policy design, institutional capacity, implementation outcomes), and examined empirical literature on teacher preparedness, policy implementation, and inclusive education in developing and Caribbean contexts, drawing on Guyana-specific research including Lashley (2023; 2024) and Cheong et al. (2019). The theoretical analysis integrated Matland's (1995) ambiguity-conflict model and Lipsky's (2010) street-level bureaucracy alongside established implementation theories. Chapter 3 justified the qualitative, desktop methodology and detailed the structured document analysis instrument.</w:t>
      </w:r>
    </w:p>
    <w:p w14:paraId="3AD72B4B" w14:textId="77777777" w:rsidR="00D301B0" w:rsidRDefault="00000000" w:rsidP="006D5DA2">
      <w:pPr>
        <w:spacing w:after="200" w:line="360" w:lineRule="auto"/>
        <w:ind w:firstLine="720"/>
        <w:jc w:val="both"/>
      </w:pPr>
      <w:r>
        <w:t>Chapter 4 addressed each research question through close textual analysis of the primary documents. A structured comparison (Table 4.01) evaluated policy alignment with international benchmarks across seven dimensions. An implementation matrix (Table 4.02) mapped eight policy-specified institutional mechanisms against documentary evidence of their enactment. The analysis engaged with counter-evidence, including recent institutional developments in teacher preparation and SEND provision, and applied Lipsky's model to explain the bottom-up implementation pattern. The four working propositions were evaluated through iterative engagement with the evidence, yielding qualified refinements rather than categorical verdicts.</w:t>
      </w:r>
    </w:p>
    <w:p w14:paraId="6BA4A885" w14:textId="77777777" w:rsidR="00D301B0" w:rsidRDefault="00000000" w:rsidP="006D5DA2">
      <w:pPr>
        <w:spacing w:after="200" w:line="360" w:lineRule="auto"/>
        <w:ind w:firstLine="720"/>
        <w:jc w:val="both"/>
      </w:pPr>
      <w:r>
        <w:t>Four principal findings emerged. The Draft Inclusion Policy aligns with international norms at the level of values and rights-based commitment, but this alignment does not extend to the contemporary operational requirements of General Comment No. 4 (Committee on the Rights of Persons with Disabilities, 2016). Governance arrangements have been given practical effect to a greater degree than the policy's draft status would predict, though those requiring nationally directed coordination remain largely unrealised. Five interacting factors sustain a pattern of selective and uneven progress. The documentary record points to a system in active but piecemeal transition, driven by practitioner initiative rather than coordinated reform.</w:t>
      </w:r>
    </w:p>
    <w:p w14:paraId="26E1F313" w14:textId="77777777" w:rsidR="00D301B0" w:rsidRDefault="00000000" w:rsidP="006D5DA2">
      <w:pPr>
        <w:pStyle w:val="Heading2"/>
        <w:spacing w:line="360" w:lineRule="auto"/>
      </w:pPr>
      <w:bookmarkStart w:id="59" w:name="_Toc227014937"/>
      <w:r>
        <w:t>5.3 Conclusions</w:t>
      </w:r>
      <w:bookmarkEnd w:id="59"/>
    </w:p>
    <w:p w14:paraId="4536E403" w14:textId="77777777" w:rsidR="00D301B0" w:rsidRDefault="00000000" w:rsidP="006D5DA2">
      <w:pPr>
        <w:spacing w:after="200" w:line="360" w:lineRule="auto"/>
        <w:ind w:firstLine="720"/>
        <w:jc w:val="both"/>
      </w:pPr>
      <w:r>
        <w:t>Six principal conclusions follow from the analysis.</w:t>
      </w:r>
    </w:p>
    <w:p w14:paraId="65D62533" w14:textId="77777777" w:rsidR="00D301B0" w:rsidRDefault="00000000" w:rsidP="006D5DA2">
      <w:pPr>
        <w:spacing w:after="200" w:line="360" w:lineRule="auto"/>
        <w:ind w:firstLine="720"/>
        <w:jc w:val="both"/>
      </w:pPr>
      <w:r>
        <w:t>The Draft Inclusion Policy is a document of genuine merit whose alignment with international standards must be assessed with historical specificity. Its rights-based language, its endorsement of the Salamanca Statement, and its detailed institutional provisions represent real achievements. The normative standard for evaluating inclusive education policy has, however, evolved significantly since the policy's drafting in 2010. Assessed against the Salamanca Statement (1994), alignment is substantial; assessed against General Comment No. 4 (2016) and the UNESCO Global Education Monitoring Report (2020), significant operational gaps emerge — most obviously the absence of reasonable accommodation and Universal Design for Learning. The degree of alignment is not a fixed judgement but depends on which normative benchmark is applied.</w:t>
      </w:r>
    </w:p>
    <w:p w14:paraId="635DF4C2" w14:textId="77777777" w:rsidR="00D301B0" w:rsidRDefault="00000000" w:rsidP="006D5DA2">
      <w:pPr>
        <w:spacing w:after="200" w:line="360" w:lineRule="auto"/>
        <w:ind w:firstLine="720"/>
        <w:jc w:val="both"/>
      </w:pPr>
      <w:r>
        <w:t>The policy's enduring status as an unadopted draft remains the most visible structural limitation, but the governance picture is more complex than this finding alone suggests. The Persons with Disabilities Act 2010 creates binding legal obligations for inclusive education, and the Education Bill 2014 specifies assessment procedures and institutional structures. Legislative mandates for inclusive education thus exist without the operational policy that would translate them into coordinated classroom practice. The constraint is not the absence of legal authority; it is the absence of the operational bridge between enacted legislation and implementation.</w:t>
      </w:r>
    </w:p>
    <w:p w14:paraId="2683B183" w14:textId="77777777" w:rsidR="00D301B0" w:rsidRDefault="00000000" w:rsidP="006D5DA2">
      <w:pPr>
        <w:spacing w:after="200" w:line="360" w:lineRule="auto"/>
        <w:ind w:firstLine="720"/>
        <w:jc w:val="both"/>
      </w:pPr>
      <w:r>
        <w:t>Third, the policy’s conceptual orientation is primarily anchored in social model thinking, producing broad commitments without the condition-specific operational guidance that learners with different disabilities require. Lashley’s (2024) ethnographic evidence suggests that this gap is not only operational but conceptual: classroom practice continues to reflect medical model assumptions despite social model policy language. The directive that teaching should be “well differentiated to meet the needs of all” (Ministry of Education Guyana, 2010, p. 19) is a principle, not operational guidance.</w:t>
      </w:r>
    </w:p>
    <w:p w14:paraId="253DABCF" w14:textId="77777777" w:rsidR="00D301B0" w:rsidRDefault="00000000" w:rsidP="006D5DA2">
      <w:pPr>
        <w:spacing w:after="200" w:line="360" w:lineRule="auto"/>
        <w:ind w:firstLine="720"/>
        <w:jc w:val="both"/>
      </w:pPr>
      <w:r>
        <w:t>Fourth, the documented institutional progress — 51 SEND-qualified graduates, 30 dedicated SEND spaces, and the formal CPCE programme launch — exceeds what the policy’s draft status alone would predict (Department of Public Information Guyana, 2024; 2025). Lipsky’s (2010) framework explains this as a predictable consequence of absent centralised policy: frontline practitioners have become the de facto policymakers, producing localised gains that are real but uncoordinated.</w:t>
      </w:r>
    </w:p>
    <w:p w14:paraId="49F4E709" w14:textId="77777777" w:rsidR="00D301B0" w:rsidRDefault="00000000" w:rsidP="006D5DA2">
      <w:pPr>
        <w:spacing w:after="200" w:line="360" w:lineRule="auto"/>
        <w:ind w:firstLine="720"/>
        <w:jc w:val="both"/>
      </w:pPr>
      <w:r>
        <w:t>The disconnect between the Education Strategic Plan 2021–2025 and the unresolved Draft Policy exemplifies what Matland (1995) terms experimental implementation: localised responses shaped by the dispositions of individual actors rather than centralised direction. Strategic ambition has outpaced the operational infrastructure needed to sustain it.</w:t>
      </w:r>
    </w:p>
    <w:p w14:paraId="53501F02" w14:textId="77777777" w:rsidR="00D301B0" w:rsidRDefault="00000000" w:rsidP="006D5DA2">
      <w:pPr>
        <w:spacing w:after="200" w:line="360" w:lineRule="auto"/>
        <w:ind w:firstLine="720"/>
        <w:jc w:val="both"/>
      </w:pPr>
      <w:r>
        <w:t>Inclusive education in Guyana requires coordinated institutional reform that builds upon the existing bottom-up momentum rather than treating the system as starting from zero. The conceptual foundations for a rights-based inclusive system are present. The challenge is their consolidation within a governance structure that is authoritative, specific, coherent, and responsive to the full diversity of learner needs.</w:t>
      </w:r>
    </w:p>
    <w:p w14:paraId="43C2684B" w14:textId="77777777" w:rsidR="00D301B0" w:rsidRDefault="00000000" w:rsidP="006D5DA2">
      <w:pPr>
        <w:pStyle w:val="Heading2"/>
        <w:spacing w:line="360" w:lineRule="auto"/>
      </w:pPr>
      <w:bookmarkStart w:id="60" w:name="_Toc227014938"/>
      <w:r>
        <w:t>5.4 Recommendations</w:t>
      </w:r>
      <w:bookmarkEnd w:id="60"/>
    </w:p>
    <w:p w14:paraId="1427D38D" w14:textId="77777777" w:rsidR="00D301B0" w:rsidRDefault="00000000" w:rsidP="006D5DA2">
      <w:pPr>
        <w:spacing w:after="200" w:line="360" w:lineRule="auto"/>
        <w:ind w:firstLine="720"/>
        <w:jc w:val="both"/>
      </w:pPr>
      <w:r>
        <w:t>Five recommendations flow directly from the findings and conclusions above. They are organised in order of dependency: Recommendation 1 is the foundational reform upon which all subsequent recommendations depend, since the institutional authority conferred by formal policy adoption is the precondition for binding accountability, coordinated resource allocation, and systemic monitoring. Recommendations 2 through 5 cannot be fully effective without it, and their sequencing reflects this logic.</w:t>
      </w:r>
    </w:p>
    <w:p w14:paraId="56EB7494" w14:textId="77777777" w:rsidR="00D301B0" w:rsidRDefault="00000000" w:rsidP="006D5DA2">
      <w:pPr>
        <w:spacing w:after="200" w:line="360" w:lineRule="auto"/>
        <w:ind w:firstLine="720"/>
        <w:jc w:val="both"/>
      </w:pPr>
      <w:r>
        <w:rPr>
          <w:b/>
          <w:bCs/>
        </w:rPr>
        <w:t>Recommendation 1: Formal Adoption and Substantive Revision of the Draft Inclusion Policy. The Ministry of Education should prioritise formal adoption, preceded by substantive revision through broad stakeholder consultation involving educators, disability advocates, parents, and learners. The document has remained a draft since 2010 and missed its projected formalisation target of 2021; further delay would be difficult to defend in light of the documentary record. The revision should update the policy to reflect contemporary normative standards, including the requirements of General Comment No. 4 — particularly reasonable accommodation and Universal Design for Learning — and should incorporate the lessons of fifteen years of informal, practitioner-driven implementation. Formal adoption provides the institutional authority without which the policy's accountability provisions cannot function as binding obligations (Pressman and Wildavsky, 1973).</w:t>
      </w:r>
      <w:r/>
    </w:p>
    <w:p w14:paraId="21E43FFD" w14:textId="77777777" w:rsidR="00D301B0" w:rsidRDefault="00000000" w:rsidP="006D5DA2">
      <w:pPr>
        <w:spacing w:after="200" w:line="360" w:lineRule="auto"/>
        <w:ind w:firstLine="720"/>
        <w:jc w:val="both"/>
      </w:pPr>
      <w:r>
        <w:rPr>
          <w:b/>
          <w:bCs/>
        </w:rPr>
        <w:t>Recommendation 2: Development of Disability-Specific Implementation Guidance. Contingent on formal adoption, the Ministry of Education, in consultation with the SEN Unit and disability sector specialists, should develop disability-specific implementation guidance providing operational direction for learners with sensory impairments, physical disabilities, intellectual disabilities, autism spectrum disorder, learning difficulties, and emotional and behavioural challenges (Mitchell, 2015). This guidance should specify pedagogical strategies, environmental adaptations, communication supports, and assistive technologies, complementing the IEP process already envisaged by the policy (Ministry of Education Guyana, 2010, p. 24). It should address the gap Norwich (2016) identifies between broad social model commitments and the biopsychosocial standard of differentiated, condition-responsive provision.</w:t>
      </w:r>
      <w:r/>
    </w:p>
    <w:p w14:paraId="4C7787CE" w14:textId="77777777" w:rsidR="00D301B0" w:rsidRDefault="00000000" w:rsidP="006D5DA2">
      <w:pPr>
        <w:spacing w:after="200" w:line="360" w:lineRule="auto"/>
        <w:ind w:firstLine="720"/>
        <w:jc w:val="both"/>
      </w:pPr>
      <w:r>
        <w:rPr>
          <w:b/>
          <w:bCs/>
        </w:rPr>
        <w:t>Recommendation 3: Strengthening Professional Development with Defined Competency Standards. The CPCE SEND programme and the trained graduates already in classrooms represent a foundation upon which formal policy should build. Future professional development should define content standards, competency thresholds, and assessment mechanisms so that training quality can be measured rather than assumed. The programme should extend beyond initial preparation to provide structured in-service learning addressing both technical competencies and attitudinal dimensions of inclusive practice (Florian and Black-Hawkins, 2011). Practitioners in rural and hinterland regions deserve particular attention; Cheong et al. (2019) and Ajodhia-Andrews and Frankel (2010) document the most significant access barriers in precisely these areas.</w:t>
      </w:r>
      <w:r/>
    </w:p>
    <w:p w14:paraId="20A1BAD6" w14:textId="77777777" w:rsidR="00D301B0" w:rsidRDefault="00000000" w:rsidP="006D5DA2">
      <w:pPr>
        <w:spacing w:after="200" w:line="360" w:lineRule="auto"/>
        <w:ind w:firstLine="720"/>
        <w:jc w:val="both"/>
      </w:pPr>
      <w:r>
        <w:rPr>
          <w:b/>
          <w:bCs/>
        </w:rPr>
        <w:t>Recommendation 4: Establishment of a Monitoring, Accountability, and Data Infrastructure. The policy's envisaged six-monthly review requirement and annual parliamentary reporting obligation (Ministry of Education Guyana, 2010, p. 20) should be given effect through a monitoring system informed by Abdul-Hamid's (2014) EMIS principles. This requires a functioning Education Management Information System capable of collecting, analysing, and reporting disability-disaggregated data on learner enrolment, participation, and outcomes across all school types and regions. The system should specify clear indicators of access, pedagogical quality, and learner progress, with accountability structures at central, regional, and school levels. The disability prevalence figure of 6.4% reported in the 2002 census is widely regarded as a significant undercount; the World Bank (2023) reports that disability prevalence across the Anglophone Caribbean is approximately 15 per cent, consistent with the WHO global estimate. Reliable data infrastructure is a prerequisite for evidence-informed policy development and resource allocation; without it, the policy-practice gap cannot be reliably measured, attributed, or corrected.</w:t>
      </w:r>
      <w:r/>
    </w:p>
    <w:p w14:paraId="778964C7" w14:textId="77777777" w:rsidR="00D301B0" w:rsidRDefault="00000000" w:rsidP="006D5DA2">
      <w:pPr>
        <w:spacing w:after="200" w:line="360" w:lineRule="auto"/>
        <w:ind w:firstLine="720"/>
        <w:jc w:val="both"/>
      </w:pPr>
      <w:r>
        <w:rPr>
          <w:b/>
          <w:bCs/>
        </w:rPr>
        <w:t>Recommendation 5: Formalisation of Multi-Sector Collaboration. The policy's vision of a multi-sector working group (Ministry of Education Guyana, 2010, p. 22) should be given effect through a formally constituted inter-agency coordination body, chaired by the Ministry of Education and including representation from the Ministry of Social Protection, the National Commission on Disability, the GCOPD, the CPCE, and the University of Guyana. This body should have a defined mandate, a recurrent budget allocation, and a requirement to report annually to the Minister of Education on inter-sectoral coordination for inclusive education. Partnerships with civil society organisations should be resourced and integrated into the implementation structure; the advocacy, community engagement, and family support functions they provide cannot be sustained by government agencies alone.</w:t>
      </w:r>
      <w:r/>
    </w:p>
    <w:p w14:paraId="6CEC199B" w14:textId="77777777" w:rsidR="00D301B0" w:rsidRDefault="00000000" w:rsidP="006D5DA2">
      <w:pPr>
        <w:pStyle w:val="Heading2"/>
        <w:spacing w:line="360" w:lineRule="auto"/>
      </w:pPr>
      <w:bookmarkStart w:id="61" w:name="_Toc227014939"/>
      <w:r>
        <w:t>5.5 Limitations of the Study</w:t>
      </w:r>
      <w:bookmarkEnd w:id="61"/>
    </w:p>
    <w:p w14:paraId="389F3E21" w14:textId="77777777" w:rsidR="00D301B0" w:rsidRDefault="00000000" w:rsidP="006D5DA2">
      <w:pPr>
        <w:spacing w:after="200" w:line="360" w:lineRule="auto"/>
        <w:ind w:firstLine="720"/>
        <w:jc w:val="both"/>
      </w:pPr>
      <w:r>
        <w:t>Several limitations should be acknowledged. The most significant is inherent to the desktop methodology: documentary analysis cannot capture the perspectives, experiences, or classroom practices of practitioners and learners (Bowen, 2009). The views of teachers, SEN officers, parents, and students with disabilities are central to understanding how inclusive education policy is enacted in practice, and their absence confines the findings to what can be inferred from the documentary record.</w:t>
      </w:r>
    </w:p>
    <w:p w14:paraId="501F4457" w14:textId="77777777" w:rsidR="00D301B0" w:rsidRDefault="00000000" w:rsidP="006D5DA2">
      <w:pPr>
        <w:spacing w:after="200" w:line="360" w:lineRule="auto"/>
        <w:ind w:firstLine="720"/>
        <w:jc w:val="both"/>
      </w:pPr>
      <w:r>
        <w:t>The completeness of the documentary record is a further concern. Publicly accessible Guyana-specific documentation on inclusive education is relatively limited, and some organisational developments may not be captured in available sources. Documentary absence should not be interpreted as institutional absence; the analysis can report only on what the corpus contains. A separate limitation is that the study cannot assess the quality, consistency, or geographic reach of the institutional developments it documents. The CPCE SEND programme and the dedicated SEND spaces represent documented institutional commitments, but whether these translate into effective classroom practice, whether they reach learners in hinterland and remote regions, and whether they are sustained over time are questions the desktop methodology cannot answer. Finally, positionality remains a consideration: despite mitigation strategies, the researcher's professional standpoint in the Caribbean educational context may shape analytical judgements in ways that are not fully transparent.</w:t>
      </w:r>
    </w:p>
    <w:p w14:paraId="5A8D9AF7" w14:textId="77777777" w:rsidR="00D301B0" w:rsidRDefault="00000000" w:rsidP="006D5DA2">
      <w:pPr>
        <w:pStyle w:val="Heading2"/>
        <w:spacing w:line="360" w:lineRule="auto"/>
      </w:pPr>
      <w:bookmarkStart w:id="62" w:name="_Toc227014940"/>
      <w:r>
        <w:lastRenderedPageBreak/>
        <w:t>5.6 Suggestions for Further Research</w:t>
      </w:r>
      <w:bookmarkEnd w:id="62"/>
    </w:p>
    <w:p w14:paraId="057EDC03" w14:textId="77777777" w:rsidR="00D301B0" w:rsidRDefault="00000000" w:rsidP="006D5DA2">
      <w:pPr>
        <w:spacing w:after="200" w:line="360" w:lineRule="auto"/>
        <w:ind w:firstLine="720"/>
        <w:jc w:val="both"/>
      </w:pPr>
      <w:r>
        <w:t>The findings point to several directions for future research. Qualitative studies employing interviews and school-based observation with teachers, SEN officers, and learners would deepen understanding of how inclusive education policy is enacted in Guyanese classrooms, providing the practitioner and learner perspectives this study cannot capture. Research examining the educational outcomes of learners with disabilities in Guyana would provide essential evidence for evaluating the impact of existing provision.</w:t>
      </w:r>
    </w:p>
    <w:p w14:paraId="6ECB103E" w14:textId="77777777" w:rsidR="00D301B0" w:rsidRDefault="00000000" w:rsidP="006D5DA2">
      <w:pPr>
        <w:spacing w:after="200" w:line="360" w:lineRule="auto"/>
        <w:ind w:firstLine="720"/>
        <w:jc w:val="both"/>
      </w:pPr>
      <w:r>
        <w:t>Comparative research across Caribbean contexts, building on the work of Blackman, Conrad and Brown (2019) and Conrad and Brown (2011), examining how neighbouring systems have approached inclusive education policy and implementation may offer transferable insights. Longitudinal research tracking the trajectory of the CPCE SEND programme and the dedicated SEND spaces over time would provide evidence on whether bottom-up implementation momentum can be sustained without formalised policy coordination. Research exploring whether the Draft Inclusion Policy's conceptual basis, produced by an international adviser, effectively reflects local institutional conditions and educational cultures would address the decolonial concern raised by Walton (2018).</w:t>
      </w:r>
    </w:p>
    <w:p w14:paraId="7F3AFA5A" w14:textId="77777777" w:rsidR="00D301B0" w:rsidRDefault="00000000" w:rsidP="006D5DA2">
      <w:pPr>
        <w:pStyle w:val="Heading2"/>
        <w:spacing w:line="360" w:lineRule="auto"/>
      </w:pPr>
      <w:bookmarkStart w:id="63" w:name="_Toc227014941"/>
      <w:r>
        <w:t>5.7 Final Reflection</w:t>
      </w:r>
      <w:bookmarkEnd w:id="63"/>
    </w:p>
    <w:p w14:paraId="14A35B30" w14:textId="77777777" w:rsidR="00D301B0" w:rsidRDefault="00000000" w:rsidP="006D5DA2">
      <w:pPr>
        <w:spacing w:after="200" w:line="360" w:lineRule="auto"/>
        <w:ind w:firstLine="720"/>
        <w:jc w:val="both"/>
      </w:pPr>
      <w:r>
        <w:t>This dissertation has pursued a central question about the relationship between policy aspiration and institutional reality in inclusive education in Guyana. The answer is neither simple nor entirely discouraging.</w:t>
      </w:r>
    </w:p>
    <w:p w14:paraId="59EE0A17" w14:textId="77777777" w:rsidR="00D301B0" w:rsidRDefault="00000000" w:rsidP="006D5DA2">
      <w:pPr>
        <w:spacing w:after="200" w:line="360" w:lineRule="auto"/>
        <w:ind w:firstLine="720"/>
        <w:jc w:val="both"/>
      </w:pPr>
      <w:r>
        <w:t>Guyana has articulated a rights-based commitment to inclusive education, developed institutional mechanisms that give partial effect to that commitment, and shown through recent developments in teacher preparation and dedicated provision that the system possesses the capacity for progress. These are not trivial achievements. The study's most important contribution may be the finding that the system is better characterised as in uncoordinated transition than in stasis.</w:t>
      </w:r>
    </w:p>
    <w:p w14:paraId="1C060367" w14:textId="77777777" w:rsidR="00D301B0" w:rsidRDefault="00000000" w:rsidP="006D5DA2">
      <w:pPr>
        <w:spacing w:after="200" w:line="360" w:lineRule="auto"/>
        <w:ind w:firstLine="720"/>
        <w:jc w:val="both"/>
      </w:pPr>
      <w:r>
        <w:t>At the same time, the structural limitations identified in Chapter 4 are consequential. The unadopted policy, the governance incoherence between enacted legislation and absent operational guidance, the distance between social model language and medical model practice, and the absence of monitoring systems together constitute a pattern in which progress depends on the initiative of individual practitioners rather than the coordinated effort of institutions. Lipsky's (2010) analysis suggests this is not merely a deficiency to be corrected but a structural feature of implementation in the absence of policy authority. It is also unsustainable: practitioner-driven progress without institutional coordination will reach limits that only formalised, resourced, and monitored policy can overcome.</w:t>
      </w:r>
    </w:p>
    <w:p w14:paraId="2DBD413D" w14:textId="77777777" w:rsidR="00D301B0" w:rsidRDefault="00000000" w:rsidP="006D5DA2">
      <w:pPr>
        <w:spacing w:after="200" w:line="360" w:lineRule="auto"/>
        <w:ind w:firstLine="720"/>
        <w:jc w:val="both"/>
      </w:pPr>
      <w:r>
        <w:t>The measure of an inclusive education system is not whether it articulates the right values but whether it creates the institutional conditions that make meaningful participation ordinary for learners who need support (Ainscow, 2020). For Guyana, the conceptual foundations for such a system are present, and the practitioner-driven momentum documented in this study shows that the capacity for progress exists. What is missing is the institutional structure that would convert that momentum into coordinated, sustainable, and accountable reform. Formal adoption of the Draft Inclusion Policy is the necessary first step — not because a policy document alone changes practice, but because it provides the legal authority, the coordination mandate, and the accountability system without which the other reforms this study recommends cannot take hold. Until that step is taken, inclusive education in Guyana will remain dependent on the initiative of individuals rather than the commitment of institutions.</w:t>
      </w:r>
    </w:p>
    <w:p w14:paraId="507C8B30" w14:textId="77777777" w:rsidR="00D301B0" w:rsidRDefault="00000000">
      <w:r>
        <w:br w:type="page"/>
      </w:r>
    </w:p>
    <w:p w14:paraId="54F49BF5" w14:textId="77777777" w:rsidR="00D301B0" w:rsidRDefault="00000000">
      <w:pPr>
        <w:pStyle w:val="Heading1"/>
      </w:pPr>
      <w:bookmarkStart w:id="64" w:name="_Toc227014942"/>
      <w:r>
        <w:rPr>
          <w:caps/>
        </w:rPr>
        <w:lastRenderedPageBreak/>
        <w:t>REFERENCES</w:t>
      </w:r>
      <w:bookmarkEnd w:id="64"/>
    </w:p>
    <w:p w14:paraId="470FF8F2" w14:textId="77777777" w:rsidR="00D301B0" w:rsidRDefault="00000000">
      <w:pPr>
        <w:spacing w:after="160" w:line="360" w:lineRule="auto"/>
        <w:ind w:left="720" w:hanging="720"/>
        <w:jc w:val="both"/>
      </w:pPr>
      <w:r>
        <w:t>Abdul-Hamid, H. (2014) What matters most for education management information systems: A framework paper. SABER Working Paper Series No. 7. Washington, DC: World Bank.</w:t>
      </w:r>
    </w:p>
    <w:p w14:paraId="4ACE27D1" w14:textId="77777777" w:rsidR="00D301B0" w:rsidRDefault="00000000">
      <w:pPr>
        <w:spacing w:after="160" w:line="360" w:lineRule="auto"/>
        <w:ind w:left="720" w:hanging="720"/>
        <w:jc w:val="both"/>
      </w:pPr>
      <w:r>
        <w:t>Ainscow, M. (2020) ‘Promoting inclusion and equity in education: Lessons from international experiences’, Nordic Journal of Studies in Educational Policy, 6(1), pp. 7–16.</w:t>
      </w:r>
    </w:p>
    <w:p w14:paraId="61DA56D7" w14:textId="77777777" w:rsidR="00D301B0" w:rsidRDefault="00000000">
      <w:pPr>
        <w:spacing w:after="160" w:line="360" w:lineRule="auto"/>
        <w:ind w:left="720" w:hanging="720"/>
        <w:jc w:val="both"/>
      </w:pPr>
      <w:r>
        <w:t>Ainscow, M. and Miles, S. (2008) 'Making education for all inclusive: Where next?', Prospects, 38(1), pp. 15-34.</w:t>
      </w:r>
    </w:p>
    <w:p w14:paraId="10424EC0" w14:textId="77777777" w:rsidR="00D301B0" w:rsidRDefault="00000000">
      <w:pPr>
        <w:spacing w:after="160" w:line="360" w:lineRule="auto"/>
        <w:ind w:left="720" w:hanging="720"/>
        <w:jc w:val="both"/>
      </w:pPr>
      <w:r>
        <w:t>Ajodhia-Andrews, A. and Frankel, E. (2010) ‘Inclusive education in Guyana: A call for change’, International Journal of Special Education, 25(1), pp. 126–144.</w:t>
      </w:r>
    </w:p>
    <w:p w14:paraId="5AD3CAA7" w14:textId="77777777" w:rsidR="00D301B0" w:rsidRDefault="00000000">
      <w:pPr>
        <w:spacing w:after="160" w:line="360" w:lineRule="auto"/>
        <w:ind w:left="720" w:hanging="720"/>
        <w:jc w:val="both"/>
      </w:pPr>
      <w:r>
        <w:t>Armstrong, A.C., Armstrong, D., Lynch, C. and Severin, S. (2005) ‘Special and inclusive education in the Eastern Caribbean: Policy, practice and provision’, International Journal of Inclusive Education, 9(1), pp. 71–87.</w:t>
      </w:r>
    </w:p>
    <w:p w14:paraId="0A125DA2" w14:textId="77777777" w:rsidR="00D301B0" w:rsidRDefault="00000000">
      <w:pPr>
        <w:spacing w:after="160" w:line="360" w:lineRule="auto"/>
        <w:ind w:left="720" w:hanging="720"/>
        <w:jc w:val="both"/>
      </w:pPr>
      <w:r>
        <w:t>Avramidis, E. and Norwich, B. (2002) 'Teachers' attitudes towards integration/inclusion: A review of the literature', European Journal of Special Needs Education, 17(2), pp. 129-147.</w:t>
      </w:r>
    </w:p>
    <w:p w14:paraId="7D9ED814" w14:textId="77777777" w:rsidR="00D301B0" w:rsidRDefault="00000000">
      <w:pPr>
        <w:spacing w:after="160" w:line="360" w:lineRule="auto"/>
        <w:ind w:left="720" w:hanging="720"/>
        <w:jc w:val="both"/>
      </w:pPr>
      <w:r>
        <w:t>Ball, S.J., Maguire, M. and Braun, A. (2012) How schools do policy: Policy enactments in secondary schools. London: Routledge.</w:t>
      </w:r>
    </w:p>
    <w:p w14:paraId="7D9ED814" w14:textId="77777777" w:rsidR="00D301B0" w:rsidRDefault="00000000">
      <w:pPr>
        <w:spacing w:after="160" w:line="360" w:lineRule="auto"/>
        <w:ind w:left="720" w:hanging="720"/>
        <w:jc w:val="both"/>
      </w:pPr>
      <w:r>
        <w:t xml:space="preserve">Brissett, N.O.M. (2019) ‘Evolution of educational inclusion policy discourse in Jamaica: From colonialism to globalization’, in Blackman, S.N.J., Conrad, D.A. and Brown, L.I. (eds.) Achieving inclusive education in the Caribbean and beyond: From philosophy to praxis. Cham: Springer, pp. 17–33.</w:t>
      </w:r>
    </w:p>
    <w:p w14:paraId="51D47B5D" w14:textId="77777777" w:rsidR="00D301B0" w:rsidRDefault="00000000">
      <w:pPr>
        <w:spacing w:after="160" w:line="360" w:lineRule="auto"/>
        <w:ind w:left="720" w:hanging="720"/>
        <w:jc w:val="both"/>
      </w:pPr>
      <w:r>
        <w:t>Blackman, S., Conrad, D.A. and Brown, L.I. (eds.) (2019) Achieving inclusive education in the Caribbean and beyond: From philosophy to praxis. Cham: Springer.</w:t>
      </w:r>
    </w:p>
    <w:p w14:paraId="5F8D819D" w14:textId="77777777" w:rsidR="00D301B0" w:rsidRDefault="00000000">
      <w:pPr>
        <w:spacing w:after="160" w:line="360" w:lineRule="auto"/>
        <w:ind w:left="720" w:hanging="720"/>
        <w:jc w:val="both"/>
      </w:pPr>
      <w:r>
        <w:t>Bowen, G.A. (2009) 'Document analysis as a qualitative research method', Qualitative Research Journal, 9(2), pp. 27-40.</w:t>
      </w:r>
    </w:p>
    <w:p w14:paraId="52B25447" w14:textId="77777777" w:rsidR="00D301B0" w:rsidRDefault="00000000">
      <w:pPr>
        <w:spacing w:after="160" w:line="360" w:lineRule="auto"/>
        <w:ind w:left="720" w:hanging="720"/>
        <w:jc w:val="both"/>
      </w:pPr>
      <w:r>
        <w:t>Braun, V. and Clarke, V. (2006) ‘Using thematic analysis in psychology’, Qualitative Research in Psychology, 3(2), pp. 77–101.</w:t>
      </w:r>
    </w:p>
    <w:p w14:paraId="1E580561" w14:textId="77777777" w:rsidR="00D301B0" w:rsidRDefault="00000000">
      <w:pPr>
        <w:spacing w:after="160" w:line="360" w:lineRule="auto"/>
        <w:ind w:left="720" w:hanging="720"/>
        <w:jc w:val="both"/>
      </w:pPr>
      <w:r>
        <w:t>Cheong, K.A., Kellems, R.O., Andersen, M.M. and Steed, K. (2019) ‘The education of individuals with disabilities in Guyana: An overview’, Intervention in School and Clinic, 54(4), pp. 246–250.</w:t>
      </w:r>
    </w:p>
    <w:p w14:paraId="31D32F0F" w14:textId="77777777" w:rsidR="00D301B0" w:rsidRDefault="00000000">
      <w:pPr>
        <w:spacing w:after="160" w:line="360" w:lineRule="auto"/>
        <w:ind w:left="720" w:hanging="720"/>
        <w:jc w:val="both"/>
      </w:pPr>
      <w:r>
        <w:lastRenderedPageBreak/>
        <w:t>Committee on the Rights of Persons with Disabilities (2016) General Comment No. 4 (2016) on Article 24: Right to Inclusive Education (CRPD/C/GC/4). Geneva: United Nations.</w:t>
      </w:r>
    </w:p>
    <w:p w14:paraId="0DC11D9B" w14:textId="77777777" w:rsidR="00D301B0" w:rsidRDefault="00000000">
      <w:pPr>
        <w:spacing w:after="160" w:line="360" w:lineRule="auto"/>
        <w:ind w:left="720" w:hanging="720"/>
        <w:jc w:val="both"/>
      </w:pPr>
      <w:r>
        <w:t>Conrad, D.A. and Brown, L.I. (2011) ‘Fostering inclusive education: Principals’ perspectives in Trinidad and Tobago’, International Journal of Inclusive Education, 15(9), pp. 1017–1029.</w:t>
      </w:r>
    </w:p>
    <w:p w14:paraId="44997DE7" w14:textId="77777777" w:rsidR="00D301B0" w:rsidRDefault="00000000">
      <w:pPr>
        <w:spacing w:after="160" w:line="360" w:lineRule="auto"/>
        <w:ind w:left="720" w:hanging="720"/>
        <w:jc w:val="both"/>
      </w:pPr>
      <w:r>
        <w:t>Creswell, J.W. (2014) Research design: Qualitative, quantitative, and mixed methods approaches. 4th edn. Thousand Oaks: Sage Publications.</w:t>
      </w:r>
    </w:p>
    <w:p>
      <w:pPr>
        <w:spacing w:after="160" w:line="360" w:lineRule="auto"/>
        <w:ind w:left="720" w:hanging="720"/>
        <w:jc w:val="both"/>
      </w:pPr>
      <w:r>
        <w:t>Department of Public Information Guyana (2024) ‘1,502 teachers graduate from CPCE’ [Online]. Georgetown: Department of Public Information. Available at: https://dpi.gov.gy/1502-teachers-graduate-from-cpce/ (Accessed: 1 April 2026).</w:t>
      </w:r>
    </w:p>
    <w:p>
      <w:pPr>
        <w:spacing w:after="160" w:line="360" w:lineRule="auto"/>
        <w:ind w:left="720" w:hanging="720"/>
        <w:jc w:val="both"/>
      </w:pPr>
      <w:r>
        <w:t>Department of Public Information Guyana (2025) ‘Gov’t expands special needs education to build inclusive classrooms nationwide’ [Online]. Georgetown: Department of Public Information. Available at: https://dpi.gov.gy/govt-expands-special-needs-education-to-build-inclusive-classrooms-nationwide/ (Accessed: 1 April 2026).</w:t>
      </w:r>
    </w:p>
    <w:p w14:paraId="4F7FE268" w14:textId="77777777" w:rsidR="00D301B0" w:rsidRDefault="00000000">
      <w:pPr>
        <w:spacing w:after="160" w:line="360" w:lineRule="auto"/>
        <w:ind w:left="720" w:hanging="720"/>
        <w:jc w:val="both"/>
      </w:pPr>
      <w:r>
        <w:t>Engelbrecht, P. (2020) ‘Inclusive education: Developments and challenges in South Africa’, Prospects, 49(3), pp. 219–232.</w:t>
      </w:r>
    </w:p>
    <w:p w14:paraId="781D814D" w14:textId="77777777" w:rsidR="00D301B0" w:rsidRDefault="00000000">
      <w:pPr>
        <w:spacing w:after="160" w:line="360" w:lineRule="auto"/>
        <w:ind w:left="720" w:hanging="720"/>
        <w:jc w:val="both"/>
      </w:pPr>
      <w:r>
        <w:t>Florian, L. (ed.) (2014) The SAGE handbook of special education. 2nd edn. London: Sage.</w:t>
      </w:r>
    </w:p>
    <w:p w14:paraId="1EF658CB" w14:textId="77777777" w:rsidR="00D301B0" w:rsidRDefault="00000000">
      <w:pPr>
        <w:spacing w:after="160" w:line="360" w:lineRule="auto"/>
        <w:ind w:left="720" w:hanging="720"/>
        <w:jc w:val="both"/>
      </w:pPr>
      <w:r>
        <w:t>Florian, L. and Black-Hawkins, K. (2011) ‘Exploring inclusive pedagogy’, British Educational Research Journal, 37(5), pp. 813–828.</w:t>
      </w:r>
    </w:p>
    <w:p w14:paraId="6BB913EC" w14:textId="77777777" w:rsidR="00D301B0" w:rsidRDefault="00000000">
      <w:pPr>
        <w:spacing w:after="160" w:line="360" w:lineRule="auto"/>
        <w:ind w:left="720" w:hanging="720"/>
        <w:jc w:val="both"/>
      </w:pPr>
      <w:r>
        <w:t>Forlin, C., Sharma, U. and Loreman, T. (2014) 'Predictors of improved teaching efficacy following basic training for inclusion in Hong Kong', International Journal of Inclusive Education, 18(7), pp. 718-730.</w:t>
      </w:r>
    </w:p>
    <w:p w14:paraId="363E3D12" w14:textId="77777777" w:rsidR="00D301B0" w:rsidRDefault="00000000">
      <w:pPr>
        <w:spacing w:after="160" w:line="360" w:lineRule="auto"/>
        <w:ind w:left="720" w:hanging="720"/>
        <w:jc w:val="both"/>
      </w:pPr>
      <w:r>
        <w:t>Fraser, S. (2014) ‘Removing the hurdles: A brief highlight of inclusion challenges in Guyana’, Journal of the International Association of Special Education, 15(2), pp. 48–55.</w:t>
      </w:r>
    </w:p>
    <w:p w14:paraId="0CB9AA71" w14:textId="77777777" w:rsidR="00D301B0" w:rsidRDefault="00000000">
      <w:pPr>
        <w:spacing w:after="160" w:line="360" w:lineRule="auto"/>
        <w:ind w:left="720" w:hanging="720"/>
        <w:jc w:val="both"/>
      </w:pPr>
      <w:r>
        <w:t>Fullan, M. (2007) The new meaning of educational change. 4th edn. New York: Teachers College Press.</w:t>
      </w:r>
    </w:p>
    <w:p w14:paraId="49CC6ECB" w14:textId="77777777" w:rsidR="00D301B0" w:rsidRDefault="00000000">
      <w:pPr>
        <w:spacing w:after="160" w:line="360" w:lineRule="auto"/>
        <w:ind w:left="720" w:hanging="720"/>
        <w:jc w:val="both"/>
      </w:pPr>
      <w:r>
        <w:t>Guyana Council of Organisations for Persons with Disabilities (n.d.) About the Guyana Council of Organisations for Persons with Disabilities [Online]. Available at: https://gcopd.org.gy (Accessed: 1 April 2026).</w:t>
      </w:r>
    </w:p>
    <w:p w14:paraId="42C32EFF" w14:textId="77777777" w:rsidR="00D301B0" w:rsidRDefault="00000000">
      <w:pPr>
        <w:spacing w:after="160" w:line="360" w:lineRule="auto"/>
        <w:ind w:left="720" w:hanging="720"/>
        <w:jc w:val="both"/>
      </w:pPr>
      <w:r>
        <w:t>Guyana, Parliament of (2010) Persons with Disabilities Act 2010 (Cap. 36:05). Georgetown: Government of Guyana.</w:t>
      </w:r>
    </w:p>
    <w:p w14:paraId="54EED0E4" w14:textId="77777777" w:rsidR="00D301B0" w:rsidRDefault="00000000">
      <w:pPr>
        <w:spacing w:after="160" w:line="360" w:lineRule="auto"/>
        <w:ind w:left="720" w:hanging="720"/>
        <w:jc w:val="both"/>
      </w:pPr>
      <w:r>
        <w:t>Guyana, Parliament of (2014) Education Bill 2014. Georgetown: Government of Guyana.</w:t>
      </w:r>
    </w:p>
    <w:p w14:paraId="68D09604" w14:textId="77777777" w:rsidR="00D301B0" w:rsidRDefault="00000000">
      <w:pPr>
        <w:spacing w:after="160" w:line="360" w:lineRule="auto"/>
        <w:ind w:left="720" w:hanging="720"/>
        <w:jc w:val="both"/>
      </w:pPr>
      <w:r>
        <w:lastRenderedPageBreak/>
        <w:t>Kozleski, E.B., Artiles, A.J. and Waitoller, F.R. (2014) ‘Equity in inclusive education: A cultural historical comparative perspective’, in Florian, L. (ed.) The SAGE Handbook of Special Education. 2nd edn. London: Sage, pp. 231–250.</w:t>
      </w:r>
    </w:p>
    <w:p w14:paraId="2517F378" w14:textId="77777777" w:rsidR="00D301B0" w:rsidRDefault="00000000">
      <w:pPr>
        <w:spacing w:after="160" w:line="360" w:lineRule="auto"/>
        <w:ind w:left="720" w:hanging="720"/>
        <w:jc w:val="both"/>
      </w:pPr>
      <w:r>
        <w:t>Lashley, L. (2023) ‘Stay in your lane experiences of children with Special Education Needs and/or Disabilities in two mainstream primary schools in Guyana’, International Journal of Inclusive Education, 27(8), pp. 921–971.</w:t>
      </w:r>
    </w:p>
    <w:p w14:paraId="22E3F82B" w14:textId="77777777" w:rsidR="00D301B0" w:rsidRDefault="00000000">
      <w:pPr>
        <w:spacing w:after="160" w:line="360" w:lineRule="auto"/>
        <w:ind w:left="720" w:hanging="720"/>
        <w:jc w:val="both"/>
      </w:pPr>
      <w:r>
        <w:t>Lashley, L. (2025) ‘The curious gap in the experiences of children with exceptionalities in two mainstream primary schools in postcolonial Guyana’, International Journal of Inclusive Education, 29(6), pp. 935–957.</w:t>
      </w:r>
    </w:p>
    <w:p w14:paraId="1EB45E98" w14:textId="77777777" w:rsidR="00D301B0" w:rsidRDefault="00000000">
      <w:pPr>
        <w:spacing w:after="160" w:line="360" w:lineRule="auto"/>
        <w:ind w:left="720" w:hanging="720"/>
        <w:jc w:val="both"/>
      </w:pPr>
      <w:r>
        <w:t>Lashley, L. (2024) ‘The inclusive education: A conceptualized reality or misapprehension in postcolonial Guyana’, IALS Journal, 14(1), pp. 23–36.</w:t>
      </w:r>
    </w:p>
    <w:p w14:paraId="089D9FF3" w14:textId="77777777" w:rsidR="00D301B0" w:rsidRDefault="00000000">
      <w:pPr>
        <w:spacing w:after="160" w:line="360" w:lineRule="auto"/>
        <w:ind w:left="720" w:hanging="720"/>
        <w:jc w:val="both"/>
      </w:pPr>
      <w:r>
        <w:t>Lincoln, Y.S. and Guba, E.G. (1985) Naturalistic inquiry. Newbury Park: Sage Publications.</w:t>
      </w:r>
    </w:p>
    <w:p w14:paraId="220DDFA2" w14:textId="77777777" w:rsidR="00D301B0" w:rsidRDefault="00000000">
      <w:pPr>
        <w:spacing w:after="160" w:line="360" w:lineRule="auto"/>
        <w:ind w:left="720" w:hanging="720"/>
        <w:jc w:val="both"/>
      </w:pPr>
      <w:r>
        <w:t>Lipsky, M. (2010) Street-level bureaucracy: Dilemmas of the individual in public services. 30th anniversary expanded edn. New York: Russell Sage Foundation.</w:t>
      </w:r>
    </w:p>
    <w:p w14:paraId="0948FFBB" w14:textId="77777777" w:rsidR="00D301B0" w:rsidRDefault="00000000">
      <w:pPr>
        <w:spacing w:after="160" w:line="360" w:lineRule="auto"/>
        <w:ind w:left="720" w:hanging="720"/>
        <w:jc w:val="both"/>
      </w:pPr>
      <w:r>
        <w:t>Matland, R.E. (1995) ‘Synthesizing the implementation literature: The ambiguity-conflict model of policy implementation’, Journal of Public Administration Research and Theory, 5(2), pp. 145–174.</w:t>
      </w:r>
    </w:p>
    <w:p w14:paraId="50874D0C" w14:textId="77777777" w:rsidR="00D301B0" w:rsidRDefault="00000000">
      <w:pPr>
        <w:spacing w:after="160" w:line="360" w:lineRule="auto"/>
        <w:ind w:left="720" w:hanging="720"/>
        <w:jc w:val="both"/>
      </w:pPr>
      <w:r>
        <w:t>Miles, S. and Singal, N. (2010) 'The education for all and inclusive education debate', International Journal of Inclusive Education, 14(1), pp. 1-15.</w:t>
      </w:r>
    </w:p>
    <w:p w14:paraId="71A3B453" w14:textId="77777777" w:rsidR="00D301B0" w:rsidRDefault="00000000">
      <w:pPr>
        <w:spacing w:after="160" w:line="360" w:lineRule="auto"/>
        <w:ind w:left="720" w:hanging="720"/>
        <w:jc w:val="both"/>
      </w:pPr>
      <w:r>
        <w:t>Ministry of Education Guyana (2010) Draft Inclusion Policy for Special Educational Needs. Georgetown: Ministry of Education Guyana.</w:t>
      </w:r>
    </w:p>
    <w:p w14:paraId="3049D4BB" w14:textId="77777777" w:rsidR="00D301B0" w:rsidRDefault="00000000">
      <w:pPr>
        <w:spacing w:after="160" w:line="360" w:lineRule="auto"/>
        <w:ind w:left="720" w:hanging="720"/>
        <w:jc w:val="both"/>
      </w:pPr>
      <w:r>
        <w:t>Ministry of Education Guyana (2021) Education Strategic Plan 2021-2025. Georgetown: Ministry of Education Guyana.</w:t>
      </w:r>
    </w:p>
    <w:p w14:paraId="1B72D816" w14:textId="77777777" w:rsidR="00D301B0" w:rsidRDefault="00000000">
      <w:pPr>
        <w:spacing w:after="160" w:line="360" w:lineRule="auto"/>
        <w:ind w:left="720" w:hanging="720"/>
        <w:jc w:val="both"/>
      </w:pPr>
      <w:r>
        <w:t>Ministry of Education Guyana (n.d.) Inclusive education initiatives in Guyana [Online]. Available at: https://education.gov.gy (Accessed: 1 April 2026).</w:t>
      </w:r>
    </w:p>
    <w:p w14:paraId="1FD888C7" w14:textId="77777777" w:rsidR="00D301B0" w:rsidRDefault="00000000">
      <w:pPr>
        <w:spacing w:after="160" w:line="360" w:lineRule="auto"/>
        <w:ind w:left="720" w:hanging="720"/>
        <w:jc w:val="both"/>
      </w:pPr>
      <w:r>
        <w:t>Mitchell, D. (2015) ‘Inclusive education is a multi-faceted concept’, Center for Educational Policy Studies Journal, 5(1), pp. 9–30.</w:t>
      </w:r>
    </w:p>
    <w:p w14:paraId="51040A64" w14:textId="77777777" w:rsidR="00D301B0" w:rsidRDefault="00000000">
      <w:pPr>
        <w:spacing w:after="160" w:line="360" w:lineRule="auto"/>
        <w:ind w:left="720" w:hanging="720"/>
        <w:jc w:val="both"/>
      </w:pPr>
      <w:r>
        <w:lastRenderedPageBreak/>
        <w:t>Norwich, B. (2016) ‘Conceptualizing special educational needs using a biopsychosocial model in England: The prospects and challenges of using the International Classification of Functioning framework’, Frontiers in Education, 1, Article 5.</w:t>
      </w:r>
    </w:p>
    <w:p w14:paraId="230F7ED6" w14:textId="77777777" w:rsidR="00D301B0" w:rsidRDefault="00000000">
      <w:pPr>
        <w:spacing w:after="160" w:line="360" w:lineRule="auto"/>
        <w:ind w:left="720" w:hanging="720"/>
        <w:jc w:val="both"/>
      </w:pPr>
      <w:r>
        <w:t>Oliver, M. (1990) The politics of disablement. London: Macmillan.</w:t>
      </w:r>
    </w:p>
    <w:p w14:paraId="2481AFC9" w14:textId="77777777" w:rsidR="00D301B0" w:rsidRDefault="00000000">
      <w:pPr>
        <w:spacing w:after="160" w:line="360" w:lineRule="auto"/>
        <w:ind w:left="720" w:hanging="720"/>
        <w:jc w:val="both"/>
      </w:pPr>
      <w:r>
        <w:t>Opertti, R., Walker, Z. and Zhang, Y. (2014) ‘Inclusive education: From targeting groups and schools to achieving quality education as the core of EFA’, in Florian, L. (ed.) The SAGE Handbook of Special Education. 2nd edn. London: Sage, pp. 149–169.</w:t>
      </w:r>
    </w:p>
    <w:p w14:paraId="1E4175E8" w14:textId="77777777" w:rsidR="00D301B0" w:rsidRDefault="00000000">
      <w:pPr>
        <w:spacing w:after="160" w:line="360" w:lineRule="auto"/>
        <w:ind w:left="720" w:hanging="720"/>
        <w:jc w:val="both"/>
      </w:pPr>
      <w:r>
        <w:t>Peters, S.J. (2007) 'Education for all? A historical analysis of international inclusive education policy', Journal of Disability Policy Studies, 18(2), pp. 98-108.</w:t>
      </w:r>
    </w:p>
    <w:p w14:paraId="50550E7C" w14:textId="77777777" w:rsidR="00D301B0" w:rsidRDefault="00000000">
      <w:pPr>
        <w:spacing w:after="160" w:line="360" w:lineRule="auto"/>
        <w:ind w:left="720" w:hanging="720"/>
        <w:jc w:val="both"/>
      </w:pPr>
      <w:r>
        <w:t>Pressman, J.L. and Wildavsky, A. (1973) Implementation: How great expectations in Washington are dashed in Oakland. Berkeley: University of California Press.</w:t>
      </w:r>
    </w:p>
    <w:p w14:paraId="6A1996A4" w14:textId="77777777" w:rsidR="00D301B0" w:rsidRDefault="00000000">
      <w:pPr>
        <w:spacing w:after="160" w:line="360" w:lineRule="auto"/>
        <w:ind w:left="720" w:hanging="720"/>
        <w:jc w:val="both"/>
      </w:pPr>
      <w:r>
        <w:t>Shakespeare, T. (2006) Disability rights and wrongs. London: Routledge.</w:t>
      </w:r>
    </w:p>
    <w:p w14:paraId="72B50B7C" w14:textId="77777777" w:rsidR="00D301B0" w:rsidRDefault="00000000">
      <w:pPr>
        <w:spacing w:after="160" w:line="360" w:lineRule="auto"/>
        <w:ind w:left="720" w:hanging="720"/>
        <w:jc w:val="both"/>
      </w:pPr>
      <w:r>
        <w:t>Sharma, U., Forlin, C. and Loreman, T. (2008) ‘Impact of training on pre-service teachers’ attitudes and concerns about inclusive education and sentiments about persons with disabilities’, Disability and Society, 23(7), pp. 773–785.</w:t>
      </w:r>
    </w:p>
    <w:p w14:paraId="26868231" w14:textId="77777777" w:rsidR="00D301B0" w:rsidRDefault="00000000">
      <w:pPr>
        <w:spacing w:after="160" w:line="360" w:lineRule="auto"/>
        <w:ind w:left="720" w:hanging="720"/>
        <w:jc w:val="both"/>
      </w:pPr>
      <w:r>
        <w:t>Shields, P.M., Rangarajan, N. and Casula, M. (2019) ‘It is a working hypothesis: Searching for truth in a post-truth world (Part 1)’, Sotsiologicheskie issledovaniya, (10), pp. 39–47.</w:t>
      </w:r>
    </w:p>
    <w:p w14:paraId="113D6C18" w14:textId="77777777" w:rsidR="00D301B0" w:rsidRDefault="00000000">
      <w:pPr>
        <w:spacing w:after="160" w:line="360" w:lineRule="auto"/>
        <w:ind w:left="720" w:hanging="720"/>
        <w:jc w:val="both"/>
      </w:pPr>
      <w:r>
        <w:t>Slee, R. (2011) The irregular school: Exclusion, schooling and inclusive education. London: Routledge.</w:t>
      </w:r>
    </w:p>
    <w:p w14:paraId="7C688378" w14:textId="77777777" w:rsidR="00D301B0" w:rsidRDefault="00000000">
      <w:pPr>
        <w:spacing w:after="160" w:line="360" w:lineRule="auto"/>
        <w:ind w:left="720" w:hanging="720"/>
        <w:jc w:val="both"/>
      </w:pPr>
      <w:r>
        <w:t>Srivastava, M., de Boer, A.A. and Pijl, S.J. (2015) ‘Inclusive education in developing countries: A closer look at its implementation in the last 10 years’, Educational Review, 67(2), pp. 179–195.</w:t>
      </w:r>
    </w:p>
    <w:p w14:paraId="50889FFC" w14:textId="77777777" w:rsidR="00D301B0" w:rsidRDefault="00000000">
      <w:pPr>
        <w:spacing w:after="160" w:line="360" w:lineRule="auto"/>
        <w:ind w:left="720" w:hanging="720"/>
        <w:jc w:val="both"/>
      </w:pPr>
      <w:r>
        <w:t>UNESCO (1994) The Salamanca Statement and Framework for Action on Special Needs Education [Online]. Paris: UNESCO. Available at: https://unesdoc.unesco.org/ark:/48223/pf0000098427 (Accessed: 1 April 2026).</w:t>
      </w:r>
    </w:p>
    <w:p w14:paraId="246E5719" w14:textId="77777777" w:rsidR="00D301B0" w:rsidRDefault="00000000">
      <w:pPr>
        <w:spacing w:after="160" w:line="360" w:lineRule="auto"/>
        <w:ind w:left="720" w:hanging="720"/>
        <w:jc w:val="both"/>
      </w:pPr>
      <w:r>
        <w:t>UNESCO (2020) Global Education Monitoring Report 2020: Inclusion and education: All means all. Paris: UNESCO.</w:t>
      </w:r>
    </w:p>
    <w:p w14:paraId="381017AD" w14:textId="77777777" w:rsidR="00D301B0" w:rsidRDefault="00000000">
      <w:pPr>
        <w:spacing w:after="160" w:line="360" w:lineRule="auto"/>
        <w:ind w:left="720" w:hanging="720"/>
        <w:jc w:val="both"/>
      </w:pPr>
      <w:r>
        <w:lastRenderedPageBreak/>
        <w:t>United Nations (2006) Convention on the Rights of Persons with Disabilities [Online]. New York: United Nations. Available at: https://www.un.org/disabilities/documents/convention/convoptprot-e.pdf (Accessed: 1 April 2026).</w:t>
      </w:r>
    </w:p>
    <w:p w14:paraId="5C690729" w14:textId="77777777" w:rsidR="00D301B0" w:rsidRDefault="00000000">
      <w:pPr>
        <w:spacing w:after="160" w:line="360" w:lineRule="auto"/>
        <w:ind w:left="720" w:hanging="720"/>
        <w:jc w:val="both"/>
      </w:pPr>
      <w:r>
        <w:t>Walton, E. (2018) ‘Decolonising (through) inclusive education?’, Educational Research for Social Change, 7(special issue), pp. 31–45.</w:t>
      </w:r>
    </w:p>
    <w:p w14:paraId="44449C64" w14:textId="77777777" w:rsidR="00D301B0" w:rsidRDefault="00000000">
      <w:pPr>
        <w:spacing w:after="160" w:line="360" w:lineRule="auto"/>
        <w:ind w:left="720" w:hanging="720"/>
        <w:jc w:val="both"/>
      </w:pPr>
      <w:r>
        <w:t>World Bank (2023) Disability inclusion in Latin America and the Caribbean: The situation in Guyana [Online]. Washington, DC: World Bank. Available at: https://documents1.worldbank.org/curated/en/099061024112031792/pdf/P17125615440a50681bb011e3cd00471543.pdf (Accessed: 1 April 2026).</w:t>
      </w:r>
    </w:p>
    <w:p w14:paraId="173082C5" w14:textId="77777777" w:rsidR="00D301B0" w:rsidRDefault="00000000">
      <w:pPr>
        <w:spacing w:after="160" w:line="360" w:lineRule="auto"/>
        <w:ind w:left="720" w:hanging="720"/>
        <w:jc w:val="both"/>
      </w:pPr>
      <w:r>
        <w:t>World Health Organization (2001) International classification of functioning, disability and health (ICF) [Online]. Geneva: World Health Organization. Available at: https://www.who.int/standards/classifications/international-classification-of-functioning-disability-and-health (Accessed: 1 April 2026).</w:t>
      </w:r>
    </w:p>
    <w:p w14:paraId="3B157C42" w14:textId="77777777" w:rsidR="00D301B0" w:rsidRDefault="00000000">
      <w:r>
        <w:br w:type="page"/>
      </w:r>
    </w:p>
    <w:p w14:paraId="424CCEC3" w14:textId="77777777" w:rsidR="00D301B0" w:rsidRDefault="00000000">
      <w:pPr>
        <w:pStyle w:val="Heading1"/>
      </w:pPr>
      <w:bookmarkStart w:id="65" w:name="_Toc227014943"/>
      <w:r>
        <w:rPr>
          <w:caps/>
        </w:rPr>
        <w:lastRenderedPageBreak/>
        <w:t>APPENDIX A: KEY PROVISIONS OF THE DRAFT INCLUSION POLICY FOR SEN, GUYANA (2010)</w:t>
      </w:r>
      <w:bookmarkEnd w:id="65"/>
    </w:p>
    <w:p w14:paraId="17A4E011" w14:textId="77777777" w:rsidR="00D301B0" w:rsidRDefault="00000000">
      <w:pPr>
        <w:spacing w:after="160" w:line="360" w:lineRule="auto"/>
        <w:jc w:val="both"/>
      </w:pPr>
      <w:r>
        <w:t>The following summary reproduces key quoted provisions from the Draft Inclusion Policy for Special Educational Needs (Ministry of Education Guyana, 2010), provided for reference in support of the document analysis in Chapter 4. Page references correspond to the original policy document.</w:t>
      </w:r>
    </w:p>
    <w:p w14:paraId="2B349BC2" w14:textId="77777777" w:rsidR="00D301B0" w:rsidRDefault="00D301B0"/>
    <w:p w14:paraId="1C482211" w14:textId="77777777" w:rsidR="00D301B0" w:rsidRDefault="00000000">
      <w:pPr>
        <w:spacing w:after="160" w:line="360" w:lineRule="auto"/>
        <w:jc w:val="both"/>
      </w:pPr>
      <w:r>
        <w:t>Ultimate goal (p. 14): "The ultimate goal of the Ministry of Education is to ensure that all children in Guyana are in full time education."</w:t>
      </w:r>
    </w:p>
    <w:p w14:paraId="164FAFAF" w14:textId="77777777" w:rsidR="00D301B0" w:rsidRDefault="00000000">
      <w:pPr>
        <w:spacing w:after="160" w:line="360" w:lineRule="auto"/>
        <w:jc w:val="both"/>
      </w:pPr>
      <w:r>
        <w:t>Placement principle (p. 32): "Wherever possible children should be educated in their local mainstream school."</w:t>
      </w:r>
    </w:p>
    <w:p w14:paraId="0A138752" w14:textId="77777777" w:rsidR="00D301B0" w:rsidRDefault="00000000">
      <w:pPr>
        <w:spacing w:after="160" w:line="360" w:lineRule="auto"/>
        <w:jc w:val="both"/>
      </w:pPr>
      <w:r>
        <w:t>Curriculum differentiation (p. 19): "All children will follow the same curriculum regardless of any disability. The school will need to ensure that all teaching is well differentiated to meet the needs of all."</w:t>
      </w:r>
    </w:p>
    <w:p w14:paraId="2A3B17DA" w14:textId="77777777" w:rsidR="00D301B0" w:rsidRDefault="00000000">
      <w:pPr>
        <w:spacing w:after="160" w:line="360" w:lineRule="auto"/>
        <w:jc w:val="both"/>
      </w:pPr>
      <w:r>
        <w:t>Individual Education Plans (p. 24): "All students with a special need must have an Individual Education Plan outlining their needs and how they are being met."</w:t>
      </w:r>
    </w:p>
    <w:p w14:paraId="380ECF7A" w14:textId="77777777" w:rsidR="00D301B0" w:rsidRDefault="00000000">
      <w:pPr>
        <w:spacing w:after="160" w:line="360" w:lineRule="auto"/>
        <w:jc w:val="both"/>
      </w:pPr>
      <w:r>
        <w:t>Monitoring requirement (p. 20): "The Ministry of Education must develop a system to monitor and evaluate the progress and development of the Policy, including clear targets in terms of dates and achievements. Short term and long term goals must be established and these need to be reviewed every six months."</w:t>
      </w:r>
    </w:p>
    <w:p w14:paraId="2B3A4786" w14:textId="77777777" w:rsidR="00D301B0" w:rsidRDefault="00000000">
      <w:pPr>
        <w:spacing w:after="160" w:line="360" w:lineRule="auto"/>
        <w:jc w:val="both"/>
      </w:pPr>
      <w:r>
        <w:t>Parliamentary reporting (p. 20): "The Ministry of Education will report to Parliament annually on the breakdown of children with Special Needs in each region."</w:t>
      </w:r>
    </w:p>
    <w:p w14:paraId="75D6AF1A" w14:textId="77777777" w:rsidR="00D301B0" w:rsidRDefault="00000000">
      <w:pPr>
        <w:spacing w:after="160" w:line="360" w:lineRule="auto"/>
        <w:jc w:val="both"/>
      </w:pPr>
      <w:r>
        <w:t>Coordination deficit acknowledged (p. 13): "There is no evidence of coordination between the courses provided. It would appear that much of the good work is done in isolation."</w:t>
      </w:r>
    </w:p>
    <w:p w14:paraId="480866F7" w14:textId="77777777" w:rsidR="00D301B0" w:rsidRDefault="00000000">
      <w:pPr>
        <w:spacing w:after="160" w:line="360" w:lineRule="auto"/>
        <w:jc w:val="both"/>
      </w:pPr>
      <w:r>
        <w:t>Training provisions (p. 22): "Training must continue at the Teachers' College and developed by the University of Guyana to ensure all newly qualified teachers have the necessary skills and knowledge to meet the needs of the population."</w:t>
      </w:r>
    </w:p>
    <w:p w14:paraId="0562E894" w14:textId="77777777" w:rsidR="00D301B0" w:rsidRDefault="00000000">
      <w:pPr>
        <w:spacing w:after="160" w:line="360" w:lineRule="auto"/>
        <w:jc w:val="both"/>
      </w:pPr>
      <w:r>
        <w:lastRenderedPageBreak/>
        <w:t>Special school staffing (p. 33): "All teachers in a Special School must be trained in the particular specialism."</w:t>
      </w:r>
    </w:p>
    <w:p w14:paraId="3E8116E2" w14:textId="77777777" w:rsidR="00D301B0" w:rsidRDefault="00000000">
      <w:pPr>
        <w:spacing w:after="160" w:line="360" w:lineRule="auto"/>
        <w:jc w:val="both"/>
      </w:pPr>
      <w:r>
        <w:t>Management hierarchy: The policy proposes a tiered SEN coordination structure from Minister of Education and Chief Education Officer at the apex, through DCEO, ACEO-SEN, National SEN Coordinator and National SEN Officer, to Regional SEN Coordinators and school-level SEN Coordinators.</w:t>
      </w:r>
    </w:p>
    <w:p w14:paraId="7957C0E0" w14:textId="77777777" w:rsidR="00D301B0" w:rsidRDefault="00000000">
      <w:pPr>
        <w:spacing w:after="160" w:line="360" w:lineRule="auto"/>
        <w:jc w:val="both"/>
      </w:pPr>
      <w:r>
        <w:t>Specialised facilities (p. 12): Ten government-funded institutes/schools identified in 2010, including David Rose School for the Handicapped, St. Rose's High School for Visually Impaired, Sophia Special School, St. Barnabas Special School, New Amsterdam Special School, and others.</w:t>
      </w:r>
    </w:p>
    <w:p w14:paraId="368F5D58" w14:textId="77777777" w:rsidR="00D301B0" w:rsidRDefault="00000000">
      <w:pPr>
        <w:spacing w:after="160" w:line="360" w:lineRule="auto"/>
        <w:jc w:val="both"/>
      </w:pPr>
      <w:r>
        <w:t>Statistical context (Appendix C): The 2002 national census recorded 6.4% of the total population (approximately 48,419 individuals) as having some form of disability, of whom those under 15 totalled 5,842. The policy acknowledges "a high proportion of children with Special Needs are not exposed to any form of education."</w:t>
      </w:r>
    </w:p>
    <w:p w14:paraId="34FCB822" w14:textId="77777777" w:rsidR="00D301B0" w:rsidRDefault="00000000">
      <w:r>
        <w:br w:type="page"/>
      </w:r>
    </w:p>
    <w:p w14:paraId="5E30CEE9" w14:textId="77777777" w:rsidR="00D301B0" w:rsidRDefault="00000000">
      <w:pPr>
        <w:pStyle w:val="Heading1"/>
      </w:pPr>
      <w:bookmarkStart w:id="66" w:name="_Toc227014944"/>
      <w:r>
        <w:rPr>
          <w:caps/>
        </w:rPr>
        <w:lastRenderedPageBreak/>
        <w:t>APPENDIX B: CORE DOCUMENTS ANALYSED</w:t>
      </w:r>
      <w:bookmarkEnd w:id="66"/>
    </w:p>
    <w:p w14:paraId="117EA354" w14:textId="77777777" w:rsidR="00D301B0" w:rsidRDefault="00000000">
      <w:pPr>
        <w:spacing w:after="160" w:line="360" w:lineRule="auto"/>
        <w:jc w:val="both"/>
      </w:pPr>
      <w:r>
        <w:t>This appendix provides a summary of the core documents analysed in the study, their provenance, and their relevance to the research questions. The corpus was selected purposively on the basis of direct relevance to the research questions and preference for official primary sources.</w:t>
      </w:r>
    </w:p>
    <w:p w14:paraId="424C8975" w14:textId="77777777" w:rsidR="00D301B0" w:rsidRDefault="00D301B0"/>
    <w:p w14:paraId="0D423356" w14:textId="77777777" w:rsidR="00D301B0" w:rsidRDefault="00000000">
      <w:pPr>
        <w:numPr>
          <w:ilvl w:val="0"/>
          <w:numId w:val="4"/>
        </w:numPr>
        <w:spacing w:after="160" w:line="360" w:lineRule="auto"/>
        <w:jc w:val="both"/>
      </w:pPr>
      <w:r>
        <w:t>Draft Inclusion Policy for Special Educational Needs (Ministry of Education Guyana, 2010): Principal document under close textual examination; provides the formal conceptual and policy basis for inclusive education in Guyana. Relevant to RQ1, RQ2, RQ3, RQ4.</w:t>
      </w:r>
    </w:p>
    <w:p w14:paraId="3FB817F3" w14:textId="77777777" w:rsidR="00D301B0" w:rsidRDefault="00000000">
      <w:pPr>
        <w:numPr>
          <w:ilvl w:val="0"/>
          <w:numId w:val="4"/>
        </w:numPr>
        <w:spacing w:after="160" w:line="360" w:lineRule="auto"/>
        <w:jc w:val="both"/>
      </w:pPr>
      <w:r>
        <w:t>Education Strategic Plan 2021-2025 (Ministry of Education Guyana, 2021): Included to assess broader policy coherence and strategic context. Relevant to RQ2, RQ3, RQ4.</w:t>
      </w:r>
    </w:p>
    <w:p w14:paraId="147B977A" w14:textId="77777777" w:rsidR="00D301B0" w:rsidRDefault="00000000">
      <w:pPr>
        <w:numPr>
          <w:ilvl w:val="0"/>
          <w:numId w:val="4"/>
        </w:numPr>
        <w:spacing w:after="160" w:line="360" w:lineRule="auto"/>
        <w:jc w:val="both"/>
      </w:pPr>
      <w:r>
        <w:t>Ministry of Education Guyana publicly available materials on inclusive education (n.d.): Included to identify evidence of implementation mechanisms. Relevant to RQ2, RQ3.</w:t>
      </w:r>
    </w:p>
    <w:p w14:paraId="646EE0C2" w14:textId="77777777" w:rsidR="00D301B0" w:rsidRDefault="00000000">
      <w:pPr>
        <w:numPr>
          <w:ilvl w:val="0"/>
          <w:numId w:val="4"/>
        </w:numPr>
        <w:spacing w:after="160" w:line="360" w:lineRule="auto"/>
        <w:jc w:val="both"/>
      </w:pPr>
      <w:r>
        <w:t>Guyana Council of Organisations for Persons with Disabilities (n.d.): Included to provide documentary insight into civil society engagement. Relevant to RQ2, RQ3, RQ4.</w:t>
      </w:r>
    </w:p>
    <w:p w14:paraId="0CB17096" w14:textId="77777777" w:rsidR="00D301B0" w:rsidRDefault="00000000">
      <w:pPr>
        <w:numPr>
          <w:ilvl w:val="0"/>
          <w:numId w:val="4"/>
        </w:numPr>
        <w:spacing w:after="160" w:line="360" w:lineRule="auto"/>
        <w:jc w:val="both"/>
      </w:pPr>
      <w:r>
        <w:t>UNESCO Salamanca Statement and Framework for Action on Special Needs Education (UNESCO, 1994): Foundational international benchmark for assessing conceptual alignment. Relevant to RQ1.</w:t>
      </w:r>
    </w:p>
    <w:p w14:paraId="0E38D282" w14:textId="77777777" w:rsidR="00D301B0" w:rsidRDefault="00000000">
      <w:pPr>
        <w:numPr>
          <w:ilvl w:val="0"/>
          <w:numId w:val="4"/>
        </w:numPr>
        <w:spacing w:after="160" w:line="360" w:lineRule="auto"/>
        <w:jc w:val="both"/>
      </w:pPr>
      <w:r>
        <w:t>United Nations Convention on the Rights of Persons with Disabilities (United Nations, 2006): Central international rights-based framework for assessing policy alignment. Relevant to RQ1.</w:t>
      </w:r>
    </w:p>
    <w:p w14:paraId="34F0788E" w14:textId="77777777" w:rsidR="00D301B0" w:rsidRDefault="00000000">
      <w:pPr>
        <w:numPr>
          <w:ilvl w:val="0"/>
          <w:numId w:val="4"/>
        </w:numPr>
        <w:spacing w:after="160" w:line="360" w:lineRule="auto"/>
        <w:jc w:val="both"/>
      </w:pPr>
      <w:r>
        <w:t xml:space="preserve">General Comment No. 4 on Article 24: Right to Inclusive Education (Committee on the Rights of Persons with Disabilities, 2016): Contemporary international normative benchmark for evaluating inclusive education policy. Relevant to RQ1.  8. Persons with Disabilities Act 2010 (Parliament of Guyana): Enacted legislation creating binding </w:t>
        <w:lastRenderedPageBreak/>
        <w:t>legal obligations for inclusive education. Relevant to RQ2, RQ3.  9. Education Bill 2014 (Parliament of Guyana): Draft legislation specifying assessment procedures and institutional structures. Relevant to RQ2, RQ3.  10. World Bank Disability Inclusion Country Profile for Guyana (World Bank, 2023): International contextual data on disability prevalence and inclusion indicators. Relevant to RQ1, RQ3.  11. Selected peer-reviewed scholarly literature: Provides interpretive and theoretical context. Relevant to RQ1, RQ2, RQ3, RQ4.</w:t>
      </w:r>
    </w:p>
    <w:p w14:paraId="084DA353" w14:textId="77777777" w:rsidR="00D301B0" w:rsidRDefault="00000000">
      <w:r>
        <w:br w:type="page"/>
      </w:r>
    </w:p>
    <w:p w14:paraId="257F626C" w14:textId="77777777" w:rsidR="00D301B0" w:rsidRDefault="00000000">
      <w:pPr>
        <w:pStyle w:val="Heading1"/>
      </w:pPr>
      <w:bookmarkStart w:id="67" w:name="_Toc227014945"/>
      <w:r>
        <w:rPr>
          <w:caps/>
        </w:rPr>
        <w:lastRenderedPageBreak/>
        <w:t>APPENDIX C: STRUCTURED DOCUMENT ANALYSIS FRAMEWORK</w:t>
      </w:r>
      <w:bookmarkEnd w:id="67"/>
    </w:p>
    <w:p w14:paraId="22EF96B6" w14:textId="77777777" w:rsidR="00D301B0" w:rsidRDefault="00000000">
      <w:pPr>
        <w:spacing w:after="160" w:line="360" w:lineRule="auto"/>
        <w:jc w:val="both"/>
      </w:pPr>
      <w:r>
        <w:t>This appendix reproduces the structured document analysis framework used to guide the review of the core documentary corpus. The framework ensures consistency across documents and alignment between the analysis, the conceptual lens, and the research questions.</w:t>
      </w:r>
    </w:p>
    <w:p w14:paraId="5C7596E9" w14:textId="77777777" w:rsidR="00D301B0" w:rsidRDefault="00D301B0"/>
    <w:p w14:paraId="262B5DD6" w14:textId="77777777" w:rsidR="00D301B0" w:rsidRDefault="00000000">
      <w:pPr>
        <w:numPr>
          <w:ilvl w:val="0"/>
          <w:numId w:val="5"/>
        </w:numPr>
        <w:spacing w:after="160" w:line="360" w:lineRule="auto"/>
        <w:jc w:val="both"/>
      </w:pPr>
      <w:r>
        <w:t>Policy purpose and scope: What is the stated purpose, and what aspects of inclusive education does it address? (Relevance: establishes document function)</w:t>
      </w:r>
    </w:p>
    <w:p w14:paraId="68BB9183" w14:textId="77777777" w:rsidR="00D301B0" w:rsidRDefault="00000000">
      <w:pPr>
        <w:numPr>
          <w:ilvl w:val="0"/>
          <w:numId w:val="5"/>
        </w:numPr>
        <w:spacing w:after="160" w:line="360" w:lineRule="auto"/>
        <w:jc w:val="both"/>
      </w:pPr>
      <w:r>
        <w:t>Definition and conceptualisation of SEN/disability: How does the document define or frame special educational needs and disability? (Relevance: biopsychosocial model analysis)</w:t>
      </w:r>
    </w:p>
    <w:p w14:paraId="7ECA4652" w14:textId="77777777" w:rsidR="00D301B0" w:rsidRDefault="00000000">
      <w:pPr>
        <w:numPr>
          <w:ilvl w:val="0"/>
          <w:numId w:val="5"/>
        </w:numPr>
        <w:spacing w:after="160" w:line="360" w:lineRule="auto"/>
        <w:jc w:val="both"/>
      </w:pPr>
      <w:r>
        <w:t>Inclusive education principles: What values, rights, or principles are articulated? (Relevance: RQ1)</w:t>
      </w:r>
    </w:p>
    <w:p w14:paraId="30F8C208" w14:textId="77777777" w:rsidR="00D301B0" w:rsidRDefault="00000000">
      <w:pPr>
        <w:numPr>
          <w:ilvl w:val="0"/>
          <w:numId w:val="5"/>
        </w:numPr>
        <w:spacing w:after="160" w:line="360" w:lineRule="auto"/>
        <w:jc w:val="both"/>
      </w:pPr>
      <w:r>
        <w:t>Relationship to international frameworks: Does the document reflect principles of the Salamanca Statement and CRPD? (Relevance: RQ1)</w:t>
      </w:r>
    </w:p>
    <w:p w14:paraId="52388BB1" w14:textId="77777777" w:rsidR="00D301B0" w:rsidRDefault="00000000">
      <w:pPr>
        <w:numPr>
          <w:ilvl w:val="0"/>
          <w:numId w:val="5"/>
        </w:numPr>
        <w:spacing w:after="160" w:line="360" w:lineRule="auto"/>
        <w:jc w:val="both"/>
      </w:pPr>
      <w:r>
        <w:t>Implementation mechanisms: What structures, roles, processes, or actions are proposed or evidenced? (Relevance: RQ2)</w:t>
      </w:r>
    </w:p>
    <w:p w14:paraId="5E53D686" w14:textId="77777777" w:rsidR="00D301B0" w:rsidRDefault="00000000">
      <w:pPr>
        <w:numPr>
          <w:ilvl w:val="0"/>
          <w:numId w:val="5"/>
        </w:numPr>
        <w:spacing w:after="160" w:line="360" w:lineRule="auto"/>
        <w:jc w:val="both"/>
      </w:pPr>
      <w:r>
        <w:t>Roles and responsibilities: Are specific institutional actors identified with clearly defined responsibilities? (Relevance: RQ2, RQ3)</w:t>
      </w:r>
    </w:p>
    <w:p w14:paraId="5159A89F" w14:textId="77777777" w:rsidR="00D301B0" w:rsidRDefault="00000000">
      <w:pPr>
        <w:numPr>
          <w:ilvl w:val="0"/>
          <w:numId w:val="5"/>
        </w:numPr>
        <w:spacing w:after="160" w:line="360" w:lineRule="auto"/>
        <w:jc w:val="both"/>
      </w:pPr>
      <w:r>
        <w:t>Teacher preparation and professional development: Does the document address teacher education or professional support? (Relevance: RQ2, RQ3)</w:t>
      </w:r>
    </w:p>
    <w:p w14:paraId="77A6C2B6" w14:textId="77777777" w:rsidR="00D301B0" w:rsidRDefault="00000000">
      <w:pPr>
        <w:numPr>
          <w:ilvl w:val="0"/>
          <w:numId w:val="4"/>
        </w:numPr>
        <w:spacing w:after="160" w:line="360" w:lineRule="auto"/>
        <w:jc w:val="both"/>
      </w:pPr>
      <w:r>
        <w:t>Disability-specific guidance: Does the document differentiate between categories of learner need or provide condition-specific guidance? (Relevance: RQ1, RQ3)</w:t>
      </w:r>
    </w:p>
    <w:p w14:paraId="5388AFFC" w14:textId="77777777" w:rsidR="00D301B0" w:rsidRDefault="00000000">
      <w:pPr>
        <w:numPr>
          <w:ilvl w:val="0"/>
          <w:numId w:val="4"/>
        </w:numPr>
        <w:spacing w:after="160" w:line="360" w:lineRule="auto"/>
        <w:jc w:val="both"/>
      </w:pPr>
      <w:r>
        <w:t>Monitoring and accountability: Does the document specify indicators, reporting systems, review mechanisms, or accountability arrangements? (Relevance: RQ2, RQ3)</w:t>
      </w:r>
    </w:p>
    <w:p w14:paraId="3DD437BB" w14:textId="77777777" w:rsidR="00D301B0" w:rsidRDefault="00000000">
      <w:pPr>
        <w:numPr>
          <w:ilvl w:val="0"/>
          <w:numId w:val="4"/>
        </w:numPr>
        <w:spacing w:after="160" w:line="360" w:lineRule="auto"/>
        <w:jc w:val="both"/>
      </w:pPr>
      <w:r>
        <w:t>Resource and institutional capacity implications: What assumptions does the document make about staffing, infrastructure, data systems, and finance? (Relevance: RQ2, RQ3)</w:t>
      </w:r>
    </w:p>
    <w:p w14:paraId="116ACAF7" w14:textId="77777777" w:rsidR="00D301B0" w:rsidRDefault="00000000">
      <w:pPr>
        <w:numPr>
          <w:ilvl w:val="0"/>
          <w:numId w:val="4"/>
        </w:numPr>
        <w:spacing w:after="160" w:line="360" w:lineRule="auto"/>
        <w:jc w:val="both"/>
      </w:pPr>
      <w:r>
        <w:lastRenderedPageBreak/>
        <w:t>Policy coherence: How does the document relate to other national policy or planning instruments? (Relevance: RQ3)</w:t>
      </w:r>
    </w:p>
    <w:p w14:paraId="48F92AE4" w14:textId="77777777" w:rsidR="00D301B0" w:rsidRDefault="00000000">
      <w:pPr>
        <w:numPr>
          <w:ilvl w:val="0"/>
          <w:numId w:val="5"/>
        </w:numPr>
        <w:spacing w:after="160" w:line="360" w:lineRule="auto"/>
        <w:jc w:val="both"/>
      </w:pPr>
      <w:r>
        <w:t>Policy limitations or silences: What important issues are absent, underdeveloped, or left unspecified? (Relevance: RQ3, RQ4)</w:t>
      </w:r>
    </w:p>
    <w:p w14:paraId="19EF3968" w14:textId="77777777" w:rsidR="00D301B0" w:rsidRDefault="00000000">
      <w:pPr>
        <w:numPr>
          <w:ilvl w:val="0"/>
          <w:numId w:val="5"/>
        </w:numPr>
        <w:spacing w:after="160" w:line="360" w:lineRule="auto"/>
        <w:jc w:val="both"/>
      </w:pPr>
      <w:r>
        <w:t>Implications for reform: What documentary weaknesses or gaps suggest areas for policy revision or strengthening? (Relevance: RQ4)</w:t>
      </w:r>
    </w:p>
    <w:sectPr w:rsidR="00D301B0">
      <w:footerReference w:type="default" r:id="rId10"/>
      <w:pgSz w:w="12240" w:h="15840"/>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C5E44" w14:textId="77777777" w:rsidR="001B618F" w:rsidRDefault="001B618F">
      <w:r>
        <w:separator/>
      </w:r>
    </w:p>
  </w:endnote>
  <w:endnote w:type="continuationSeparator" w:id="0">
    <w:p w14:paraId="32E9F2E1" w14:textId="77777777" w:rsidR="001B618F" w:rsidRDefault="001B61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977C7" w14:textId="77777777" w:rsidR="00D301B0" w:rsidRDefault="00D301B0">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33DB1" w14:textId="77777777" w:rsidR="00D301B0" w:rsidRDefault="00000000">
    <w:pPr>
      <w:jc w:val="center"/>
    </w:pPr>
    <w:r>
      <w:fldChar w:fldCharType="begin"/>
    </w:r>
    <w:r>
      <w:instrText xml:space="preserve"> PAGE </w:instrText>
    </w:r>
    <w:r>
      <w:fldChar w:fldCharType="separate"/>
    </w:r>
    <w: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551AF" w14:textId="77777777" w:rsidR="00D301B0"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81E64" w14:textId="77777777" w:rsidR="001B618F" w:rsidRDefault="001B618F">
      <w:r>
        <w:separator/>
      </w:r>
    </w:p>
  </w:footnote>
  <w:footnote w:type="continuationSeparator" w:id="0">
    <w:p w14:paraId="50D42252" w14:textId="77777777" w:rsidR="001B618F" w:rsidRDefault="001B61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91267"/>
    <w:multiLevelType w:val="hybridMultilevel"/>
    <w:tmpl w:val="68C01A5A"/>
    <w:lvl w:ilvl="0" w:tplc="53C4D616">
      <w:start w:val="1"/>
      <w:numFmt w:val="bullet"/>
      <w:lvlText w:val="●"/>
      <w:lvlJc w:val="left"/>
      <w:pPr>
        <w:ind w:left="720" w:hanging="360"/>
      </w:pPr>
    </w:lvl>
    <w:lvl w:ilvl="1" w:tplc="8AD0C882">
      <w:start w:val="1"/>
      <w:numFmt w:val="bullet"/>
      <w:lvlText w:val="○"/>
      <w:lvlJc w:val="left"/>
      <w:pPr>
        <w:ind w:left="1440" w:hanging="360"/>
      </w:pPr>
    </w:lvl>
    <w:lvl w:ilvl="2" w:tplc="A79205CE">
      <w:start w:val="1"/>
      <w:numFmt w:val="bullet"/>
      <w:lvlText w:val="■"/>
      <w:lvlJc w:val="left"/>
      <w:pPr>
        <w:ind w:left="2160" w:hanging="360"/>
      </w:pPr>
    </w:lvl>
    <w:lvl w:ilvl="3" w:tplc="02862180">
      <w:start w:val="1"/>
      <w:numFmt w:val="bullet"/>
      <w:lvlText w:val="●"/>
      <w:lvlJc w:val="left"/>
      <w:pPr>
        <w:ind w:left="2880" w:hanging="360"/>
      </w:pPr>
    </w:lvl>
    <w:lvl w:ilvl="4" w:tplc="82324B24">
      <w:start w:val="1"/>
      <w:numFmt w:val="bullet"/>
      <w:lvlText w:val="○"/>
      <w:lvlJc w:val="left"/>
      <w:pPr>
        <w:ind w:left="3600" w:hanging="360"/>
      </w:pPr>
    </w:lvl>
    <w:lvl w:ilvl="5" w:tplc="0F9C47E8">
      <w:start w:val="1"/>
      <w:numFmt w:val="bullet"/>
      <w:lvlText w:val="■"/>
      <w:lvlJc w:val="left"/>
      <w:pPr>
        <w:ind w:left="4320" w:hanging="360"/>
      </w:pPr>
    </w:lvl>
    <w:lvl w:ilvl="6" w:tplc="E2C647AA">
      <w:start w:val="1"/>
      <w:numFmt w:val="bullet"/>
      <w:lvlText w:val="●"/>
      <w:lvlJc w:val="left"/>
      <w:pPr>
        <w:ind w:left="5040" w:hanging="360"/>
      </w:pPr>
    </w:lvl>
    <w:lvl w:ilvl="7" w:tplc="B1DCF8D2">
      <w:start w:val="1"/>
      <w:numFmt w:val="bullet"/>
      <w:lvlText w:val="●"/>
      <w:lvlJc w:val="left"/>
      <w:pPr>
        <w:ind w:left="5760" w:hanging="360"/>
      </w:pPr>
    </w:lvl>
    <w:lvl w:ilvl="8" w:tplc="3B74243C">
      <w:start w:val="1"/>
      <w:numFmt w:val="bullet"/>
      <w:lvlText w:val="●"/>
      <w:lvlJc w:val="left"/>
      <w:pPr>
        <w:ind w:left="6480" w:hanging="360"/>
      </w:pPr>
    </w:lvl>
  </w:abstractNum>
  <w:abstractNum w:abstractNumId="1" w15:restartNumberingAfterBreak="0">
    <w:nsid w:val="4C3004FE"/>
    <w:multiLevelType w:val="hybridMultilevel"/>
    <w:tmpl w:val="7324C94A"/>
    <w:lvl w:ilvl="0" w:tplc="C1A8FFD2">
      <w:start w:val="1"/>
      <w:numFmt w:val="decimal"/>
      <w:lvlText w:val="%1."/>
      <w:lvlJc w:val="left"/>
      <w:pPr>
        <w:ind w:left="720" w:hanging="360"/>
      </w:pPr>
      <w:rPr>
        <w:rFonts w:ascii="Times New Roman" w:hAnsi="Times New Roman"/>
        <w:sz w:val="24"/>
      </w:rPr>
    </w:lvl>
    <w:lvl w:ilvl="1" w:tplc="B0646070">
      <w:numFmt w:val="decimal"/>
      <w:lvlText w:val=""/>
      <w:lvlJc w:val="left"/>
    </w:lvl>
    <w:lvl w:ilvl="2" w:tplc="178CCE06">
      <w:numFmt w:val="decimal"/>
      <w:lvlText w:val=""/>
      <w:lvlJc w:val="left"/>
    </w:lvl>
    <w:lvl w:ilvl="3" w:tplc="4A2C05F4">
      <w:numFmt w:val="decimal"/>
      <w:lvlText w:val=""/>
      <w:lvlJc w:val="left"/>
    </w:lvl>
    <w:lvl w:ilvl="4" w:tplc="B346FA1E">
      <w:numFmt w:val="decimal"/>
      <w:lvlText w:val=""/>
      <w:lvlJc w:val="left"/>
    </w:lvl>
    <w:lvl w:ilvl="5" w:tplc="0592334A">
      <w:numFmt w:val="decimal"/>
      <w:lvlText w:val=""/>
      <w:lvlJc w:val="left"/>
    </w:lvl>
    <w:lvl w:ilvl="6" w:tplc="ECB8F4C0">
      <w:numFmt w:val="decimal"/>
      <w:lvlText w:val=""/>
      <w:lvlJc w:val="left"/>
    </w:lvl>
    <w:lvl w:ilvl="7" w:tplc="F1469B9A">
      <w:numFmt w:val="decimal"/>
      <w:lvlText w:val=""/>
      <w:lvlJc w:val="left"/>
    </w:lvl>
    <w:lvl w:ilvl="8" w:tplc="0B728CAA">
      <w:numFmt w:val="decimal"/>
      <w:lvlText w:val=""/>
      <w:lvlJc w:val="left"/>
    </w:lvl>
  </w:abstractNum>
  <w:num w:numId="1" w16cid:durableId="1987273937">
    <w:abstractNumId w:val="0"/>
    <w:lvlOverride w:ilvl="0">
      <w:startOverride w:val="1"/>
    </w:lvlOverride>
  </w:num>
  <w:num w:numId="2" w16cid:durableId="1093166132">
    <w:abstractNumId w:val="1"/>
  </w:num>
  <w:num w:numId="3" w16cid:durableId="1113205521">
    <w:abstractNumId w:val="1"/>
    <w:lvlOverride w:ilvl="0">
      <w:startOverride w:val="1"/>
    </w:lvlOverride>
  </w:num>
  <w:num w:numId="4" w16cid:durableId="2090954541">
    <w:abstractNumId w:val="1"/>
    <w:lvlOverride w:ilvl="0">
      <w:startOverride w:val="1"/>
    </w:lvlOverride>
  </w:num>
  <w:num w:numId="5" w16cid:durableId="17545474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1B0"/>
    <w:rsid w:val="001B618F"/>
    <w:rsid w:val="00412870"/>
    <w:rsid w:val="00495E53"/>
    <w:rsid w:val="004D6D2E"/>
    <w:rsid w:val="006D5DA2"/>
    <w:rsid w:val="007E7A00"/>
    <w:rsid w:val="00C00E89"/>
    <w:rsid w:val="00D301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8F05F58"/>
  <w15:docId w15:val="{31B2B8FF-F9B1-C249-8285-87A0CCEBA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jc w:val="center"/>
      <w:outlineLvl w:val="0"/>
    </w:pPr>
    <w:rPr>
      <w:b/>
      <w:bCs/>
      <w:color w:val="000000"/>
      <w:sz w:val="28"/>
      <w:szCs w:val="28"/>
    </w:rPr>
  </w:style>
  <w:style w:type="paragraph" w:styleId="Heading2">
    <w:name w:val="heading 2"/>
    <w:uiPriority w:val="9"/>
    <w:unhideWhenUsed/>
    <w:qFormat/>
    <w:pPr>
      <w:spacing w:before="360" w:after="160"/>
      <w:outlineLvl w:val="1"/>
    </w:pPr>
    <w:rPr>
      <w:b/>
      <w:bCs/>
      <w:color w:val="000000"/>
    </w:rPr>
  </w:style>
  <w:style w:type="paragraph" w:styleId="Heading3">
    <w:name w:val="heading 3"/>
    <w:uiPriority w:val="9"/>
    <w:unhideWhenUsed/>
    <w:qFormat/>
    <w:pPr>
      <w:spacing w:before="24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D5DA2"/>
    <w:pPr>
      <w:spacing w:after="100"/>
    </w:pPr>
  </w:style>
  <w:style w:type="paragraph" w:styleId="TOC2">
    <w:name w:val="toc 2"/>
    <w:basedOn w:val="Normal"/>
    <w:next w:val="Normal"/>
    <w:autoRedefine/>
    <w:uiPriority w:val="39"/>
    <w:unhideWhenUsed/>
    <w:rsid w:val="006D5DA2"/>
    <w:pPr>
      <w:spacing w:after="100"/>
      <w:ind w:left="240"/>
    </w:pPr>
  </w:style>
  <w:style w:type="paragraph" w:styleId="TOC3">
    <w:name w:val="toc 3"/>
    <w:basedOn w:val="Normal"/>
    <w:next w:val="Normal"/>
    <w:autoRedefine/>
    <w:uiPriority w:val="39"/>
    <w:unhideWhenUsed/>
    <w:rsid w:val="006D5DA2"/>
    <w:pPr>
      <w:spacing w:after="100"/>
      <w:ind w:left="480"/>
    </w:pPr>
  </w:style>
  <w:style w:type="paragraph" w:styleId="TableofFigures">
    <w:name w:val="table of figures"/>
    <w:basedOn w:val="Normal"/>
    <w:next w:val="Normal"/>
    <w:uiPriority w:val="99"/>
    <w:unhideWhenUsed/>
    <w:rsid w:val="006D5DA2"/>
  </w:style>
  <w:style w:type="paragraph" w:styleId="Caption">
    <w:name w:val="caption"/>
    <w:basedOn w:val="Normal"/>
    <w:next w:val="Normal"/>
    <w:uiPriority w:val="35"/>
    <w:unhideWhenUsed/>
    <w:qFormat/>
    <w:rsid w:val="007E7A00"/>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F94BE49-C79B-C349-A132-727EE2A29DBB}">
  <we:reference id="wa200010453" version="1.0.0.1" store="en-US" storeType="OMEX"/>
  <we:alternateReferences>
    <we:reference id="wa200010453" version="1.0.0.1" store="en-US" storeType="OMEX"/>
  </we:alternateReferences>
  <we:properties>
    <we:property name="claude.fileId" value="&quot;5d26eb64-9b33-4697-855e-48b41ca7482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F46D58-0F1F-DD4E-8282-11A705D15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67</Pages>
  <Words>18279</Words>
  <Characters>117723</Characters>
  <Application>Microsoft Office Word</Application>
  <DocSecurity>0</DocSecurity>
  <Lines>1962</Lines>
  <Paragraphs>546</Paragraphs>
  <ScaleCrop>false</ScaleCrop>
  <Company/>
  <LinksUpToDate>false</LinksUpToDate>
  <CharactersWithSpaces>135456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 Arjoon</cp:lastModifiedBy>
  <cp:revision>3</cp:revision>
  <dcterms:created xsi:type="dcterms:W3CDTF">2026-04-14T03:42:00Z</dcterms:created>
  <dcterms:modified xsi:type="dcterms:W3CDTF">2026-04-14T03:55:00Z</dcterms:modified>
</cp:coreProperties>
</file>