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6"/>
          <w:szCs w:val="26"/>
        </w:rPr>
        <w:t xml:space="preserve">POLICY ON PAPER: A DESKTOP ANALYSIS OF THE INCLUSIVE EDUCATION</w:t>
      </w:r>
    </w:p>
    <w:p>
      <w:pPr>
        <w:spacing w:after="80"/>
        <w:jc w:val="center"/>
      </w:pPr>
      <w:r>
        <w:rPr>
          <w:rFonts w:ascii="Times New Roman" w:cs="Times New Roman" w:eastAsia="Times New Roman" w:hAnsi="Times New Roman"/>
          <w:b/>
          <w:bCs/>
          <w:sz w:val="26"/>
          <w:szCs w:val="26"/>
        </w:rPr>
        <w:t xml:space="preserve">POLICY IMPLEMENTATION FOR STUDENTS WITH SPECIAL EDUCATIONAL NEEDS</w:t>
      </w:r>
    </w:p>
    <w:p>
      <w:pPr>
        <w:spacing w:after="240"/>
        <w:jc w:val="center"/>
      </w:pPr>
      <w:r>
        <w:rPr>
          <w:rFonts w:ascii="Times New Roman" w:cs="Times New Roman" w:eastAsia="Times New Roman" w:hAnsi="Times New Roman"/>
          <w:b/>
          <w:bCs/>
          <w:sz w:val="26"/>
          <w:szCs w:val="26"/>
        </w:rPr>
        <w:t xml:space="preserve">(SEN) IN GUYANA</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[STUDENT NAME]</w:t>
      </w:r>
    </w:p>
    <w:p>
      <w:pPr>
        <w:spacing w:after="200" w:before="0" w:line="360" w:lineRule="auto"/>
        <w:jc w:val="center"/>
      </w:pPr>
      <w:r>
        <w:rPr>
          <w:rFonts w:ascii="Times New Roman" w:cs="Times New Roman" w:eastAsia="Times New Roman" w:hAnsi="Times New Roman"/>
          <w:sz w:val="24"/>
          <w:szCs w:val="24"/>
        </w:rPr>
        <w:t xml:space="preserve">Student Number: [STUDENT ID]</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A DISSERTATION SUBMITTED TO THE</w:t>
      </w:r>
    </w:p>
    <w:p>
      <w:pPr>
        <w:spacing w:after="200" w:before="0" w:line="360" w:lineRule="auto"/>
        <w:jc w:val="center"/>
      </w:pPr>
      <w:r>
        <w:rPr>
          <w:rFonts w:ascii="Times New Roman" w:cs="Times New Roman" w:eastAsia="Times New Roman" w:hAnsi="Times New Roman"/>
          <w:sz w:val="24"/>
          <w:szCs w:val="24"/>
        </w:rPr>
        <w:t xml:space="preserve">FACULTY OF EDUCATION AND HUMANITIES</w:t>
      </w:r>
    </w:p>
    <w:p>
      <w:pPr>
        <w:spacing w:after="200" w:before="0" w:line="360" w:lineRule="auto"/>
        <w:jc w:val="center"/>
      </w:pPr>
      <w:r>
        <w:rPr>
          <w:rFonts w:ascii="Times New Roman" w:cs="Times New Roman" w:eastAsia="Times New Roman" w:hAnsi="Times New Roman"/>
          <w:sz w:val="24"/>
          <w:szCs w:val="24"/>
        </w:rPr>
        <w:t xml:space="preserve">LIVERPOOL JOHN MOORES UNIVERSITY</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IN PARTIAL FULFILMENT OF THE REQUIREMENTS FOR THE AWARD OF THE</w:t>
      </w:r>
    </w:p>
    <w:p>
      <w:pPr>
        <w:spacing w:after="200"/>
        <w:jc w:val="center"/>
      </w:pPr>
      <w:r>
        <w:rPr>
          <w:rFonts w:ascii="Times New Roman" w:cs="Times New Roman" w:eastAsia="Times New Roman" w:hAnsi="Times New Roman"/>
          <w:b/>
          <w:bCs/>
          <w:sz w:val="24"/>
          <w:szCs w:val="24"/>
        </w:rPr>
        <w:t xml:space="preserve">DEGREE OF MASTER OF EDUCATION (M.Ed.)</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SUPERVISOR: [SUPERVISOR'S NAME]</w:t>
      </w:r>
    </w:p>
    <w:p>
      <w:pPr>
        <w:spacing w:after="200" w:before="0" w:line="360" w:lineRule="auto"/>
        <w:jc w:val="center"/>
      </w:pPr>
      <w:r>
        <w:rPr>
          <w:rFonts w:ascii="Times New Roman" w:cs="Times New Roman" w:eastAsia="Times New Roman" w:hAnsi="Times New Roman"/>
          <w:sz w:val="24"/>
          <w:szCs w:val="24"/>
        </w:rPr>
        <w:t xml:space="preserve">DEPARTMENT OF EDUCATION</w:t>
      </w:r>
    </w:p>
    <w:p>
      <w:pPr>
        <w:spacing w:after="200" w:before="0" w:line="360" w:lineRule="auto"/>
        <w:jc w:val="center"/>
      </w:pPr>
      <w:r>
        <w:rPr>
          <w:rFonts w:ascii="Times New Roman" w:cs="Times New Roman" w:eastAsia="Times New Roman" w:hAnsi="Times New Roman"/>
          <w:sz w:val="24"/>
          <w:szCs w:val="24"/>
        </w:rPr>
        <w:t xml:space="preserve">FACULTY OF EDUCATION AND HUMANITIES</w:t>
      </w:r>
    </w:p>
    <w:p>
      <w:pPr>
        <w:spacing w:after="200" w:before="0" w:line="360" w:lineRule="auto"/>
        <w:jc w:val="center"/>
      </w:pPr>
      <w:r>
        <w:rPr>
          <w:rFonts w:ascii="Times New Roman" w:cs="Times New Roman" w:eastAsia="Times New Roman" w:hAnsi="Times New Roman"/>
          <w:sz w:val="24"/>
          <w:szCs w:val="24"/>
        </w:rPr>
        <w:t xml:space="preserve">LIVERPOOL JOHN MOORES UNIVERSITY</w:t>
      </w:r>
    </w:p>
    <w:p>
      <w:pPr>
        <w:spacing w:after="200" w:before="0" w:line="360" w:lineRule="auto"/>
        <w:jc w:val="center"/>
      </w:pPr>
      <w:r>
        <w:rPr>
          <w:rFonts w:ascii="Times New Roman" w:cs="Times New Roman" w:eastAsia="Times New Roman" w:hAnsi="Times New Roman"/>
          <w:sz w:val="24"/>
          <w:szCs w:val="24"/>
        </w:rPr>
        <w:t xml:space="preserve">LIVERPOOL, ENGLAND</w:t>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MAY 2026</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DECLARATION</w:t>
      </w:r>
    </w:p>
    <w:p>
      <w:pPr>
        <w:spacing w:after="200" w:before="0" w:line="360" w:lineRule="auto"/>
        <w:ind w:firstLine="720"/>
        <w:jc w:val="both"/>
      </w:pPr>
      <w:r>
        <w:rPr>
          <w:rFonts w:ascii="Times New Roman" w:cs="Times New Roman" w:eastAsia="Times New Roman" w:hAnsi="Times New Roman"/>
          <w:sz w:val="24"/>
          <w:szCs w:val="24"/>
        </w:rPr>
        <w:t xml:space="preserve">I hereby declare that this dissertation, entitled "Policy on Paper: A Desktop Analysis of the Inclusive Education Policy Implementation for Students with Special Educational Needs (SEN) in Guyana," is my own original work. It has not been submitted, in whole or in part, in fulfilment of the requirements for any other academic award at this or any other institution.</w:t>
      </w:r>
    </w:p>
    <w:p>
      <w:pPr>
        <w:spacing w:after="200" w:before="0" w:line="360" w:lineRule="auto"/>
        <w:ind w:firstLine="720"/>
        <w:jc w:val="both"/>
      </w:pPr>
      <w:r>
        <w:rPr>
          <w:rFonts w:ascii="Times New Roman" w:cs="Times New Roman" w:eastAsia="Times New Roman" w:hAnsi="Times New Roman"/>
          <w:sz w:val="24"/>
          <w:szCs w:val="24"/>
        </w:rPr>
        <w:t xml:space="preserve">All sources consulted in the preparation of this dissertation have been duly acknowledged and cited in accordance with the Harvard referencing convention as required by Liverpool John Moores University.</w:t>
      </w:r>
    </w:p>
    <w:p>
      <w:pPr>
        <w:spacing w:after="200" w:before="0" w:line="360" w:lineRule="auto"/>
        <w:ind w:firstLine="720"/>
        <w:jc w:val="both"/>
      </w:pPr>
      <w:r>
        <w:rPr>
          <w:rFonts w:ascii="Times New Roman" w:cs="Times New Roman" w:eastAsia="Times New Roman" w:hAnsi="Times New Roman"/>
          <w:sz w:val="24"/>
          <w:szCs w:val="24"/>
        </w:rPr>
        <w:t xml:space="preserve">I further confirm that this study does not involve primary data collection from human participants. All data analysed are drawn from publicly available secondary sources, in full compliance with the ethical and methodological requirements of the LMJU-7507-MALED module.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Signed: _______________________________</w:t>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[Student Name]</w:t>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Date: _______________________________</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DEDICATION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before="0" w:line="360" w:lineRule="auto"/>
        <w:jc w:val="center"/>
      </w:pPr>
      <w:r>
        <w:rPr>
          <w:rFonts w:ascii="Times New Roman" w:cs="Times New Roman" w:eastAsia="Times New Roman" w:hAnsi="Times New Roman"/>
          <w:sz w:val="24"/>
          <w:szCs w:val="24"/>
        </w:rPr>
        <w:t xml:space="preserve">This work is dedicated to all children with disabilities in Guyana and across the Caribbean, whose right to meaningful, equitable education remains an aspiration rather than a guaranteed reality. May this study, however modest, contribute to the systemic change that will make that guarantee secure.</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ACKNOWLEDGEMENTS</w:t>
      </w:r>
    </w:p>
    <w:p>
      <w:pPr>
        <w:spacing w:after="200" w:before="0" w:line="360" w:lineRule="auto"/>
        <w:ind w:firstLine="720"/>
        <w:jc w:val="both"/>
      </w:pPr>
      <w:r>
        <w:rPr>
          <w:rFonts w:ascii="Times New Roman" w:cs="Times New Roman" w:eastAsia="Times New Roman" w:hAnsi="Times New Roman"/>
          <w:sz w:val="24"/>
          <w:szCs w:val="24"/>
        </w:rPr>
        <w:t xml:space="preserve">I wish to express my sincere gratitude to my dissertation supervisor for the scholarly guidance, critical feedback, and sustained encouragement provided throughout the research process. This work would not have been possible without that intellectual generosity.</w:t>
      </w:r>
    </w:p>
    <w:p>
      <w:pPr>
        <w:spacing w:after="200" w:before="0" w:line="360" w:lineRule="auto"/>
        <w:ind w:firstLine="720"/>
        <w:jc w:val="both"/>
      </w:pPr>
      <w:r>
        <w:rPr>
          <w:rFonts w:ascii="Times New Roman" w:cs="Times New Roman" w:eastAsia="Times New Roman" w:hAnsi="Times New Roman"/>
          <w:sz w:val="24"/>
          <w:szCs w:val="24"/>
        </w:rPr>
        <w:t xml:space="preserve">I am also grateful to the Faculty of Education and Humanities at Liverpool John Moores University for the academic environment that deepened my understanding of educational policy and equity. Special thanks are extended to the staff of the Ministry of Education Guyana and the Guyana Council of Organisations for Persons with Disabilities for maintaining publicly accessible documentation that formed the evidential basis of this study.</w:t>
      </w:r>
    </w:p>
    <w:p>
      <w:pPr>
        <w:spacing w:after="200" w:before="0" w:line="360" w:lineRule="auto"/>
        <w:ind w:firstLine="720"/>
        <w:jc w:val="both"/>
      </w:pPr>
      <w:r>
        <w:rPr>
          <w:rFonts w:ascii="Times New Roman" w:cs="Times New Roman" w:eastAsia="Times New Roman" w:hAnsi="Times New Roman"/>
          <w:sz w:val="24"/>
          <w:szCs w:val="24"/>
        </w:rPr>
        <w:t xml:space="preserve">Finally, I acknowledge with gratitude the enduring support of my family and close friends, whose encouragement sustained my commitment throughout the completion of this work.</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TABLE OF CONTENTS</w:t>
      </w:r>
    </w:p>
    <w:p>
      <w:r>
        <w:rPr>
          <w:rFonts w:ascii="Times New Roman" w:hAnsi="Times New Roman"/>
          <w:sz w:val="24"/>
          <w:szCs w:val="24"/>
        </w:rPr>
        <w:fldChar w:fldCharType="begin"/>
        <w:instrText xml:space="preserve"> TOC \o "1-3" \h \z \u </w:instrText>
        <w:fldChar w:fldCharType="separate"/>
      </w:r>
    </w:p>
    <w:p>
      <w:pPr>
        <w:spacing w:after="80" w:line="360"/>
      </w:pPr>
      <w:r>
        <w:rPr>
          <w:rFonts w:ascii="Times New Roman" w:hAnsi="Times New Roman"/>
          <w:sz w:val="24"/>
          <w:szCs w:val="24"/>
          <w:color w:val="808080"/>
        </w:rPr>
        <w:t>Right-click here and select “Update Field” to generate the table of contents with page numbers.</w:t>
      </w:r>
    </w:p>
    <w:p>
      <w:r>
        <w:fldChar w:fldCharType="end"/>
      </w:r>
    </w:p>
    <w:p>
      <w:r>
        <w:br w:type="page"/>
      </w:r>
    </w:p>
    <w:p>
      <w:pPr>
        <w:pStyle w:val="Heading1"/>
        <w:spacing w:after="240" w:before="480"/>
        <w:jc w:val="center"/>
      </w:pPr>
      <w:r>
        <w:rPr>
          <w:rFonts w:ascii="Times New Roman" w:cs="Times New Roman" w:eastAsia="Times New Roman" w:hAnsi="Times New Roman"/>
          <w:b/>
          <w:bCs/>
          <w:caps/>
          <w:sz w:val="28"/>
          <w:szCs w:val="28"/>
        </w:rPr>
        <w:t>LIST OF TABLES</w:t>
      </w:r>
    </w:p>
    <w:p>
      <w:r>
        <w:rPr>
          <w:rFonts w:ascii="Times New Roman" w:hAnsi="Times New Roman"/>
          <w:sz w:val="24"/>
          <w:szCs w:val="24"/>
        </w:rPr>
        <w:fldChar w:fldCharType="begin"/>
        <w:instrText xml:space="preserve"> TOC \h \z \c "Table" </w:instrText>
        <w:fldChar w:fldCharType="separate"/>
      </w:r>
    </w:p>
    <w:p>
      <w:pPr>
        <w:spacing w:after="80" w:line="360"/>
      </w:pPr>
      <w:r>
        <w:rPr>
          <w:rFonts w:ascii="Times New Roman" w:hAnsi="Times New Roman"/>
          <w:sz w:val="24"/>
          <w:szCs w:val="24"/>
          <w:color w:val="808080"/>
        </w:rPr>
        <w:t>Right-click here and select “Update Field” to generate the list of tables.</w:t>
      </w:r>
    </w:p>
    <w:p>
      <w:r>
        <w:fldChar w:fldCharType="end"/>
      </w:r>
    </w:p>
    <w:p>
      <w:r>
        <w:br w:type="page"/>
      </w:r>
    </w:p>
    <w:p>
      <w:pPr>
        <w:pStyle w:val="Heading1"/>
        <w:spacing w:after="240" w:before="480"/>
        <w:jc w:val="center"/>
      </w:pPr>
      <w:r>
        <w:rPr>
          <w:rFonts w:ascii="Times New Roman" w:cs="Times New Roman" w:eastAsia="Times New Roman" w:hAnsi="Times New Roman"/>
          <w:b/>
          <w:bCs/>
          <w:caps/>
          <w:sz w:val="28"/>
          <w:szCs w:val="28"/>
        </w:rPr>
        <w:t xml:space="preserve">ABSTRACT</w:t>
      </w:r>
    </w:p>
    <w:p>
      <w:pPr>
        <w:spacing w:after="200" w:before="0" w:line="360" w:lineRule="auto"/>
        <w:ind w:firstLine="720"/>
        <w:jc w:val="both"/>
      </w:pPr>
      <w:r>
        <w:rPr>
          <w:rFonts w:ascii="Times New Roman" w:cs="Times New Roman" w:eastAsia="Times New Roman" w:hAnsi="Times New Roman"/>
          <w:sz w:val="24"/>
          <w:szCs w:val="24"/>
        </w:rPr>
        <w:t xml:space="preserve">This dissertation conducts a critical desktop analysis of the Draft Inclusion Policy for Special Educational Needs (Ministry of Education Guyana, 2010), evaluating its adequacy as a framework for inclusive education in Guyana. Through systematic document analysis (Bowen, 2009), the study assesses the policy’s alignment with international inclusive education frameworks, the operationalisation of its institutional provisions, and the structural factors that sustain the gap between policy aspiration and implementation practice.</w:t>
      </w:r>
    </w:p>
    <w:p>
      <w:pPr>
        <w:spacing w:after="200" w:before="0" w:line="360" w:lineRule="auto"/>
        <w:ind w:firstLine="720"/>
        <w:jc w:val="both"/>
      </w:pPr>
      <w:r>
        <w:rPr>
          <w:rFonts w:ascii="Times New Roman" w:cs="Times New Roman" w:eastAsia="Times New Roman" w:hAnsi="Times New Roman"/>
          <w:sz w:val="24"/>
          <w:szCs w:val="24"/>
        </w:rPr>
        <w:t xml:space="preserve">The study is guided by four research questions and a set of working propositions formulated within the naturalistic inquiry tradition (Lincoln and Guba, 1985). The central proposition holds that the Draft Inclusion Policy’s conceptual alignment with international frameworks coexists with significant structural limitations arising from its unadopted status, institutional capacity constraints, and the absence of disability-specific operational guidance. Each proposition is evaluated through iterative engagement with the documentary evidence, yielding nuanced refinements rather than categorical verdicts.</w:t>
      </w:r>
    </w:p>
    <w:p>
      <w:pPr>
        <w:spacing w:after="200" w:before="0" w:line="360" w:lineRule="auto"/>
        <w:ind w:firstLine="720"/>
        <w:jc w:val="both"/>
      </w:pPr>
      <w:r>
        <w:rPr>
          <w:rFonts w:ascii="Times New Roman" w:cs="Times New Roman" w:eastAsia="Times New Roman" w:hAnsi="Times New Roman"/>
          <w:sz w:val="24"/>
          <w:szCs w:val="24"/>
        </w:rPr>
        <w:t xml:space="preserve">A structured comparison across seven thematic dimensions reveals substantial alignment between the Draft Inclusion Policy and the Salamanca Statement (UNESCO, 1994) at the level of values and rights-based commitment, but this alignment weakens at the level of operational specificity and does not extend to the contemporary requirements of General Comment No. 4 (Committee on the Rights of Persons with Disabilities, 2016), notably reasonable accommodation and Universal Design for Learning. The policy’s enduring unadopted status constrains its institutional authority, though enacted legislation, including the Persons with Disabilities Act 2010, creates binding legal obligations that coexist with the absent operational policy.</w:t>
      </w:r>
    </w:p>
    <w:p>
      <w:pPr>
        <w:spacing w:after="200" w:before="0" w:line="360" w:lineRule="auto"/>
        <w:ind w:firstLine="720"/>
        <w:jc w:val="both"/>
      </w:pPr>
      <w:r>
        <w:rPr>
          <w:rFonts w:ascii="Times New Roman" w:cs="Times New Roman" w:eastAsia="Times New Roman" w:hAnsi="Times New Roman"/>
          <w:sz w:val="24"/>
          <w:szCs w:val="24"/>
        </w:rPr>
        <w:t xml:space="preserve">An operationalisation matrix mapping eight policy-specified institutional mechanisms against documentary evidence reveals selective and uneven implementation. Recent developments, including the graduation of 51 SEND-qualified teachers (October 2024) and the establishment of 30 dedicated SEND spaces across nine regions, demonstrate greater institutional progress than the policy’s draft status would predict. Lipsky’s (2010) street-level bureaucracy framework explains this pattern: in the absence of centralised policy authority, frontline practitioners have become the de facto policymakers, producing localised progress that is real but fragmented.</w:t>
      </w:r>
    </w:p>
    <w:p>
      <w:pPr>
        <w:spacing w:after="200" w:before="0" w:line="360" w:lineRule="auto"/>
        <w:ind w:firstLine="720"/>
        <w:jc w:val="both"/>
      </w:pPr>
      <w:r>
        <w:rPr>
          <w:rFonts w:ascii="Times New Roman" w:cs="Times New Roman" w:eastAsia="Times New Roman" w:hAnsi="Times New Roman"/>
          <w:sz w:val="24"/>
          <w:szCs w:val="24"/>
        </w:rPr>
        <w:t xml:space="preserve">The study concludes that inclusive education in Guyana is characterised not by simple policy failure but by partial and uncoordinated institutionalisation driven by bottom-up practitioner initiative rather than centralised reform. Five structural factors interact to sustain this pattern: the unadopted policy alongside binding but operationally unguided legislation; the gap between social model language and medical model classroom practice (Lashley, 2024); limitations in professional development despite recent momentum; the absence of monitoring and data infrastructure; and governance incoherence between strategic ambition and operational capacity. Five evidence-based recommendations are advanced, beginning with formal policy adoption as the foundational reform upon which all others depend.</w:t>
      </w:r>
    </w:p>
    <w:p>
      <w:r>
        <w:rPr>
          <w:rFonts w:ascii="Times New Roman" w:cs="Times New Roman" w:eastAsia="Times New Roman" w:hAnsi="Times New Roman"/>
          <w:sz w:val="24"/>
          <w:szCs w:val="24"/>
        </w:rPr>
        <w:t xml:space="preserve"/>
      </w:r>
    </w:p>
    <w:p>
      <w:pPr>
        <w:spacing w:after="200" w:before="0" w:line="360" w:lineRule="auto"/>
        <w:jc w:val="both"/>
      </w:pPr>
      <w:r>
        <w:rPr>
          <w:rFonts w:ascii="Times New Roman" w:cs="Times New Roman" w:eastAsia="Times New Roman" w:hAnsi="Times New Roman"/>
          <w:sz w:val="24"/>
          <w:szCs w:val="24"/>
        </w:rPr>
        <w:t xml:space="preserve">Keywords: inclusive education, special educational needs, policy implementation, Guyana, document analysis, policy-practice gap, institutional capacity.</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1: INTRODUCTION</w:t>
      </w:r>
    </w:p>
    <w:p>
      <w:pPr>
        <w:pStyle w:val="Heading2"/>
        <w:spacing w:after="160" w:before="360"/>
        <w:jc w:val="left"/>
      </w:pPr>
      <w:r>
        <w:rPr>
          <w:rFonts w:ascii="Times New Roman" w:cs="Times New Roman" w:eastAsia="Times New Roman" w:hAnsi="Times New Roman"/>
          <w:b/>
          <w:bCs/>
          <w:sz w:val="24"/>
          <w:szCs w:val="24"/>
        </w:rPr>
        <w:t xml:space="preserve">1.1 Background to the Study</w:t>
      </w:r>
    </w:p>
    <w:p>
      <w:pPr>
        <w:spacing w:after="200" w:before="0" w:line="360" w:lineRule="auto"/>
        <w:ind w:firstLine="720"/>
        <w:jc w:val="both"/>
      </w:pPr>
      <w:r>
        <w:rPr>
          <w:rFonts w:ascii="Times New Roman" w:cs="Times New Roman" w:eastAsia="Times New Roman" w:hAnsi="Times New Roman"/>
          <w:sz w:val="24"/>
          <w:szCs w:val="24"/>
        </w:rPr>
        <w:t xml:space="preserve">Inclusive education has become a central concern of contemporary educational policy worldwide. The movement represents a fundamental shift toward equity, access, and social justice in educational provision. At its core lies the proposition that all learners, irrespective of physical, intellectual, emotional, or social characteristics, possess an equal right to participate in educational systems designed to recognise and accommodate human diversity. This principle has been enshrined in a succession of influential international frameworks, most notably the UNESCO Salamanca Statement and Framework for Action on Special Needs Education (UNESCO, 1994), which articulated the view that inclusive schooling should be the norm rather than the exception, and that special needs education should form an integral part of an overall educational programme. Subsequently, the United Nations Convention on the Rights of Persons with Disabilities (United Nations, 2006) further consolidated the international legal architecture for inclusive education by affirming the right of persons with disabilities to an inclusive education system at all levels, free from discrimination and exclusion.</w:t>
      </w:r>
    </w:p>
    <w:p>
      <w:pPr>
        <w:spacing w:after="200" w:before="0" w:line="360" w:lineRule="auto"/>
        <w:ind w:firstLine="720"/>
        <w:jc w:val="both"/>
      </w:pPr>
      <w:r>
        <w:rPr>
          <w:rFonts w:ascii="Times New Roman" w:cs="Times New Roman" w:eastAsia="Times New Roman" w:hAnsi="Times New Roman"/>
          <w:sz w:val="24"/>
          <w:szCs w:val="24"/>
        </w:rPr>
        <w:t xml:space="preserve">Historically, education systems across the world excluded or segregated learners with disabilities. The prevailing logic of earlier provision, shaped by what scholars describe as the medical model, conceptualised disability as an intrinsic individual deficiency requiring remediation or containment rather than systemic accommodation (Slee, 2011). Under this paradigm, learners with special educational needs were routinely placed in separate institutions or withdrawn from mainstream settings, a practice that reinforced their social marginalisation and foreclosed many developmental and civic possibilities. The social model of disability drove the transformation of this paradigm. It reframed disability not as individual pathology but as a social and structural phenomenon, locating barriers to full participation in the design of environments, institutions, and cultural norms rather than within individuals themselves (Oliver, 1990; Slee, 2011).</w:t>
      </w:r>
    </w:p>
    <w:p>
      <w:pPr>
        <w:spacing w:after="200" w:before="0" w:line="360" w:lineRule="auto"/>
        <w:ind w:firstLine="720"/>
        <w:jc w:val="both"/>
      </w:pPr>
      <w:r>
        <w:rPr>
          <w:rFonts w:ascii="Times New Roman" w:cs="Times New Roman" w:eastAsia="Times New Roman" w:hAnsi="Times New Roman"/>
          <w:sz w:val="24"/>
          <w:szCs w:val="24"/>
        </w:rPr>
        <w:t xml:space="preserve">Translating inclusive education from principle into practice has proved considerably more complex than its theoretical articulation suggests. Even in countries with long-established legislative frameworks and relatively strong institutional capacity, the translation of inclusive principles into consistent classroom practice remains a persistent challenge (Ainscow, 2020). The literature documents recurring tensions between the aspirational language of inclusion endorsed at policy level and the institutional realities that shape how schools and teachers respond to learner diversity. These tensions are compounded in developing country contexts, where competing educational priorities, resource constraints, and gaps in professional preparation create additional and qualitatively distinct barriers to implementation (Engelbrecht, 2020).</w:t>
      </w:r>
    </w:p>
    <w:p>
      <w:pPr>
        <w:spacing w:after="200" w:before="0" w:line="360" w:lineRule="auto"/>
        <w:ind w:firstLine="720"/>
        <w:jc w:val="both"/>
      </w:pPr>
      <w:r>
        <w:rPr>
          <w:rFonts w:ascii="Times New Roman" w:cs="Times New Roman" w:eastAsia="Times New Roman" w:hAnsi="Times New Roman"/>
          <w:sz w:val="24"/>
          <w:szCs w:val="24"/>
        </w:rPr>
        <w:t xml:space="preserve">Within the Caribbean, debates around inclusive education have unfolded in systems simultaneously facing curriculum reform pressures, teacher shortages, geographic disparities in service delivery, and broader development challenges (Miles and Singal, 2010; Peters, 2007). Guyana represents a particularly instructive case. Its education system combines policy commitment, strategic planning, and practical experimentation with unresolved structural limitations, making it a productive site for examining how inclusive education policy develops in contexts of constrained capacity and partial institutionalisation.</w:t>
      </w:r>
    </w:p>
    <w:p>
      <w:pPr>
        <w:spacing w:after="200" w:before="0" w:line="360" w:lineRule="auto"/>
        <w:ind w:firstLine="720"/>
        <w:jc w:val="both"/>
      </w:pPr>
      <w:r>
        <w:rPr>
          <w:rFonts w:ascii="Times New Roman" w:cs="Times New Roman" w:eastAsia="Times New Roman" w:hAnsi="Times New Roman"/>
          <w:sz w:val="24"/>
          <w:szCs w:val="24"/>
        </w:rPr>
        <w:t xml:space="preserve">The Draft Inclusion Policy for Special Educational Needs, issued by the Ministry of Education Guyana in December 2010, represents the central instrument through which the Guyanese state has sought to articulate a framework for inclusive education (Ministry of Education Guyana, 2010). The policy was produced through Voluntary Services Overseas (VSO) technical assistance, authored by VSO SEN Adviser Beryl Lockwood through the National Centre for Educational Resource Development (NCERD). This provenance raises questions about the degree to which its conceptual framework reflects indigenous institutional conditions and educational cultures, a concern Walton (2018) identifies as recurring in postcolonial inclusive education policy development. That the document remains unadopted more than fifteen years after its production raises fundamental questions about the relationship between policy design, institutional will, and implementation capacity (Pressman and Wildavsky, 1973).</w:t>
      </w:r>
    </w:p>
    <w:p>
      <w:pPr>
        <w:pStyle w:val="Heading2"/>
        <w:spacing w:after="160" w:before="360"/>
        <w:jc w:val="left"/>
      </w:pPr>
      <w:r>
        <w:rPr>
          <w:rFonts w:ascii="Times New Roman" w:cs="Times New Roman" w:eastAsia="Times New Roman" w:hAnsi="Times New Roman"/>
          <w:b/>
          <w:bCs/>
          <w:sz w:val="24"/>
          <w:szCs w:val="24"/>
        </w:rPr>
        <w:t xml:space="preserve">1.2 Statement of the Problem</w:t>
      </w:r>
    </w:p>
    <w:p>
      <w:pPr>
        <w:spacing w:after="200" w:before="0" w:line="360" w:lineRule="auto"/>
        <w:ind w:firstLine="720"/>
        <w:jc w:val="both"/>
      </w:pPr>
      <w:r>
        <w:rPr>
          <w:rFonts w:ascii="Times New Roman" w:cs="Times New Roman" w:eastAsia="Times New Roman" w:hAnsi="Times New Roman"/>
          <w:sz w:val="24"/>
          <w:szCs w:val="24"/>
        </w:rPr>
        <w:t xml:space="preserve">Despite considerable international momentum toward inclusive education, the landscape in Guyana remains characterised by significant fragmentation and structural incompleteness. The scale of this challenge is reflected in the available statistical record. The 2002 national census found that 6.4 per cent of the population (approximately 48,419 individuals) reported some form of disability, of whom 5,842 were under fifteen years of age (Ministry of Education Guyana, 2010, Appendix C). Contemporary estimates suggest the true figure is substantially higher: international assessments reported by the World Bank (2024) place disability prevalence in Guyana at approximately 13.6 per cent, consistent with the WHO global estimate of approximately 15 per cent. Yet the policy itself acknowledged that "a high proportion of children with Special Needs are not exposed to any form of education" (Ministry of Education Guyana, 2010, Foreword). This is not an administrative observation; it represents a rights violation affecting identifiable children within the Guyanese system.</w:t>
      </w:r>
    </w:p>
    <w:p>
      <w:pPr>
        <w:spacing w:after="200" w:before="0" w:line="360" w:lineRule="auto"/>
        <w:ind w:firstLine="720"/>
        <w:jc w:val="both"/>
      </w:pPr>
      <w:r>
        <w:rPr>
          <w:rFonts w:ascii="Times New Roman" w:cs="Times New Roman" w:eastAsia="Times New Roman" w:hAnsi="Times New Roman"/>
          <w:sz w:val="24"/>
          <w:szCs w:val="24"/>
        </w:rPr>
        <w:t xml:space="preserve">The most consequential structural problem is the Draft Inclusion Policy’s continued status as an unadopted instrument. More than fifteen years after its production, the document has not been enacted as binding national policy. This situation creates a fundamental governance deficit: the absence of a formally adopted policy framework means that inclusive education lacks the legal and institutional authority necessary to mandate consistent implementation, establish binding accountability mechanisms, and direct resource allocation coherently (Pressman and Wildavsky, 1973). The policy's own foreword recorded an expectation that "by the end of 2021 the policy is presented and accepted by the public and approved by the authorities" (Ministry of Education Guyana, 2010, Foreword), a target that was not met and that remained unfulfilled at the time of this study.</w:t>
      </w:r>
    </w:p>
    <w:p>
      <w:pPr>
        <w:spacing w:after="200" w:before="0" w:line="360" w:lineRule="auto"/>
        <w:ind w:firstLine="720"/>
        <w:jc w:val="both"/>
      </w:pPr>
      <w:r>
        <w:rPr>
          <w:rFonts w:ascii="Times New Roman" w:cs="Times New Roman" w:eastAsia="Times New Roman" w:hAnsi="Times New Roman"/>
          <w:sz w:val="24"/>
          <w:szCs w:val="24"/>
        </w:rPr>
        <w:t xml:space="preserve">A related dimension of the problem concerns the specificity of implementation guidance. The Draft Inclusion Policy employs a broad conception of special educational needs that, while inclusive in spirit, does not provide the disability-specific frameworks necessary to guide effective pedagogical and support responses for learners with different conditions (Mitchell, 2015). Furthermore, a structural inconsistency exists within the Guyanese education policy landscape: the Education Strategic Plan 2021-2025 identifies equity, access, and support for vulnerable learners as central national priorities, yet this strategic ambition rests on a policy foundation that has not been finalised, creating a disconnect between high-level planning and the operational architecture required to give that planning institutional effect (Ministry of Education Guyana, 2021; Fullan, 2007). This study is motivated by the recognition that these problems are not merely technical but reflect deeper questions about how inclusion is conceptualised, authorised, and sustained within a developing educational system.</w:t>
      </w:r>
    </w:p>
    <w:p>
      <w:pPr>
        <w:pStyle w:val="Heading2"/>
        <w:spacing w:after="160" w:before="360"/>
        <w:jc w:val="left"/>
      </w:pPr>
      <w:r>
        <w:rPr>
          <w:rFonts w:ascii="Times New Roman" w:cs="Times New Roman" w:eastAsia="Times New Roman" w:hAnsi="Times New Roman"/>
          <w:b/>
          <w:bCs/>
          <w:sz w:val="24"/>
          <w:szCs w:val="24"/>
        </w:rPr>
        <w:t xml:space="preserve">1.3 Aim and Objectives of the Study</w:t>
      </w:r>
    </w:p>
    <w:p>
      <w:pPr>
        <w:spacing w:after="200" w:before="0" w:line="360" w:lineRule="auto"/>
        <w:ind w:firstLine="720"/>
        <w:jc w:val="both"/>
      </w:pPr>
      <w:r>
        <w:t>The overarching aim of this study is to conduct a critical desktop analysis of the Draft Inclusion Policy for Special Educational Needs (Ministry of Education Guyana, 2010), evaluating its adequacy as a framework for inclusive education and identifying the structural conditions that mediate the gap between policy intention and implementation practice. This aim is pursued through five specific objectives:</w:t>
      </w:r>
    </w:p>
    <w:p>
      <w:pPr>
        <w:numPr>
          <w:ilvl w:val="0"/>
          <w:numId w:val="10"/>
        </w:numPr>
        <w:spacing w:after="120" w:before="0" w:line="360"/>
        <w:ind w:left="720" w:hanging="360"/>
        <w:jc w:val="both"/>
      </w:pPr>
      <w:r>
        <w:t>To evaluate the extent to which the Draft Inclusion Policy (2010) aligns with the principles and operational requirements of international inclusive education frameworks, including the UNESCO Salamanca Statement (1994), the United Nations Convention on the Rights of Persons with Disabilities (2006), and General Comment No. 4 on Article 24 (2016).</w:t>
      </w:r>
    </w:p>
    <w:p>
      <w:pPr>
        <w:numPr>
          <w:ilvl w:val="0"/>
          <w:numId w:val="10"/>
        </w:numPr>
        <w:spacing w:after="120" w:before="0" w:line="360"/>
        <w:ind w:left="720" w:hanging="360"/>
        <w:jc w:val="both"/>
      </w:pPr>
      <w:r>
        <w:t>To assess the degree to which key provisions of the policy have been implemented within the Guyanese education system, drawing on the available documentary record of institutional developments at national, regional, and school levels.</w:t>
      </w:r>
    </w:p>
    <w:p>
      <w:pPr>
        <w:numPr>
          <w:ilvl w:val="0"/>
          <w:numId w:val="10"/>
        </w:numPr>
        <w:spacing w:after="120" w:before="0" w:line="360"/>
        <w:ind w:left="720" w:hanging="360"/>
        <w:jc w:val="both"/>
      </w:pPr>
      <w:r>
        <w:t>To identify the structural, institutional, and capacity-related factors that contribute to the gap between inclusive education policy and practice in Guyana, with attention to both top-down governance constraints and the localised conditions under which frontline educators operate.</w:t>
      </w:r>
    </w:p>
    <w:p>
      <w:pPr>
        <w:numPr>
          <w:ilvl w:val="0"/>
          <w:numId w:val="10"/>
        </w:numPr>
        <w:spacing w:after="120" w:before="0" w:line="360"/>
        <w:ind w:left="720" w:hanging="360"/>
        <w:jc w:val="both"/>
      </w:pPr>
      <w:r>
        <w:t>To critically examine the conceptual and operational limitations of the policy as a governing instrument, including its broad definition of special educational needs, the absence of disability-specific implementation guidance, and the implications of its continued unadopted status alongside enacted legislative provisions.</w:t>
      </w:r>
    </w:p>
    <w:p>
      <w:pPr>
        <w:numPr>
          <w:ilvl w:val="0"/>
          <w:numId w:val="10"/>
        </w:numPr>
        <w:spacing w:after="120" w:before="0" w:line="360"/>
        <w:ind w:left="720" w:hanging="360"/>
        <w:jc w:val="both"/>
      </w:pPr>
      <w:r>
        <w:t>To advance evidence-based recommendations for strengthening inclusive education policy and practice in Guyana, grounded in the findings of the document analysis and informed by the international and regional scholarly literature.</w:t>
      </w:r>
    </w:p>
    <w:p>
      <w:pPr>
        <w:pStyle w:val="Heading2"/>
        <w:spacing w:after="160" w:before="360"/>
        <w:jc w:val="left"/>
      </w:pPr>
      <w:r>
        <w:rPr>
          <w:rFonts w:ascii="Times New Roman" w:cs="Times New Roman" w:eastAsia="Times New Roman" w:hAnsi="Times New Roman"/>
          <w:b/>
          <w:bCs/>
          <w:sz w:val="24"/>
          <w:szCs w:val="24"/>
        </w:rPr>
        <w:t xml:space="preserve">1.4 Research Questions</w:t>
      </w:r>
    </w:p>
    <w:p>
      <w:pPr>
        <w:spacing w:after="200" w:before="0" w:line="360" w:lineRule="auto"/>
        <w:ind w:firstLine="720"/>
        <w:jc w:val="both"/>
      </w:pPr>
      <w:r>
        <w:t>The study is guided by the following four research questions, which structure the study’s analysis and conclusions:</w:t>
      </w:r>
    </w:p>
    <w:p>
      <w:pPr>
        <w:numPr>
          <w:ilvl w:val="0"/>
          <w:numId w:val="11"/>
        </w:numPr>
        <w:spacing w:after="120" w:before="0" w:line="360"/>
        <w:ind w:left="720" w:hanging="360"/>
        <w:jc w:val="both"/>
      </w:pPr>
      <w:r>
        <w:rPr>
          <w:rFonts w:ascii="Times New Roman" w:cs="Times New Roman" w:eastAsia="Times New Roman" w:hAnsi="Times New Roman"/>
          <w:sz w:val="24"/>
          <w:szCs w:val="24"/>
        </w:rPr>
        <w:t xml:space="preserve">To what extent does the Draft Inclusion Policy for Special Educational Needs (2010) reflect the principles of international frameworks for inclusive education?</w:t>
      </w:r>
    </w:p>
    <w:p>
      <w:pPr>
        <w:numPr>
          <w:ilvl w:val="0"/>
          <w:numId w:val="11"/>
        </w:numPr>
        <w:spacing w:after="120" w:before="0" w:line="360"/>
        <w:ind w:left="720" w:hanging="360"/>
        <w:jc w:val="both"/>
      </w:pPr>
      <w:r>
        <w:rPr>
          <w:rFonts w:ascii="Times New Roman" w:cs="Times New Roman" w:eastAsia="Times New Roman" w:hAnsi="Times New Roman"/>
          <w:sz w:val="24"/>
          <w:szCs w:val="24"/>
        </w:rPr>
        <w:t xml:space="preserve">What institutional mechanisms have been established for the implementation of inclusive education in Guyana, and how effectively do they operationalise the policy's stated objectives?</w:t>
      </w:r>
    </w:p>
    <w:p>
      <w:pPr>
        <w:numPr>
          <w:ilvl w:val="0"/>
          <w:numId w:val="11"/>
        </w:numPr>
        <w:spacing w:after="120" w:before="0" w:line="360"/>
        <w:ind w:left="720" w:hanging="360"/>
        <w:jc w:val="both"/>
      </w:pPr>
      <w:r>
        <w:rPr>
          <w:rFonts w:ascii="Times New Roman" w:cs="Times New Roman" w:eastAsia="Times New Roman" w:hAnsi="Times New Roman"/>
          <w:sz w:val="24"/>
          <w:szCs w:val="24"/>
        </w:rPr>
        <w:t xml:space="preserve">What structural factors contribute to the gap between policy intentions and implementation outcomes in the Guyanese context?</w:t>
      </w:r>
    </w:p>
    <w:p>
      <w:pPr>
        <w:numPr>
          <w:ilvl w:val="0"/>
          <w:numId w:val="11"/>
        </w:numPr>
        <w:spacing w:after="120" w:before="0" w:line="360"/>
        <w:ind w:left="720" w:hanging="360"/>
        <w:jc w:val="both"/>
      </w:pPr>
      <w:r>
        <w:t>What does the documentary evidence suggest about the preconditions for strengthening the policy framework and implementation of inclusive education in Guyana?</w:t>
      </w:r>
    </w:p>
    <w:p>
      <w:r>
        <w:t>Research Questions 1 through 3 are addressed through the systematic document analysis presented in Chapter 4. Research Question 4 is distinct in character: it draws on the analytical findings to identify preconditions and implications for policy reform, and is addressed primarily in the conclusions and recommendations presented in Chapter 5. This distinction is consistent with the desktop methodology, in which the analytical work of document analysis generates the evidential foundation from which policy-oriented conclusions are derived.</w:t>
      </w:r>
    </w:p>
    <w:p>
      <w:pPr>
        <w:pStyle w:val="Heading2"/>
        <w:spacing w:after="160" w:before="360"/>
        <w:jc w:val="left"/>
      </w:pPr>
      <w:r>
        <w:t>1.5 Working Hypotheses</w:t>
      </w:r>
    </w:p>
    <w:p>
      <w:pPr>
        <w:spacing w:after="200" w:before="0" w:line="360" w:lineRule="auto"/>
        <w:ind w:firstLine="720"/>
        <w:jc w:val="both"/>
      </w:pPr>
      <w:r>
        <w:t>This study is guided by a set of working propositions that function as provisional analytical orientations rather than formal predictions subject to binary confirmation. In the naturalistic inquiry tradition (Lincoln and Guba, 1985), working propositions are tentative, context-bound formulations that orient the analysis without predetermining its outcome. They are expected to be refined, extended, or partially challenged through engagement with the documentary evidence, and are evaluated by how the analysis develops and complicates the initial formulation rather than by categorical verdicts. The study proceeds from the following working propositions:</w:t>
      </w:r>
    </w:p>
    <w:p>
      <w:pPr>
        <w:spacing w:after="200" w:before="0" w:line="360" w:lineRule="auto"/>
        <w:ind w:firstLine="720"/>
        <w:jc w:val="both"/>
      </w:pPr>
      <w:r>
        <w:rPr>
          <w:b/>
        </w:rPr>
        <w:t xml:space="preserve">Central Working Proposition: </w:t>
      </w:r>
      <w:r>
        <w:t>The Draft Inclusion Policy for Special Educational Needs (2010) demonstrates conceptual alignment with international inclusive education frameworks, but its continued status as an unadopted draft instrument, combined with constraints in institutional capacity and the absence of disability-specific implementation guidance, may interact to produce and sustain a gap between policy aspirations and implementation outcomes. The analysis examines the nature, extent, and dynamics of this gap, and considers whether recent institutional developments alter or complicate the initial proposition.</w:t>
      </w:r>
    </w:p>
    <w:p>
      <w:pPr>
        <w:spacing w:after="200" w:before="0" w:line="360" w:lineRule="auto"/>
        <w:ind w:firstLine="720"/>
        <w:jc w:val="both"/>
      </w:pPr>
      <w:r>
        <w:rPr>
          <w:b/>
        </w:rPr>
        <w:t xml:space="preserve">Working Proposition 1: </w:t>
      </w:r>
      <w:r>
        <w:t>The Draft Inclusion Policy reflects the core values of international frameworks for inclusive education but may not fully incorporate their operational requirements, particularly in relation to disability-specific guidance, individual education planning, and the systematic monitoring of participation and outcomes. The analysis explores the boundaries of this alignment and considers whether the relevant normative benchmarks have themselves evolved since the policy was drafted.</w:t>
      </w:r>
    </w:p>
    <w:p>
      <w:pPr>
        <w:spacing w:after="200" w:before="0" w:line="360" w:lineRule="auto"/>
        <w:ind w:firstLine="720"/>
        <w:jc w:val="both"/>
      </w:pPr>
      <w:r>
        <w:rPr>
          <w:b/>
        </w:rPr>
        <w:t xml:space="preserve">Working Proposition 2: </w:t>
      </w:r>
      <w:r>
        <w:t>Institutional mechanisms for inclusive education in Guyana exist and partially give effect to the policy’s objectives, but may be insufficiently resourced, inconsistently distributed across regions, and inadequately monitored. The analysis examines the available documentary evidence for the scope and limitations of these mechanisms, remaining attentive to evidence of institutional progress as well as constraint.</w:t>
      </w:r>
    </w:p>
    <w:p>
      <w:pPr>
        <w:spacing w:after="200" w:before="0" w:line="360" w:lineRule="auto"/>
        <w:ind w:firstLine="720"/>
        <w:jc w:val="both"/>
      </w:pPr>
      <w:r>
        <w:rPr>
          <w:b/>
        </w:rPr>
        <w:t xml:space="preserve">Working Proposition 3: </w:t>
      </w:r>
      <w:r>
        <w:t>The structural factors most significantly constraining inclusive education in Guyana are the draft status of the policy, the absence of disability-specific frameworks, insufficient sustained professional development, and the lack of a systematic monitoring and accountability system. The analysis tests this proposition against the documentary evidence and considers whether additional structural factors, including the relationship between the unadopted policy and enacted legislative instruments, emerge from the analysis.</w:t>
      </w:r>
    </w:p>
    <w:p>
      <w:r>
        <w:t>Each working proposition is evaluated in Section 4.5 of Chapter 4. The evaluation reports how the documentary evidence supported, refined, or complicated each proposition, rather than assigning categorical verdicts.</w:t>
      </w:r>
    </w:p>
    <w:p>
      <w:pPr>
        <w:pStyle w:val="Heading2"/>
        <w:spacing w:after="160" w:before="360"/>
        <w:jc w:val="left"/>
      </w:pPr>
      <w:r>
        <w:rPr>
          <w:rFonts w:ascii="Times New Roman" w:cs="Times New Roman" w:eastAsia="Times New Roman" w:hAnsi="Times New Roman"/>
          <w:b/>
          <w:bCs/>
          <w:sz w:val="24"/>
          <w:szCs w:val="24"/>
        </w:rPr>
        <w:t xml:space="preserve">1.6 Significance of the Study</w:t>
      </w:r>
    </w:p>
    <w:p>
      <w:pPr>
        <w:spacing w:after="200" w:before="0" w:line="360" w:lineRule="auto"/>
        <w:ind w:firstLine="720"/>
        <w:jc w:val="both"/>
      </w:pPr>
      <w:r>
        <w:rPr>
          <w:rFonts w:ascii="Times New Roman" w:cs="Times New Roman" w:eastAsia="Times New Roman" w:hAnsi="Times New Roman"/>
          <w:sz w:val="24"/>
          <w:szCs w:val="24"/>
        </w:rPr>
        <w:t xml:space="preserve">This study makes a contribution to understanding at several levels. At the most immediate level, it offers a systematic and critically grounded analysis of the primary inclusive education policy instrument in Guyana, filling a gap in the scholarly literature on education policy in the Anglophone Caribbean. Despite the growing international body of research on inclusive education in developing contexts (Peters, 2007; Walton, 2018), Guyana has received relatively limited academic attention, and the Draft Inclusion Policy (Ministry of Education Guyana, 2010) has not previously been subjected to the kind of sustained, textually grounded document analysis that this study provides. At a broader level, the study contributes to international debates about the relationship between policy design and implementation in inclusive education, particularly in contexts characterised by partial institutionalisation and constrained capacity. For practitioners and policymakers within Guyana, the study provides a detailed assessment of the current policy framework, identifies specific structural limitations, and advances concrete recommendations grounded in both the empirical evidence and the international literature. Finally, the study has methodological significance as a demonstration of rigorous document analysis applied to a primary policy source, modelling an approach that explicitly traces all findings to quoted or page-referenced textual evidence.</w:t>
      </w:r>
    </w:p>
    <w:p>
      <w:pPr>
        <w:pStyle w:val="Heading2"/>
        <w:spacing w:after="160" w:before="360"/>
        <w:jc w:val="left"/>
      </w:pPr>
      <w:r>
        <w:rPr>
          <w:rFonts w:ascii="Times New Roman" w:cs="Times New Roman" w:eastAsia="Times New Roman" w:hAnsi="Times New Roman"/>
          <w:b/>
          <w:bCs/>
          <w:sz w:val="24"/>
          <w:szCs w:val="24"/>
        </w:rPr>
        <w:t xml:space="preserve">1.7 Definition of Key Terms</w:t>
      </w:r>
    </w:p>
    <w:p>
      <w:pPr>
        <w:spacing w:after="200" w:before="0" w:line="360" w:lineRule="auto"/>
        <w:ind w:firstLine="720"/>
        <w:jc w:val="both"/>
      </w:pPr>
      <w:r>
        <w:rPr>
          <w:rFonts w:ascii="Times New Roman" w:cs="Times New Roman" w:eastAsia="Times New Roman" w:hAnsi="Times New Roman"/>
          <w:b/>
          <w:bCs/>
          <w:sz w:val="24"/>
          <w:szCs w:val="24"/>
        </w:rPr>
        <w:t xml:space="preserve">Inclusive Education: </w:t>
      </w:r>
      <w:r>
        <w:rPr>
          <w:rFonts w:ascii="Times New Roman" w:cs="Times New Roman" w:eastAsia="Times New Roman" w:hAnsi="Times New Roman"/>
          <w:sz w:val="24"/>
          <w:szCs w:val="24"/>
        </w:rPr>
        <w:t xml:space="preserve">An approach to education in which all learners, including those with disabilities and special educational needs, are educated together in mainstream settings with appropriate support, on the basis of equal rights and shared membership of the educational community (UNESCO, 1994).</w:t>
      </w:r>
    </w:p>
    <w:p>
      <w:pPr>
        <w:spacing w:after="200" w:before="0" w:line="360" w:lineRule="auto"/>
        <w:ind w:firstLine="720"/>
        <w:jc w:val="both"/>
      </w:pPr>
      <w:r>
        <w:rPr>
          <w:rFonts w:ascii="Times New Roman" w:cs="Times New Roman" w:eastAsia="Times New Roman" w:hAnsi="Times New Roman"/>
          <w:b/>
          <w:bCs/>
          <w:sz w:val="24"/>
          <w:szCs w:val="24"/>
        </w:rPr>
        <w:t xml:space="preserve">Special Educational Needs (SEN): </w:t>
      </w:r>
      <w:r>
        <w:rPr>
          <w:rFonts w:ascii="Times New Roman" w:cs="Times New Roman" w:eastAsia="Times New Roman" w:hAnsi="Times New Roman"/>
          <w:sz w:val="24"/>
          <w:szCs w:val="24"/>
        </w:rPr>
        <w:t xml:space="preserve">A broad term referring to the learning requirements of students whose educational needs cannot be fully met through standard educational provision and who require additional or different resources, support, or adaptations. In the Guyanese context, this includes learners with physical disabilities, sensory impairments, intellectual disabilities, emotional and behavioural difficulties, and communication disorders (Ministry of Education Guyana, 2010).</w:t>
      </w:r>
    </w:p>
    <w:p>
      <w:pPr>
        <w:spacing w:after="200" w:before="0" w:line="360" w:lineRule="auto"/>
        <w:ind w:firstLine="720"/>
        <w:jc w:val="both"/>
      </w:pPr>
      <w:r>
        <w:rPr>
          <w:rFonts w:ascii="Times New Roman" w:hAnsi="Times New Roman"/>
          <w:sz w:val="24"/>
          <w:szCs w:val="24"/>
        </w:rPr>
        <w:t xml:space="preserve">(The Draft Inclusion Policy uses the term “SEN”; recent Guyanese institutional developments, including the CPCE programme established in January 2025, use the expanded term “SEND” (Special Educational Needs and Disabilities). Both terms appear in this study according to their original context.)</w:t>
      </w:r>
    </w:p>
    <w:p>
      <w:pPr>
        <w:spacing w:after="200" w:before="0" w:line="360" w:lineRule="auto"/>
        <w:ind w:firstLine="720"/>
        <w:jc w:val="both"/>
      </w:pPr>
      <w:r>
        <w:rPr>
          <w:rFonts w:ascii="Times New Roman" w:cs="Times New Roman" w:eastAsia="Times New Roman" w:hAnsi="Times New Roman"/>
          <w:b/>
          <w:bCs/>
          <w:sz w:val="24"/>
          <w:szCs w:val="24"/>
        </w:rPr>
        <w:t xml:space="preserve">Policy-Practice Gap: </w:t>
      </w:r>
      <w:r>
        <w:rPr>
          <w:rFonts w:ascii="Times New Roman" w:cs="Times New Roman" w:eastAsia="Times New Roman" w:hAnsi="Times New Roman"/>
          <w:sz w:val="24"/>
          <w:szCs w:val="24"/>
        </w:rPr>
        <w:t xml:space="preserve">The discrepancy between the stated objectives and provisions of a policy document and the observable reality of implementation at the institutional and classroom level. This gap may arise from deficiencies in implementation capacity, insufficient guidance, weak accountability mechanisms, or misalignment between policy demands and available resources (Pressman and Wildavsky, 1973).</w:t>
      </w:r>
    </w:p>
    <w:p>
      <w:pPr>
        <w:spacing w:after="200" w:before="0" w:line="360" w:lineRule="auto"/>
        <w:ind w:firstLine="720"/>
        <w:jc w:val="both"/>
      </w:pPr>
      <w:r>
        <w:rPr>
          <w:rFonts w:ascii="Times New Roman" w:cs="Times New Roman" w:eastAsia="Times New Roman" w:hAnsi="Times New Roman"/>
          <w:b/>
          <w:bCs/>
          <w:sz w:val="24"/>
          <w:szCs w:val="24"/>
        </w:rPr>
        <w:t xml:space="preserve">Institutional Capacity: </w:t>
      </w:r>
      <w:r>
        <w:rPr>
          <w:rFonts w:ascii="Times New Roman" w:cs="Times New Roman" w:eastAsia="Times New Roman" w:hAnsi="Times New Roman"/>
          <w:sz w:val="24"/>
          <w:szCs w:val="24"/>
        </w:rPr>
        <w:t xml:space="preserve">The collective organisational resources, structures, processes, skills, and leadership qualities that determine the ability of an institution to implement policy effectively. In the context of education, this encompasses financial resources, qualified personnel, training infrastructure, data systems, and coordination mechanisms (Fullan, 2007).</w:t>
      </w:r>
    </w:p>
    <w:p>
      <w:pPr>
        <w:spacing w:after="200" w:before="0" w:line="360" w:lineRule="auto"/>
        <w:ind w:firstLine="720"/>
        <w:jc w:val="both"/>
      </w:pPr>
      <w:r>
        <w:rPr>
          <w:rFonts w:ascii="Times New Roman" w:cs="Times New Roman" w:eastAsia="Times New Roman" w:hAnsi="Times New Roman"/>
          <w:b/>
          <w:bCs/>
          <w:sz w:val="24"/>
          <w:szCs w:val="24"/>
        </w:rPr>
        <w:t xml:space="preserve">Document Analysis: </w:t>
      </w:r>
      <w:r>
        <w:rPr>
          <w:rFonts w:ascii="Times New Roman" w:cs="Times New Roman" w:eastAsia="Times New Roman" w:hAnsi="Times New Roman"/>
          <w:sz w:val="24"/>
          <w:szCs w:val="24"/>
        </w:rPr>
        <w:t xml:space="preserve">A systematic qualitative research method involving the critical review and interpretation of documents as primary data sources. The method entails processes of reading, coding, thematic analysis, and interpretive synthesis (Bowen, 2009).</w:t>
      </w:r>
    </w:p>
    <w:p>
      <w:pPr>
        <w:spacing w:after="200" w:before="0" w:line="360" w:lineRule="auto"/>
        <w:ind w:firstLine="720"/>
        <w:jc w:val="both"/>
      </w:pPr>
      <w:r>
        <w:rPr>
          <w:rFonts w:ascii="Times New Roman" w:cs="Times New Roman" w:eastAsia="Times New Roman" w:hAnsi="Times New Roman"/>
          <w:b/>
          <w:bCs/>
          <w:sz w:val="24"/>
          <w:szCs w:val="24"/>
        </w:rPr>
        <w:t xml:space="preserve">Positionality: </w:t>
      </w:r>
      <w:r>
        <w:rPr>
          <w:rFonts w:ascii="Times New Roman" w:cs="Times New Roman" w:eastAsia="Times New Roman" w:hAnsi="Times New Roman"/>
          <w:sz w:val="24"/>
          <w:szCs w:val="24"/>
        </w:rPr>
        <w:t xml:space="preserve">The researcher's recognition that their own professional background, national context, and theoretical commitments may shape the interpretation of documentary evidence. As a practitioner engaged with education policy in the Caribbean context, the researcher acknowledges that analytical judgments are informed by, though not reducible to, this standpoint.</w:t>
      </w:r>
    </w:p>
    <w:p>
      <w:pPr>
        <w:pStyle w:val="Heading2"/>
        <w:spacing w:after="160" w:before="360"/>
        <w:jc w:val="left"/>
      </w:pPr>
      <w:r>
        <w:rPr>
          <w:rFonts w:ascii="Times New Roman" w:cs="Times New Roman" w:eastAsia="Times New Roman" w:hAnsi="Times New Roman"/>
          <w:b/>
          <w:bCs/>
          <w:sz w:val="24"/>
          <w:szCs w:val="24"/>
        </w:rPr>
        <w:t xml:space="preserve">1.8 Structure of the Dissertation</w:t>
      </w:r>
    </w:p>
    <w:p>
      <w:pPr>
        <w:spacing w:after="200" w:before="0" w:line="360" w:lineRule="auto"/>
        <w:ind w:firstLine="720"/>
        <w:jc w:val="both"/>
      </w:pPr>
      <w:r>
        <w:t>This dissertation is organised across five chapters. Chapter 1 has introduced the study, established its background and rationale, articulated its aims, objectives, research questions, and working propositions, and defined key terms. Chapter 2 presents a critical review of the relevant theoretical, conceptual, and empirical literature, establishing the analytical lens applied throughout the study. Chapter 3 describes and justifies the methodological approach, including research design, sampling strategy, analytical instrument, positionality, and procedures for ensuring validity and reliability. Chapter 4 presents and critically discusses the findings of the document analysis in direct relation to each research question, followed by a refined evaluation of the study’s working propositions. Chapter 5 provides a synthesis of the study’s conclusions, formulates recommendations, acknowledges limitations, and suggests directions for future research.</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2: REVIEW OF RELATED LITERATURE</w:t>
      </w:r>
    </w:p>
    <w:p>
      <w:pPr>
        <w:pStyle w:val="Heading2"/>
        <w:spacing w:after="160" w:before="360"/>
        <w:jc w:val="left"/>
      </w:pPr>
      <w:r>
        <w:rPr>
          <w:rFonts w:ascii="Times New Roman" w:cs="Times New Roman" w:eastAsia="Times New Roman" w:hAnsi="Times New Roman"/>
          <w:b/>
          <w:bCs/>
          <w:sz w:val="24"/>
          <w:szCs w:val="24"/>
        </w:rPr>
        <w:t xml:space="preserve">2.1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establishes the theoretical, conceptual, and empirical foundations of the study. It proceeds through four principal sections: a review of the major theoretical frameworks that have shaped understandings of disability and inclusion; an articulation of the conceptual framework guiding the study's analysis; a review of empirical literature on teacher preparedness, policy implementation, disability-specific approaches, and inclusive education in developing contexts; and a critical synthesis establishing how the literature informs the analytical approach applied in Chapters 3 and 4. The theoretical frameworks reviewed here function as active analytical lenses applied in Chapter 4, not merely background context.</w:t>
      </w:r>
    </w:p>
    <w:p>
      <w:pPr>
        <w:pStyle w:val="Heading2"/>
        <w:spacing w:after="160" w:before="360"/>
        <w:jc w:val="left"/>
      </w:pPr>
      <w:r>
        <w:rPr>
          <w:rFonts w:ascii="Times New Roman" w:cs="Times New Roman" w:eastAsia="Times New Roman" w:hAnsi="Times New Roman"/>
          <w:b/>
          <w:bCs/>
          <w:sz w:val="24"/>
          <w:szCs w:val="24"/>
        </w:rPr>
        <w:t xml:space="preserve">2.2 Theoretical Framework</w:t>
      </w:r>
    </w:p>
    <w:p>
      <w:pPr>
        <w:pStyle w:val="Heading3"/>
        <w:spacing w:after="120" w:before="240"/>
        <w:jc w:val="left"/>
      </w:pPr>
      <w:r>
        <w:rPr>
          <w:rFonts w:ascii="Times New Roman" w:cs="Times New Roman" w:eastAsia="Times New Roman" w:hAnsi="Times New Roman"/>
          <w:b/>
          <w:bCs/>
          <w:i/>
          <w:iCs/>
          <w:sz w:val="24"/>
          <w:szCs w:val="24"/>
        </w:rPr>
        <w:t xml:space="preserve">2.2.1 The Medical Model of Disability</w:t>
      </w:r>
    </w:p>
    <w:p>
      <w:pPr>
        <w:spacing w:after="200" w:before="0" w:line="360" w:lineRule="auto"/>
        <w:ind w:firstLine="720"/>
        <w:jc w:val="both"/>
      </w:pPr>
      <w:r>
        <w:rPr>
          <w:rFonts w:ascii="Times New Roman" w:cs="Times New Roman" w:eastAsia="Times New Roman" w:hAnsi="Times New Roman"/>
          <w:sz w:val="24"/>
          <w:szCs w:val="24"/>
        </w:rPr>
        <w:t xml:space="preserve">The medical model of disability, which dominated professional and policy discourse for much of the twentieth century, conceptualised disability as an intrinsic attribute of the individual: a deficit or pathological condition located within the body or mind that required medical treatment, rehabilitation, or special management (Oliver, 1990). Within this framework, the appropriate educational response to disability was typically segregated provision, positioning the learner as the problem requiring adjustment rather than the system as an environment requiring transformation. Systems organised on this basis developed separate administrative structures, separate curricula, and separate professional cultures for learners with disabilities (Florian, 2014). Even as the explicit language of the medical model has retreated from official policy discourse, its institutional legacy continues to shape educational structures and professional attitudes, including in Caribbean contexts where specialised schools and segregated provision still predominate (Peters, 2007). In Guyana’s Draft Inclusion Policy, this legacy is visible in the coexistence of rights-based language with continued reliance on separate specialised institutions.</w:t>
      </w:r>
    </w:p>
    <w:p>
      <w:pPr>
        <w:pStyle w:val="Heading3"/>
        <w:spacing w:after="120" w:before="240"/>
        <w:jc w:val="left"/>
      </w:pPr>
      <w:r>
        <w:rPr>
          <w:rFonts w:ascii="Times New Roman" w:cs="Times New Roman" w:eastAsia="Times New Roman" w:hAnsi="Times New Roman"/>
          <w:b/>
          <w:bCs/>
          <w:i/>
          <w:iCs/>
          <w:sz w:val="24"/>
          <w:szCs w:val="24"/>
        </w:rPr>
        <w:t xml:space="preserve">2.2.2 The Social Model of Disability</w:t>
      </w:r>
    </w:p>
    <w:p>
      <w:pPr>
        <w:spacing w:after="200" w:before="0" w:line="360" w:lineRule="auto"/>
        <w:ind w:firstLine="720"/>
        <w:jc w:val="both"/>
      </w:pPr>
      <w:r>
        <w:rPr>
          <w:rFonts w:ascii="Times New Roman" w:cs="Times New Roman" w:eastAsia="Times New Roman" w:hAnsi="Times New Roman"/>
          <w:sz w:val="24"/>
          <w:szCs w:val="24"/>
        </w:rPr>
        <w:t xml:space="preserve">The social model of disability, theorised by scholars such as Oliver (1990) and developed across a broad interdisciplinary field, offered a fundamentally different analytical starting point. Rather than locating the problem of disability within the individual, the social model directed attention to the social, environmental, and attitudinal barriers that prevent persons with disabilities from participating fully in social life. Applied to education, the social model has been enormously influential in legitimising the shift from segregated to inclusive provision (Ainscow and Miles, 2008). This logic underpins the inclusive education movement and finds its clearest policy expression in the Salamanca Statement's call on all governments to adopt policies ensuring inclusive schooling as the norm (UNESCO, 1994). However, critics including Shakespeare (2006) have noted that the social model in its most thoroughgoing forms may underestimate the relevance of individual medical and cognitive characteristics to educational support needs, and that exclusive reliance on it may underserve learners whose needs require specific, evidence-based interventions. This critique bears directly on the Draft Inclusion Policy, whose social model orientation may produce broad aspiration without the condition-specific operational guidance that learners with different disabilities require.</w:t>
      </w:r>
    </w:p>
    <w:p>
      <w:pPr>
        <w:pStyle w:val="Heading3"/>
        <w:spacing w:after="120" w:before="240"/>
        <w:jc w:val="left"/>
      </w:pPr>
      <w:r>
        <w:rPr>
          <w:rFonts w:ascii="Times New Roman" w:cs="Times New Roman" w:eastAsia="Times New Roman" w:hAnsi="Times New Roman"/>
          <w:b/>
          <w:bCs/>
          <w:i/>
          <w:iCs/>
          <w:sz w:val="24"/>
          <w:szCs w:val="24"/>
        </w:rPr>
        <w:t xml:space="preserve">2.2.3 The Biopsychosocial Model</w:t>
      </w:r>
    </w:p>
    <w:p>
      <w:pPr>
        <w:spacing w:after="200" w:before="0" w:line="360" w:lineRule="auto"/>
        <w:ind w:firstLine="720"/>
        <w:jc w:val="both"/>
      </w:pPr>
      <w:r>
        <w:t>The biopsychosocial model, associated in educational contexts with the World Health Organization’s International Classification of Functioning, Disability and Health (WHO, 2001), represents an attempt to synthesise insights from both the medical and social models. Rather than attributing disability exclusively to individual pathology or to social barriers, the biopsychosocial model conceptualises disability as the product of the interaction between a person’s health condition and contextual factors, including both environmental and personal dimensions. For inclusive education policy, this model offers a more analytically nuanced foundation. It suggests that effective inclusive education requires both the removal of systemic barriers and the provision of individualised support calibrated to specific learning needs. Norwich (2016) demonstrates how the ICF framework can be applied directly to the analysis of national education policy, providing a structured methodology for evaluating whether a policy’s underlying conception of special educational needs aligns with the biopsychosocial model or remains anchored in older deficit-based assumptions. This synthesis has direct implications for evaluating the Draft Inclusion Policy: a policy grounded exclusively in social model thinking will tend to produce broad, barrier-removal commitments without condition-specific guidance; a policy informed by the biopsychosocial model will combine overarching inclusive principles with detailed, disability-responsive operational frameworks.</w:t>
      </w:r>
    </w:p>
    <w:p>
      <w:pPr>
        <w:pStyle w:val="Heading3"/>
        <w:spacing w:after="120" w:before="240"/>
        <w:jc w:val="left"/>
      </w:pPr>
      <w:r>
        <w:rPr>
          <w:rFonts w:ascii="Times New Roman" w:cs="Times New Roman" w:eastAsia="Times New Roman" w:hAnsi="Times New Roman"/>
          <w:b/>
          <w:bCs/>
          <w:i/>
          <w:iCs/>
          <w:sz w:val="24"/>
          <w:szCs w:val="24"/>
        </w:rPr>
        <w:t xml:space="preserve">2.2.4 Implications for Inclusive Education Policy</w:t>
      </w:r>
    </w:p>
    <w:p>
      <w:pPr>
        <w:spacing w:after="200" w:before="0" w:line="360" w:lineRule="auto"/>
        <w:ind w:firstLine="720"/>
        <w:jc w:val="both"/>
      </w:pPr>
      <w:r>
        <w:t>Each of the theoretical frameworks reviewed above has left its mark on inclusive education policy discourse, often simultaneously. Many national policies, including Guyana’s Draft Inclusion Policy, reflect a mixture of influences: they employ the rights-based and barrier-removal language of the social model while retaining elements of individual-focused assessment and specialised provision that echo the medical model (Ainscow and Miles, 2008; Opertti, Walker and Zhang, 2014). The practical consequence of this theoretical hybridity is that policies may be internally inconsistent: affirming the right of all learners to mainstream education while simultaneously maintaining specialised structures that enact a categorically different logic. The normative standard for evaluating such policies has itself evolved. General Comment No. 4 on Article 24 of the CRPD (Committee on the Rights of Persons with Disabilities, 2016) now distinguishes explicitly between exclusion, segregation, integration, and inclusion, defining the last of these as requiring systemic transformation of culture, policy, and practice rather than merely the placement of learners with disabilities in mainstream settings. The UNESCO Global Education Monitoring Report (2020) reinforces this standard within the framework of Sustainable Development Goal 4, emphasising that inclusion demands attention to all dimensions of marginalisation and that education systems must be evaluated against contemporary, not historical, benchmarks. Identifying which theoretical model predominantly shapes a policy’s operational provisions, as distinct from its rhetorical framing, is therefore a critical analytical question.</w:t>
      </w:r>
    </w:p>
    <w:p>
      <w:pPr>
        <w:pStyle w:val="Heading2"/>
        <w:spacing w:after="160" w:before="360"/>
        <w:jc w:val="left"/>
      </w:pPr>
      <w:r>
        <w:rPr>
          <w:rFonts w:ascii="Times New Roman" w:cs="Times New Roman" w:eastAsia="Times New Roman" w:hAnsi="Times New Roman"/>
          <w:b/>
          <w:bCs/>
          <w:sz w:val="24"/>
          <w:szCs w:val="24"/>
        </w:rPr>
        <w:t xml:space="preserve">2.3 Conceptual Framework</w:t>
      </w:r>
    </w:p>
    <w:p>
      <w:pPr>
        <w:spacing w:after="200" w:before="0" w:line="360" w:lineRule="auto"/>
        <w:ind w:firstLine="720"/>
        <w:jc w:val="both"/>
      </w:pPr>
      <w:r>
        <w:rPr>
          <w:rFonts w:ascii="Times New Roman" w:cs="Times New Roman" w:eastAsia="Times New Roman" w:hAnsi="Times New Roman"/>
          <w:sz w:val="24"/>
          <w:szCs w:val="24"/>
        </w:rPr>
        <w:t xml:space="preserve">The conceptual framework guiding this study draws on three interrelated dimensions: policy design, institutional capacity, and implementation outcomes. This framework organises and guides the analysis presented in Chapter 4.</w:t>
      </w:r>
    </w:p>
    <w:p>
      <w:pPr>
        <w:spacing w:after="200" w:before="0" w:line="360" w:lineRule="auto"/>
        <w:ind w:firstLine="720"/>
        <w:jc w:val="both"/>
      </w:pPr>
      <w:r>
        <w:rPr>
          <w:rFonts w:ascii="Times New Roman" w:cs="Times New Roman" w:eastAsia="Times New Roman" w:hAnsi="Times New Roman"/>
          <w:sz w:val="24"/>
          <w:szCs w:val="24"/>
        </w:rPr>
        <w:t xml:space="preserve">Policy design encompasses the content, language, values, and operational specificity of the policy document itself. Key analytical questions include: What values does the policy articulate? How specific is its implementation guidance? Does it provide disability-specific frameworks? Does it specify accountability mechanisms?</w:t>
      </w:r>
    </w:p>
    <w:p>
      <w:pPr>
        <w:spacing w:after="200" w:before="0" w:line="360" w:lineRule="auto"/>
        <w:ind w:firstLine="720"/>
        <w:jc w:val="both"/>
      </w:pPr>
      <w:r>
        <w:rPr>
          <w:rFonts w:ascii="Times New Roman" w:cs="Times New Roman" w:eastAsia="Times New Roman" w:hAnsi="Times New Roman"/>
          <w:sz w:val="24"/>
          <w:szCs w:val="24"/>
        </w:rPr>
        <w:t xml:space="preserve">Institutional capacity refers to the organisational, financial, human, and infrastructural resources available to enact the policy. Key questions include: What coordination structures does the policy envisage? Are these structures resourced and operational? Are teachers trained to the standard the policy implies?</w:t>
      </w:r>
    </w:p>
    <w:p>
      <w:pPr>
        <w:spacing w:after="200" w:before="0" w:line="360" w:lineRule="auto"/>
        <w:ind w:firstLine="720"/>
        <w:jc w:val="both"/>
      </w:pPr>
      <w:r>
        <w:t>Implementation outcomes refer to the observable patterns of practice that result from the interaction between policy design and institutional capacity. A central proposition of the framework is that strong policy design not supported by adequate institutional capacity will produce aspiration without practice; conversely, institutional capacity without a coherent and authoritative policy framework will produce fragmented, uncoordinated initiatives rather than systemic inclusion (Ainscow, 2020). A second proposition holds that policy formalisation is a critical mediating variable: a formally adopted policy carries institutional authority, enabling it to mandate action, direct resources, and integrate inclusive education into mainstream accountability systems. An unadopted draft policy lacks this authority, however sound its conceptual content. A third proposition concerns policy coherence: the degree to which different components of the education system are oriented toward the same inclusive objectives (Fullan, 2007; Opertti, Walker and Zhang, 2014). Where coherence is weak, implementation becomes fragmented and dependent on individual initiative. Two further theoretical frameworks structure the analysis of implementation dynamics. Matland’s (1995) ambiguity-conflict model predicts that policies characterised by high ambiguity and low overt conflict tend toward “symbolic” or “experimental” implementation, in which outcomes vary by local context rather than following centralised direction. Lipsky’s (2010) concept of street-level bureaucracy complements this by explaining the mechanism through which such variation occurs: in the absence of clear, enforceable policy directives, frontline workers (teachers, SEN officers, school administrators) become the de facto policymakers, exercising discretion that collectively constitutes the actual policy as experienced. Together, these frameworks predict that an unadopted draft policy in a resource-constrained system will produce localised, uncoordinated implementation driven by the priorities of individual actors.</w:t>
      </w:r>
    </w:p>
    <w:p>
      <w:pPr>
        <w:pStyle w:val="Heading2"/>
        <w:spacing w:after="160" w:before="360"/>
        <w:jc w:val="left"/>
      </w:pPr>
      <w:r>
        <w:rPr>
          <w:rFonts w:ascii="Times New Roman" w:cs="Times New Roman" w:eastAsia="Times New Roman" w:hAnsi="Times New Roman"/>
          <w:b/>
          <w:bCs/>
          <w:sz w:val="24"/>
          <w:szCs w:val="24"/>
        </w:rPr>
        <w:t xml:space="preserve">2.4 Review of Empirical Literature</w:t>
      </w:r>
    </w:p>
    <w:p>
      <w:pPr>
        <w:pStyle w:val="Heading3"/>
        <w:spacing w:after="120" w:before="240"/>
        <w:jc w:val="left"/>
      </w:pPr>
      <w:r>
        <w:rPr>
          <w:rFonts w:ascii="Times New Roman" w:cs="Times New Roman" w:eastAsia="Times New Roman" w:hAnsi="Times New Roman"/>
          <w:b/>
          <w:bCs/>
          <w:i/>
          <w:iCs/>
          <w:sz w:val="24"/>
          <w:szCs w:val="24"/>
        </w:rPr>
        <w:t xml:space="preserve">2.4.1 Teacher Preparedness and Pedagogical Practice</w:t>
      </w:r>
    </w:p>
    <w:p>
      <w:pPr>
        <w:spacing w:after="200" w:before="0" w:line="360" w:lineRule="auto"/>
        <w:ind w:firstLine="720"/>
        <w:jc w:val="both"/>
      </w:pPr>
      <w:r>
        <w:rPr>
          <w:rFonts w:ascii="Times New Roman" w:cs="Times New Roman" w:eastAsia="Times New Roman" w:hAnsi="Times New Roman"/>
          <w:sz w:val="24"/>
          <w:szCs w:val="24"/>
        </w:rPr>
        <w:t xml:space="preserve">The empirical literature consistently identifies teacher preparedness as one of the most significant determinants of inclusive education outcomes. Avramidis and Norwich (2002), in a comprehensive review of the literature on teacher attitudes toward inclusion, found that the level and quality of professional preparation received was among the strongest predictors of positive attitudes toward inclusive practice. Teachers who had received structured training in inclusive pedagogy, differentiated assessment, and collaborative support were considerably more likely to implement inclusive approaches effectively. Sharma, Forlin and Loreman (2008) further demonstrated that even teachers ideologically supportive of inclusion frequently felt ill-equipped to manage the demands of a diverse classroom, particularly where their initial training had not provided sustained engagement with inclusive pedagogical strategies.</w:t>
      </w:r>
    </w:p>
    <w:p>
      <w:pPr>
        <w:spacing w:after="200" w:before="0" w:line="360" w:lineRule="auto"/>
        <w:ind w:firstLine="720"/>
        <w:jc w:val="both"/>
      </w:pPr>
      <w:r>
        <w:t>Florian and Black-Hawkins (2011) developed the concept of inclusive pedagogy, arguing for an approach in which teaching is planned from the outset in ways that expand access for the whole class, rather than treating inclusion as an individual accommodation added after mainstream lesson design. This orientation has significant implications for teacher preparation, suggesting that inclusive practice needs to be integrated into the core of initial teacher education rather than treated as a specialist supplement. The literature also distinguishes between technical and attitudinal dimensions of teacher preparedness: technical knowledge without supportive attitudes may produce mechanical compliance rather than genuine inclusion, while positive attitudes without practical skills may not translate into effective pedagogical action (Forlin, Sharma and Loreman, 2014). Both dimensions must be addressed through coherent professional preparation programmes.</w:t>
      </w:r>
    </w:p>
    <w:p>
      <w:pPr>
        <w:pStyle w:val="Heading3"/>
        <w:spacing w:after="120" w:before="240"/>
        <w:jc w:val="left"/>
      </w:pPr>
      <w:r>
        <w:rPr>
          <w:rFonts w:ascii="Times New Roman" w:cs="Times New Roman" w:eastAsia="Times New Roman" w:hAnsi="Times New Roman"/>
          <w:b/>
          <w:bCs/>
          <w:i/>
          <w:iCs/>
          <w:sz w:val="24"/>
          <w:szCs w:val="24"/>
        </w:rPr>
        <w:t xml:space="preserve">2.4.2 Policy Implementation and Institutional Capacity</w:t>
      </w:r>
    </w:p>
    <w:p>
      <w:pPr>
        <w:spacing w:after="200" w:before="0" w:line="360" w:lineRule="auto"/>
        <w:ind w:firstLine="720"/>
        <w:jc w:val="both"/>
      </w:pPr>
      <w:r>
        <w:t>The classical study of Pressman and Wildavsky (1973) remains foundational to understanding why policy implementation so frequently falls short of policy intention. Their analysis demonstrated that the more numerous the stages required for implementation and the more actors who must agree at each stage, the lower the probability of successful outcomes. Matland (1995) advanced this literature by proposing an ambiguity-conflict model that identifies four implementation paradigms. When policy goals are clear and conflict is low, implementation proceeds administratively. When goals are ambiguous and conflict is low, implementation becomes experimental, with outcomes varying across sites. When both ambiguity and conflict are high, the result is symbolic implementation: the policy exists as a signal of intent rather than a programme of action. The Draft Inclusion Policy, which specifies detailed institutional structures but lacks the formal authority to compel their adoption, represents a plausible case of symbolic or experimental implementation under Matland’s framework. Fullan (2007) applied related insights to educational change specifically, arguing that sustainable reform requires clear educational purpose, effective professional practice, and a coherent institutional environment that supports change over time.</w:t>
      </w:r>
    </w:p>
    <w:p>
      <w:pPr>
        <w:spacing w:after="200" w:before="0" w:line="360" w:lineRule="auto"/>
        <w:ind w:firstLine="720"/>
        <w:jc w:val="both"/>
      </w:pPr>
      <w:r>
        <w:t>Engelbrecht (2020), examining inclusive education developments and challenges in South Africa, highlights that implementation in developing contexts faces qualitatively different challenges characterised by resource scarcity and weak institutional infrastructure. She identifies monitoring and evaluation as particularly critical dimensions that are often neglected: where there is no systematic mechanism for reviewing progress and holding actors accountable, policy commitments easily become symbolic. Abdul-Hamid (2014) provides a structural framework for understanding this gap, demonstrating that effective education policy implementation depends on functioning Education Management Information Systems (EMIS) capable of tracking enrolment, attendance, completion, and learning outcomes for specific populations. Without such systems, ministries of education cannot identify where policy provisions are being enacted and where they are not. Lipsky (2010) offers an essential complement to these perspectives. His concept of street-level bureaucracy demonstrates that frontline public service workers effectively become the real policymakers through their daily discretionary decisions. In contexts where formal policy is absent, ambiguous, or unenforced, these workers develop coping mechanisms, ration resources, and exercise professional judgement that collectively constitutes the actual policy experienced by citizens. Ball, Maguire and Braun (2012) reinforce this insight, establishing that policies are not mechanically applied but actively interpreted and reshaped by practitioners within institutional contexts. The implication for Guyana is that where the Draft Inclusion Policy has not been formally adopted, the inclusive education “policy” experienced by learners and families may be whatever individual teachers and SEN officers decide to do, producing the uneven, localised implementation the study’s working propositions anticipate.</w:t>
      </w:r>
    </w:p>
    <w:p>
      <w:pPr>
        <w:pStyle w:val="Heading3"/>
        <w:spacing w:after="120" w:before="240"/>
        <w:jc w:val="left"/>
      </w:pPr>
      <w:r>
        <w:rPr>
          <w:rFonts w:ascii="Times New Roman" w:cs="Times New Roman" w:eastAsia="Times New Roman" w:hAnsi="Times New Roman"/>
          <w:b/>
          <w:bCs/>
          <w:i/>
          <w:iCs/>
          <w:sz w:val="24"/>
          <w:szCs w:val="24"/>
        </w:rPr>
        <w:t xml:space="preserve">2.4.3 Disability-Specific Approaches and Differentiation</w:t>
      </w:r>
    </w:p>
    <w:p>
      <w:pPr>
        <w:spacing w:after="200" w:before="0" w:line="360" w:lineRule="auto"/>
        <w:ind w:firstLine="720"/>
        <w:jc w:val="both"/>
      </w:pPr>
      <w:r>
        <w:rPr>
          <w:rFonts w:ascii="Times New Roman" w:cs="Times New Roman" w:eastAsia="Times New Roman" w:hAnsi="Times New Roman"/>
          <w:sz w:val="24"/>
          <w:szCs w:val="24"/>
        </w:rPr>
        <w:t xml:space="preserve">A critical strand of the literature concerns the necessity of disability-specific approaches alongside broad inclusive frameworks. Mitchell (2015) argues compellingly that effective inclusive education cannot rely on generic strategies alone but must incorporate evidence-based, disability-specific pedagogical and support interventions. Students with autism spectrum disorder may require highly structured learning environments and specific behavioural supports; students with hearing impairments require access to sign language interpretation or acoustic adaptations; students with visual impairments require Braille materials or screen-reading technologies. A broad, undifferentiated inclusion policy that does not address these distinct requirements leaves teachers without the guidance they need to respond appropriately. Applied through the biopsychosocial lens established in Section 2.2.3, this literature demonstrates that broad social model commitments are necessary but insufficient for effective inclusive practice, and that the development of disability-specific frameworks is a rights-based imperative rather than merely a technical refinement.</w:t>
      </w:r>
    </w:p>
    <w:p>
      <w:pPr>
        <w:spacing w:after="200" w:before="0" w:line="360" w:lineRule="auto"/>
        <w:ind w:firstLine="720"/>
        <w:jc w:val="both"/>
      </w:pPr>
      <w:r>
        <w:t>Kozleski et al. (2014) reinforce this argument by emphasising that meaningful inclusion, as opposed to mere physical integration, requires attention to the quality and nature of each learner’s participation in educational activities. Physical presence in a mainstream classroom does not constitute inclusion if the learner is unable to access the curriculum, communicate with peers and teachers, or engage substantively with learning activities. This distinction between physical integration and substantive inclusion is central to evaluating whether a policy’s provisions are sufficient to guarantee meaningful participation for learners with diverse disability profiles.</w:t>
      </w:r>
    </w:p>
    <w:p>
      <w:pPr>
        <w:pStyle w:val="Heading3"/>
        <w:spacing w:after="120" w:before="240"/>
        <w:jc w:val="left"/>
      </w:pPr>
      <w:r>
        <w:rPr>
          <w:rFonts w:ascii="Times New Roman" w:cs="Times New Roman" w:eastAsia="Times New Roman" w:hAnsi="Times New Roman"/>
          <w:b/>
          <w:bCs/>
          <w:i/>
          <w:iCs/>
          <w:sz w:val="24"/>
          <w:szCs w:val="24"/>
        </w:rPr>
        <w:t xml:space="preserve">2.4.4 Inclusive Education in Developing Contexts</w:t>
      </w:r>
    </w:p>
    <w:p>
      <w:pPr>
        <w:spacing w:after="200" w:before="0" w:line="360" w:lineRule="auto"/>
        <w:ind w:firstLine="720"/>
        <w:jc w:val="both"/>
      </w:pPr>
      <w:r>
        <w:t>The literature on inclusive education in developing countries documents a characteristic pattern in which formal policy commitment coexists with significant implementation limitations. Peters (2007) identifies a persistent tension between the adoption of internationally endorsed frameworks and the development of national capacity required to implement them. Miles and Singal (2010) extend this analysis by examining the specific challenges of inclusive education in low- and middle-income countries, arguing that simplistic application of models developed in high-income contexts frequently fails to attend to the institutional, cultural, and resource conditions that characterise developing systems. Srivastava, de Boer and Pijl (2015), in a systematic review of inclusive education implementation projects in developing countries over the preceding decade, found that most initiatives focused on school-level and teacher-level factors, with very few reporting on their measurable effects, underscoring the critical absence of monitoring and evaluation mechanisms in such contexts.</w:t>
      </w:r>
    </w:p>
    <w:p>
      <w:pPr>
        <w:spacing w:after="200" w:before="0" w:line="360" w:lineRule="auto"/>
        <w:ind w:firstLine="720"/>
        <w:jc w:val="both"/>
      </w:pPr>
      <w:r>
        <w:t>Walton (2018) introduces a decolonial perspective, highlighting the importance of developing inclusive education policy and practice that is responsive to local cultural and historical conditions rather than simply adopting externally generated frameworks. This concern is directly relevant to the Guyanese case, where the Draft Inclusion Policy was developed in part through VSO international technical assistance, raising questions about the degree to which its conceptual framework reflects local institutional conditions and educational cultures.</w:t>
      </w:r>
    </w:p>
    <w:p>
      <w:pPr>
        <w:pStyle w:val="Heading3"/>
      </w:pPr>
      <w:r>
        <w:t>2.4.5 Inclusive Education in the Caribbean and Guyana</w:t>
      </w:r>
    </w:p>
    <w:p>
      <w:r>
        <w:t>The Caribbean region presents a distinctive context for inclusive education, shaped by shared legacies of colonial education systems, examination-driven curricula, and historically limited specialist provision. Armstrong, Armstrong and Spandagou (2005), in their study of the Eastern Caribbean, reported that across the region the curriculum for children with disabilities remained heavily biased toward vocational skills, with insufficient trained special education teachers and inadequate resource allocation. Blackman, Conrad and Brown (2019), in the most comprehensive edited collection on the subject, examine the historical, systemic, and attitudinal barriers that continue to impede inclusive education across the region. They argue that globalised views of inclusion, informed by philosophical ideas from the Global North, have shaped but not always served the Caribbean equity agenda. Conrad and Brown (2011), examining principals’ perspectives in Trinidad and Tobago, found that school leaders identified lack of resources, inadequate training, and attitudinal barriers as the primary obstacles, and that leadership commitment to inclusion was a necessary but insufficient condition without systemic support.</w:t>
      </w:r>
    </w:p>
    <w:p>
      <w:r>
        <w:t>Within this regional context, a small but growing body of empirical research addresses inclusive education specifically in Guyana. Ajodhia-Andrews and Frankel (2010) conducted the earliest systematic qualitative study, interviewing policymakers, teachers, and parents of children with special needs. They identified four interacting barriers: negative societal attitudes toward disability, the absence of effective change agents, inadequate resources, and limited direct experience with children with special needs. The National Commission on Disability survey data reported by the authors indicated that 42% of children with disabilities under sixteen had never attended school, with over half of those citing parental discouragement (Mitchell, 2005, cited in Cheong et al., 2019). Cheong, Kellems, Andersen and Steed (2019) provide a broader overview of disability education in Guyana, documenting that despite legislative developments including the Persons with Disabilities Act 2010, students with disabilities continue to face higher rates of poverty, limited school access, and a severe shortage of trained teachers. Fraser (2014) similarly identifies a gap between government funding for special schools and the resources required for effective provision.</w:t>
      </w:r>
    </w:p>
    <w:p>
      <w:r>
        <w:t>The most extensive recent empirical contribution is Lashley’s ethnographic research in Guyanese mainstream primary schools. Lashley (2023) documents experiences of marginalisation, discrimination, and depersonalisation among children with SEND, captured in the metaphor of being told to “stay in your lane,” a systemic message communicated through institutional practices, teacher behaviour, and peer dynamics that mainstream schooling is not for them. Lashley (2025) extends this analysis to identify a “curious gap between hope and happening” in the experiences of children with exceptionalities, arguing that the gap between inclusive policy aspiration and classroom reality is not a static void but an active zone of localised struggle. Most recently, Lashley (2024) argues that inclusive education in Guyana remains firmly embedded in medical model assumptions despite social model policy language, and that the system’s actual operation reproduces exclusion even where formal zero-rejection policies exist. This body of Guyana-specific evidence provides an essential empirical counterpart to the document analysis conducted in the present study.</w:t>
      </w:r>
    </w:p>
    <w:p>
      <w:pPr>
        <w:pStyle w:val="Heading2"/>
        <w:spacing w:after="160" w:before="360"/>
        <w:jc w:val="left"/>
      </w:pPr>
      <w:r>
        <w:rPr>
          <w:rFonts w:ascii="Times New Roman" w:cs="Times New Roman" w:eastAsia="Times New Roman" w:hAnsi="Times New Roman"/>
          <w:b/>
          <w:bCs/>
          <w:sz w:val="24"/>
          <w:szCs w:val="24"/>
        </w:rPr>
        <w:t xml:space="preserve">2.5 Summary of Literature Review</w:t>
      </w:r>
    </w:p>
    <w:p>
      <w:pPr>
        <w:spacing w:after="200" w:before="0" w:line="360" w:lineRule="auto"/>
        <w:ind w:firstLine="720"/>
        <w:jc w:val="both"/>
      </w:pPr>
      <w:r>
        <w:t>The literature reviewed in this chapter establishes five propositions that provide the analytical foundation for the chapters that follow. First, inclusive education is most effectively conceptualised through the biopsychosocial model, which acknowledges both the social barriers that exclude learners with disabilities and the individual support needs that effective inclusion must address; this lens is applied in Chapter 4 to evaluate the Draft Inclusion Policy’s approach to special educational needs. Second, effective policy implementation requires not only sound policy design but also adequate institutional capacity, coherent governance structures, and sustained professional development; Matland’s (1995) ambiguity-conflict model and Lipsky’s (2010) concept of street-level bureaucracy provide complementary frameworks for analysing why implementation outcomes diverge from policy intentions. Third, disability-specific implementation guidance is an essential complement to broad inclusive policy commitments, without which policy language risks producing integration without inclusion. Fourth, the normative standard for evaluating inclusive education policy has evolved significantly since the Salamanca Statement, with General Comment No. 4 (2016) and the UNESCO Global Education Monitoring Report (2020) establishing contemporary benchmarks against which the Draft Inclusion Policy must be assessed. Fifth, the emerging Guyana-specific empirical literature, particularly the ethnographic work of Lashley (2023, 2024, 2025) and the stakeholder research of Ajodhia-Andrews and Frankel (2010), documents a persistent gap between policy aspiration and classroom reality that the present study’s document analysis can examine from the complementary perspective of the policy text itself.</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3: METHODOLOGY</w:t>
      </w:r>
    </w:p>
    <w:p>
      <w:pPr>
        <w:pStyle w:val="Heading2"/>
        <w:spacing w:after="160" w:before="360"/>
        <w:jc w:val="left"/>
      </w:pPr>
      <w:r>
        <w:rPr>
          <w:rFonts w:ascii="Times New Roman" w:cs="Times New Roman" w:eastAsia="Times New Roman" w:hAnsi="Times New Roman"/>
          <w:b/>
          <w:bCs/>
          <w:sz w:val="24"/>
          <w:szCs w:val="24"/>
        </w:rPr>
        <w:t xml:space="preserve">3.1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describes and justifies the methodological approach adopted in the study. It outlines the research design, explains the rationale for employing document analysis as the primary method of inquiry, details the population of documents considered and the purposive sampling strategy used to select the core corpus, describes the analytical framework and data collection instrument, and addresses questions of validity, reliability, positionality, and ethical integrity. The chapter concludes by acknowledging the key limitations of the methodology and their implications for the interpretation of the findings.</w:t>
      </w:r>
    </w:p>
    <w:p>
      <w:pPr>
        <w:pStyle w:val="Heading2"/>
        <w:spacing w:after="160" w:before="360"/>
        <w:jc w:val="left"/>
      </w:pPr>
      <w:r>
        <w:rPr>
          <w:rFonts w:ascii="Times New Roman" w:cs="Times New Roman" w:eastAsia="Times New Roman" w:hAnsi="Times New Roman"/>
          <w:b/>
          <w:bCs/>
          <w:sz w:val="24"/>
          <w:szCs w:val="24"/>
        </w:rPr>
        <w:t xml:space="preserve">3.2 Research Design</w:t>
      </w:r>
    </w:p>
    <w:p>
      <w:pPr>
        <w:spacing w:after="200" w:before="0" w:line="360" w:lineRule="auto"/>
        <w:ind w:firstLine="720"/>
        <w:jc w:val="both"/>
      </w:pPr>
      <w:r>
        <w:rPr>
          <w:rFonts w:ascii="Times New Roman" w:cs="Times New Roman" w:eastAsia="Times New Roman" w:hAnsi="Times New Roman"/>
          <w:sz w:val="24"/>
          <w:szCs w:val="24"/>
        </w:rPr>
        <w:t xml:space="preserve">This study adopts a qualitative research design, employing a desktop research methodology based on systematic document analysis. Qualitative research is distinguished by its focus on meaning, interpretation, and context, and by its commitment to developing in-depth understanding of complex social phenomena rather than producing statistical generalisations (Creswell, 2014). This orientation is particularly well-suited to the study of educational policy, where the meaning of policy language, the institutional logic embedded in documents, and the structural conditions of implementation are all matters of interpretive inquiry that resist quantification. The study's research questions, which concern the content and alignment of a policy document, the institutional mechanisms associated with it, and the structural factors shaping its implementation, can all be addressed systematically through the analysis of policy texts and strategic planning documents.</w:t>
      </w:r>
    </w:p>
    <w:p>
      <w:pPr>
        <w:spacing w:after="200" w:before="0" w:line="360" w:lineRule="auto"/>
        <w:ind w:firstLine="720"/>
        <w:jc w:val="both"/>
      </w:pPr>
      <w:r>
        <w:rPr>
          <w:rFonts w:ascii="Times New Roman" w:cs="Times New Roman" w:eastAsia="Times New Roman" w:hAnsi="Times New Roman"/>
          <w:sz w:val="24"/>
          <w:szCs w:val="24"/>
        </w:rPr>
        <w:t xml:space="preserve">Document analysis, as defined by Bowen (2009, p. 27), is a systematic procedure for reviewing or evaluating documents, both printed and electronic. The epistemological rationale for this choice is that policy documents are themselves primary social data: they do not merely describe institutional arrangements but actively constitute them, establishing what is valued, who is responsible, and what counts as legitimate practice. Understanding the gap between policy aspiration and institutional reality therefore begins with a rigorous, textually grounded reading of the policy document itself, an understanding of what it says, what it implies, and what it conspicuously omits. This is an interpretive and analytical task that qualitative document analysis is specifically designed to perform, and it is consistent with the broadly interpretivist epistemological position that underpins the study's approach to knowledge generation.</w:t>
      </w:r>
    </w:p>
    <w:p>
      <w:r>
        <w:t>The study is guided by a set of working propositions, as articulated in Section 1.5. The use of propositions within a qualitative, interpretivist research design requires explicit methodological justification, as hypotheses are more commonly associated with positivist and quantitative traditions. Lincoln and Guba (1985, pp. 122–128) introduced the concept of the working hypothesis as part of the naturalistic inquiry paradigm, arguing that the outcomes of qualitative research are best expressed not as generalisable laws but as tentative, context-bound propositions that provide transferable insights while remaining open to revision. Shields, Rangarajan and Casula (2019) develop this concept further, demonstrating that working propositions function as micro-conceptual frameworks that help organise the inquiry and are refined through iterative engagement with the evidence. In this study, the working propositions serve as orienting formulations derived from the preliminary literature review. They structure the analytical inquiry without constraining it. The document analysis is designed to test, refine, and where necessary challenge these propositions through systematic engagement with the primary sources, and the evaluation presented in Section 4.5 reports the outcome of that engagement in terms of refinement and qualification rather than binary confirmation.</w:t>
      </w:r>
    </w:p>
    <w:p>
      <w:r>
        <w:t>The analytical procedure integrates Bowen’s (2009) document analysis framework with elements of Braun and Clarke’s (2006) approach to thematic analysis. Bowen’s four-stage process (familiarisation, systematic reading with framework-guided annotation, cross-document comparison, and interpretive synthesis) provides the overall structure of the analytical workflow. Braun and Clarke’s six-phase model complements this by providing a more granular account of how themes are generated from textual data: initial coding of relevant passages, collation of codes into candidate themes, review of themes against the coded extracts and the full data set, and the definition and naming of final themes. The analysis employed a primarily deductive coding framework, applying the thirteen dimensions specified in the structured analysis framework (reproduced in Appendix C) as the initial coding categories. Within this deductive structure, inductive refinement was permitted where recurring patterns emerged across documents that were not fully anticipated by the initial framework. Each document in the core corpus was first read in its entirety, then systematically coded against these dimensions. Codes were collated into thematic clusters corresponding to the study’s research questions, and these clusters were reviewed iteratively to ensure internal coherence and adequate grounding in the documentary evidence. The resulting thematic structure organises the presentation of findings in Chapter 4.</w:t>
      </w:r>
    </w:p>
    <w:p>
      <w:pPr>
        <w:pStyle w:val="Heading2"/>
        <w:spacing w:after="160" w:before="360"/>
        <w:jc w:val="left"/>
      </w:pPr>
      <w:r>
        <w:rPr>
          <w:rFonts w:ascii="Times New Roman" w:cs="Times New Roman" w:eastAsia="Times New Roman" w:hAnsi="Times New Roman"/>
          <w:b/>
          <w:bCs/>
          <w:sz w:val="24"/>
          <w:szCs w:val="24"/>
        </w:rPr>
        <w:t xml:space="preserve">3.3 Population of the Study</w:t>
      </w:r>
    </w:p>
    <w:p>
      <w:pPr>
        <w:spacing w:after="200" w:before="0" w:line="360" w:lineRule="auto"/>
        <w:ind w:firstLine="720"/>
        <w:jc w:val="both"/>
      </w:pPr>
      <w:r>
        <w:rPr>
          <w:rFonts w:ascii="Times New Roman" w:cs="Times New Roman" w:eastAsia="Times New Roman" w:hAnsi="Times New Roman"/>
          <w:sz w:val="24"/>
          <w:szCs w:val="24"/>
        </w:rPr>
        <w:t xml:space="preserve">The population of the study consists of all documents relevant to inclusive education policy and practice in Guyana, including: official policy documents produced by the Ministry of Education Guyana; national strategic planning frameworks; legislative instruments relevant to disability and educational rights; institutional reports from schools, SEN departments, and allied organisations; publicly available communications and materials from the Ministry of Education and the Guyana Council of Organisations for Persons with Disabilities; and peer-reviewed scholarly literature on inclusive education, policy implementation, and disability in developing contexts. This population is large and heterogeneous. Not all documents within it are equally relevant to the study's specific research questions, nor are all equally accessible or reliable as sources of evidence. The selection of a manageable and analytically productive sample requires a principled and justified strategy.</w:t>
      </w:r>
    </w:p>
    <w:p>
      <w:pPr>
        <w:pStyle w:val="Heading2"/>
        <w:spacing w:after="160" w:before="360"/>
        <w:jc w:val="left"/>
      </w:pPr>
      <w:r>
        <w:rPr>
          <w:rFonts w:ascii="Times New Roman" w:cs="Times New Roman" w:eastAsia="Times New Roman" w:hAnsi="Times New Roman"/>
          <w:b/>
          <w:bCs/>
          <w:sz w:val="24"/>
          <w:szCs w:val="24"/>
        </w:rPr>
        <w:t xml:space="preserve">3.4 Sample and Sampling Technique</w:t>
      </w:r>
    </w:p>
    <w:p>
      <w:pPr>
        <w:spacing w:after="200" w:before="0" w:line="360" w:lineRule="auto"/>
        <w:ind w:firstLine="720"/>
        <w:jc w:val="both"/>
      </w:pPr>
      <w:r>
        <w:t>A purposive sampling technique was employed to select the core corpus of documents for analysis. Purposive sampling involves the deliberate selection of cases or documents on the basis of their relevance to the study’s theoretical and empirical concerns, rather than on the basis of random or representative sampling logic (Creswell, 2014). The goal is not statistical representativeness but analytical richness and relevance. The sampling strategy was guided by three criteria: direct relevance to the research questions; provision of insight into either the formal policy position of the Guyanese education system or the scholarly debates necessary for interpreting that position; and preference for primary sources, particularly official policy, legislative, and planning documents produced by or for the Government of Guyana.</w:t>
      </w:r>
    </w:p>
    <w:p>
      <w:pPr>
        <w:spacing w:after="200" w:before="0" w:line="360" w:lineRule="auto"/>
        <w:ind w:firstLine="720"/>
        <w:jc w:val="both"/>
      </w:pPr>
      <w:r>
        <w:t>The core corpus is organised in three tiers. The primary object of close textual analysis is the Draft Inclusion Policy for Special Educational Needs (Ministry of Education Guyana, 2010). The national policy and legislative context is established through three further documents: the Education Strategic Plan 2021–2025 (Ministry of Education Guyana, 2021), the Persons with Disabilities Act 2010, and the Education Bill 2014. International normative benchmarks against which the Draft Inclusion Policy is evaluated comprise the UNESCO Salamanca Statement (1994), the United Nations Convention on the Rights of Persons with Disabilities (2006), and General Comment No. 4 on Article 24: Right to Inclusive Education (Committee on the Rights of Persons with Disabilities, 2016). The corpus also draws on institutional and contextual sources, including publicly available materials from the Ministry of Education Guyana and the Guyana Council of Organisations for Persons with Disabilities, and the World Bank’s Disability Inclusion country profile for Guyana (World Bank, 2024). This documentary corpus is supplemented by a purposively selected body of peer-reviewed scholarly literature providing theoretical, empirical, and comparative context. Summary details of all core documents are provided in Appendix B.</w:t>
      </w:r>
    </w:p>
    <w:p>
      <w:pPr>
        <w:pStyle w:val="Heading2"/>
        <w:spacing w:after="160" w:before="360"/>
        <w:jc w:val="left"/>
      </w:pPr>
      <w:r>
        <w:rPr>
          <w:rFonts w:ascii="Times New Roman" w:cs="Times New Roman" w:eastAsia="Times New Roman" w:hAnsi="Times New Roman"/>
          <w:b/>
          <w:bCs/>
          <w:sz w:val="24"/>
          <w:szCs w:val="24"/>
        </w:rPr>
        <w:t xml:space="preserve">3.5 Instrument of Data Collection</w:t>
      </w:r>
    </w:p>
    <w:p>
      <w:pPr>
        <w:spacing w:after="200" w:before="0" w:line="360" w:lineRule="auto"/>
        <w:ind w:firstLine="720"/>
        <w:jc w:val="both"/>
      </w:pPr>
      <w:r>
        <w:rPr>
          <w:rFonts w:ascii="Times New Roman" w:cs="Times New Roman" w:eastAsia="Times New Roman" w:hAnsi="Times New Roman"/>
          <w:sz w:val="24"/>
          <w:szCs w:val="24"/>
        </w:rPr>
        <w:t xml:space="preserve">The primary instrument of analysis is a structured document analysis framework developed for this study. The framework was designed to ensure systematic and consistent engagement with all core documents and to maintain alignment between the analysis and the study's research questions. It operationalises the conceptual framework articulated in Chapter 2 by translating its key propositions into specific analytic questions applied to each document. The framework examines each document across thirteen dimensions including: policy purpose and scope; definition and conceptualisation of SEN and disability; inclusive education principles; relationship to international frameworks; implementation mechanisms; roles and responsibilities; teacher preparation and professional development; disability-specific guidance; monitoring and accountability; resource and institutional capacity implications; policy coherence; policy limitations or silences; and implications for reform. The full framework is reproduced in Appendix C.</w:t>
      </w:r>
    </w:p>
    <w:p>
      <w:pPr>
        <w:spacing w:after="200" w:before="0" w:line="360" w:lineRule="auto"/>
        <w:ind w:firstLine="720"/>
        <w:jc w:val="both"/>
      </w:pPr>
      <w:r>
        <w:rPr>
          <w:rFonts w:ascii="Times New Roman" w:cs="Times New Roman" w:eastAsia="Times New Roman" w:hAnsi="Times New Roman"/>
          <w:sz w:val="24"/>
          <w:szCs w:val="24"/>
        </w:rPr>
        <w:t xml:space="preserve">The analytical process involved four iterative stages described by Bowen (2009). In the first stage, each document was read in its entirety to develop familiarity. In the second stage, a systematic reading was conducted applying the framework categories as organising themes and annotating the text with page references and direct quotations. In the third stage, emerging themes were compared across documents, and patterns of convergence and divergence were identified. In the fourth stage, findings were interpreted in relation to the theoretical and empirical literature. Critically, the process was designed to ensure that findings in Chapter 4 are explicitly traceable to specific sections of the primary documents, particularly the Draft Inclusion Policy, through quoted extracts with page references. This approach ensures that the analysis functions as genuine document analysis rather than as inferential commentary on what documents fail to say.</w:t>
      </w:r>
    </w:p>
    <w:p>
      <w:pPr>
        <w:pStyle w:val="Heading2"/>
        <w:spacing w:after="160" w:before="360"/>
        <w:jc w:val="left"/>
      </w:pPr>
      <w:r>
        <w:rPr>
          <w:rFonts w:ascii="Times New Roman" w:cs="Times New Roman" w:eastAsia="Times New Roman" w:hAnsi="Times New Roman"/>
          <w:b/>
          <w:bCs/>
          <w:sz w:val="24"/>
          <w:szCs w:val="24"/>
        </w:rPr>
        <w:t xml:space="preserve">3.6 Validity of the Instrument</w:t>
      </w:r>
    </w:p>
    <w:p>
      <w:pPr>
        <w:spacing w:after="200" w:before="0" w:line="360" w:lineRule="auto"/>
        <w:ind w:firstLine="720"/>
        <w:jc w:val="both"/>
      </w:pPr>
      <w:r>
        <w:rPr>
          <w:rFonts w:ascii="Times New Roman" w:cs="Times New Roman" w:eastAsia="Times New Roman" w:hAnsi="Times New Roman"/>
          <w:sz w:val="24"/>
          <w:szCs w:val="24"/>
        </w:rPr>
        <w:t xml:space="preserve">Validity in qualitative research refers to the credibility and trustworthiness of the findings (Creswell, 2014). Several strategies were employed to enhance validity. First, triangulation was achieved by drawing on multiple document sources rather than relying on a single text. Second, the document analysis framework was designed to maintain close alignment with the research questions and conceptual framework. Third, and critically, the study maintains a consistent three-tier distinction between: findings directly supported by quoted or page-referenced textual evidence from the primary documents; findings inferred from patterns across the documentary corpus; and interpretive conclusions drawn with support from the wider scholarly literature. Claims built on the second and third categories are explicitly signalled in Chapter 4. This distinction is designed to prevent the conflation of interpretive claim with documented fact and to ensure that the study's epistemological standards are transparently applied. Fourth, validity is enhanced through conceptual alignment across chapters: the theoretical and conceptual framework established in Chapter 2 directly generated the analytical categories applied in Chapter 3, which in turn structure the discussion in Chapter 4.</w:t>
      </w:r>
    </w:p>
    <w:p>
      <w:pPr>
        <w:pStyle w:val="Heading2"/>
        <w:spacing w:after="160" w:before="360"/>
        <w:jc w:val="left"/>
      </w:pPr>
      <w:r>
        <w:rPr>
          <w:rFonts w:ascii="Times New Roman" w:cs="Times New Roman" w:eastAsia="Times New Roman" w:hAnsi="Times New Roman"/>
          <w:b/>
          <w:bCs/>
          <w:sz w:val="24"/>
          <w:szCs w:val="24"/>
        </w:rPr>
        <w:t xml:space="preserve">3.7 Reliability of the Instrument</w:t>
      </w:r>
    </w:p>
    <w:p>
      <w:pPr>
        <w:spacing w:after="200" w:before="0" w:line="360" w:lineRule="auto"/>
        <w:ind w:firstLine="720"/>
        <w:jc w:val="both"/>
      </w:pPr>
      <w:r>
        <w:rPr>
          <w:rFonts w:ascii="Times New Roman" w:cs="Times New Roman" w:eastAsia="Times New Roman" w:hAnsi="Times New Roman"/>
          <w:sz w:val="24"/>
          <w:szCs w:val="24"/>
        </w:rPr>
        <w:t>Reliability in qualitative document analysis refers to the consistency and transparency of the analytical process. Reliability was supported through the application of consistent analytic questions across all core documents, ensuring that each was examined on a comparable basis. The explicit documentation of the framework in Appendix C provides a transparent account of the procedures employed, enabling readers to assess the consistency of the approach and, if desired, to apply it to additional documents. It is important to acknowledge that qualitative analysis inevitably involves interpretive judgement that cannot be fully eliminated (Creswell, 2014). To minimise unwarranted bias, the study grounds its interpretations explicitly in quoted or page-referenced documentary evidence and explicitly acknowledges where interpretive claims go beyond what the evidence strictly warrants.</w:t>
      </w:r>
    </w:p>
    <w:p>
      <w:pPr>
        <w:pStyle w:val="Heading2"/>
        <w:spacing w:after="160" w:before="360"/>
        <w:jc w:val="left"/>
      </w:pPr>
      <w:r>
        <w:rPr>
          <w:rFonts w:ascii="Times New Roman" w:cs="Times New Roman" w:eastAsia="Times New Roman" w:hAnsi="Times New Roman"/>
          <w:b/>
          <w:bCs/>
          <w:sz w:val="24"/>
          <w:szCs w:val="24"/>
        </w:rPr>
        <w:t xml:space="preserve">3.8 Positionality and Ethical Considerations</w:t>
      </w:r>
    </w:p>
    <w:p>
      <w:pPr>
        <w:spacing w:after="200" w:before="0" w:line="360" w:lineRule="auto"/>
        <w:ind w:firstLine="720"/>
        <w:jc w:val="both"/>
      </w:pPr>
      <w:r>
        <w:rPr>
          <w:rFonts w:ascii="Times New Roman" w:cs="Times New Roman" w:eastAsia="Times New Roman" w:hAnsi="Times New Roman"/>
          <w:sz w:val="24"/>
          <w:szCs w:val="24"/>
        </w:rPr>
        <w:t>As a researcher engaged with education policy in the Caribbean context, I acknowledge that my professional standpoint may shape the reading of documents and the framing of analytical conclusions. In particular, familiarity with the structural conditions of Caribbean education systems may predispose the analysis toward certain interpretations of policy gaps and implementation challenges. To mitigate this, the study grounds all analytical claims in direct textual evidence from the documents analysed, and where interpretive judgement is exercised, this is made explicit in the text. All sources are properly acknowledged and cited in accordance with the Harvard referencing convention. Critical analysis of the Draft Inclusion Policy implies neither that the policy has no value nor that the individuals and institutions involved in its development have acted in bad faith. The aim is to produce a rigorous, evidence-based assessment that contributes constructively to the policy's improvement. The study relies exclusively on publicly available documents and does not make use of confidential or restricted materials.</w:t>
      </w:r>
    </w:p>
    <w:p>
      <w:pPr>
        <w:pStyle w:val="Heading2"/>
        <w:spacing w:after="160" w:before="360"/>
        <w:jc w:val="left"/>
      </w:pPr>
      <w:r>
        <w:rPr>
          <w:rFonts w:ascii="Times New Roman" w:cs="Times New Roman" w:eastAsia="Times New Roman" w:hAnsi="Times New Roman"/>
          <w:b/>
          <w:bCs/>
          <w:sz w:val="24"/>
          <w:szCs w:val="24"/>
        </w:rPr>
        <w:t xml:space="preserve">3.9 Limitations of the Methodology</w:t>
      </w:r>
    </w:p>
    <w:p>
      <w:pPr>
        <w:spacing w:after="200" w:before="0" w:line="360" w:lineRule="auto"/>
        <w:ind w:firstLine="720"/>
        <w:jc w:val="both"/>
      </w:pPr>
      <w:r>
        <w:rPr>
          <w:rFonts w:ascii="Times New Roman" w:cs="Times New Roman" w:eastAsia="Times New Roman" w:hAnsi="Times New Roman"/>
          <w:sz w:val="24"/>
          <w:szCs w:val="24"/>
        </w:rPr>
        <w:t xml:space="preserve">The most significant limitation of the document analysis methodology is that it cannot capture the lived experiences of stakeholders within the inclusive education system (Bowen, 2009). The views, experiences, and professional judgments of teachers, SEN officers, school administrators, parents, and learners with disabilities are central to understanding how inclusive education policy is enacted in practice. A further limitation concerns the completeness of the documentary record: publicly available documentation on inclusive education in Guyana is relatively limited, and some institutional initiatives, internal guidelines, or recent administrative developments may not be fully captured in publicly available documentation. Importantly, documentary absence should not automatically be interpreted as institutional absence; the absence of documented evidence of a programme does not necessarily mean that the programme does not exist. Additionally, document analysis cannot fully account for the informal, relational, and culturally embedded dimensions of inclusive education practice, or for the degree to which the policy's international technical assistance origins may have produced a framework ill-fitted to local conditions (Walton, 2018). These limitations are acknowledged explicitly wherever they bear on the interpretation of specific findings in Chapter 4.</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4: RESULTS AND DISCUSSION</w:t>
      </w:r>
    </w:p>
    <w:p>
      <w:pPr>
        <w:pStyle w:val="Heading2"/>
        <w:spacing w:after="160" w:before="360"/>
        <w:jc w:val="left"/>
      </w:pPr>
      <w:r>
        <w:rPr>
          <w:rFonts w:ascii="Times New Roman" w:cs="Times New Roman" w:eastAsia="Times New Roman" w:hAnsi="Times New Roman"/>
          <w:b/>
          <w:bCs/>
          <w:sz w:val="24"/>
          <w:szCs w:val="24"/>
        </w:rPr>
        <w:t xml:space="preserve">4.1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presents the findings of the document analysis organised around each of the study’s four research questions, followed by a systematic evaluation of the working propositions set out in Section 1.5. The evidentiary basis for each claim is made explicit throughout.</w:t>
      </w:r>
    </w:p>
    <w:p>
      <w:pPr>
        <w:pStyle w:val="Heading2"/>
        <w:spacing w:after="160" w:before="360"/>
        <w:jc w:val="left"/>
      </w:pPr>
      <w:r>
        <w:rPr>
          <w:rFonts w:ascii="Times New Roman" w:cs="Times New Roman" w:eastAsia="Times New Roman" w:hAnsi="Times New Roman"/>
          <w:b/>
          <w:bCs/>
          <w:sz w:val="24"/>
          <w:szCs w:val="24"/>
        </w:rPr>
        <w:t xml:space="preserve">4.2 Research Question 1: Policy Alignment with International Frameworks</w:t>
      </w:r>
    </w:p>
    <w:p>
      <w:pPr>
        <w:spacing w:after="200" w:before="0" w:line="360" w:lineRule="auto"/>
        <w:ind w:firstLine="720"/>
        <w:jc w:val="both"/>
      </w:pPr>
      <w:r>
        <w:rPr>
          <w:rFonts w:ascii="Times New Roman" w:cs="Times New Roman" w:eastAsia="Times New Roman" w:hAnsi="Times New Roman"/>
          <w:i/>
          <w:iCs/>
          <w:sz w:val="24"/>
          <w:szCs w:val="24"/>
        </w:rPr>
        <w:t xml:space="preserve">Research Question 1 asks: To what extent does the Draft Inclusion Policy for Special Educational Needs (2010) reflect the principles of international frameworks for inclusive education?</w:t>
      </w:r>
      <w:r>
        <w:rPr>
          <w:rFonts w:ascii="Times New Roman" w:cs="Times New Roman" w:eastAsia="Times New Roman" w:hAnsi="Times New Roman"/>
          <w:sz w:val="24"/>
          <w:szCs w:val="24"/>
        </w:rPr>
        <w:t xml:space="preserve"/>
      </w:r>
    </w:p>
    <w:p>
      <w:pPr>
        <w:spacing w:after="200" w:before="0" w:line="360" w:lineRule="auto"/>
        <w:ind w:firstLine="720"/>
        <w:jc w:val="both"/>
      </w:pPr>
      <w:r>
        <w:rPr>
          <w:rFonts w:ascii="Times New Roman" w:cs="Times New Roman" w:eastAsia="Times New Roman" w:hAnsi="Times New Roman"/>
          <w:sz w:val="24"/>
          <w:szCs w:val="24"/>
        </w:rPr>
        <w:t xml:space="preserve">The analysis evaluates alignment across seven thematic dimensions derived from the structured document analysis framework (Appendix C). Each dimension is assessed against two primary international benchmarks: the Salamanca Statement and Framework for Action (UNESCO, 1994) and the Convention on the Rights of Persons with Disabilities as interpreted through General Comment No. 4 (Committee on the Rights of Persons with Disabilities, 2016). Table 4.01 presents the comparative findings.</w:t>
      </w:r>
    </w:p>
    <w:p>
      <w:pPr>
        <w:spacing w:after="200" w:before="0" w:line="360" w:lineRule="auto"/>
        <w:jc w:val="both"/>
      </w:pPr>
      <w:r>
        <w:rPr>
          <w:rFonts w:ascii="Times New Roman" w:cs="Times New Roman" w:eastAsia="Times New Roman" w:hAnsi="Times New Roman"/>
          <w:b/>
          <w:bCs/>
          <w:sz w:val="24"/>
          <w:szCs w:val="24"/>
        </w:rPr>
        <w:t xml:space="preserve">Table 4.01: Alignment of the Draft Inclusion Policy with International Frameworks</w:t>
      </w:r>
    </w:p>
    <w:tbl>
      <w:tblPr>
        <w:tblStyle w:val="TableGrid"/>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00"/>
        <w:gridCol w:w="1900"/>
        <w:gridCol w:w="2100"/>
        <w:gridCol w:w="2100"/>
        <w:gridCol w:w="900"/>
      </w:tblGrid>
      <w:tr>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Dimension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Salamanca Statement (1994)</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CRPD / General Comment No. 4 (2006; 2016)</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Draft Inclusion Policy (2010)</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Alignment</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Right to education and non-exclusion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Every child has a fundamental right to education (p. viii)</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Persons with disabilities shall not be excluded from the general education system (Art. 24.2a)</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All children in Guyana are to be in full-time education (p. 14); persons with disabilities not excluded from general education (p. 10)</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Full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Mainstream as default setting</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Regular schools with inclusive orientation are the most effective means of combating discrimination (p. ix)</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States must ensure an inclusive education system at all levels (Art. 24.1); dual systems incompatible with inclusion (GC No. 4, para. 40)</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Wherever possible children should be educated in their local mainstream school (p. 32); specialist settings retained for assessed cases (p. 32)</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 preparation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 education programmes, pre-service and in-service, must address SEN provision (p. x)</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Teachers at all levels must be trained in inclusive education; training must cover disability awareness and appropriate pedagogy (GC No. 4, para. 69)</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Training must continue at CPCE and UG so all newly qualified teachers have necessary skills (p. 22); thirteen training provisions specified (pp. 22-24)</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Curriculum and differentiation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Curriculum should be adapted to children’s needs, not vice versa (para. 28)</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Flexible curricula using Universal Design for Learning required (GC No. 4, para. 25); UNESCO GEM Report reinforces UDL as systemic principle (UNESCO, 2020)</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All children follow the same curriculum regardless of disability; teaching must be well differentiated (p. 19)</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Individual education planning</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Framework for Action calls for individualised educational programmes (para. 26)</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Individualised support and reasonable accommodation required (Art. 24.2c-d)</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All students with a special need must have an IEP (p. 24); regional centres collaborate with schools on IEP development (p. 25)</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Monitoring and accountability</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Governments should establish mechanisms for planning, monitoring and evaluation (para. 52)</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States must collect data, monitor implementation, and develop indicators (GC No. 4, para. 61)</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Ministry to develop a monitoring system with clear targets; six-monthly reviews and annual parliamentary reporting required (p. 20)</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w:t>
            </w:r>
          </w:p>
        </w:tc>
      </w:tr>
      <w:tr>
        <w:tc>
          <w:tcPr>
            <w:tcW w:w="16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Reasonable accommodation and Universal Design</w:t>
            </w:r>
          </w:p>
        </w:tc>
        <w:tc>
          <w:tcPr>
            <w:tcW w:w="1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explicitly addressed</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Reasonable accommodation must be provided; failure constitutes discrimination (Art. 24.2c; GC No. 4, para. 30)</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 reference to reasonable accommodation or Universal Design for Learning</w:t>
            </w:r>
          </w:p>
        </w:tc>
        <w:tc>
          <w:tcPr>
            <w:tcW w:w="9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Absent</w:t>
            </w:r>
          </w:p>
        </w:tc>
      </w:tr>
    </w:tbl>
    <w:p>
      <w:pPr>
        <w:spacing w:after="200" w:before="0" w:line="360" w:lineRule="auto"/>
        <w:ind w:firstLine="720"/>
        <w:jc w:val="both"/>
      </w:pPr>
      <w:r>
        <w:rPr>
          <w:rFonts w:ascii="Times New Roman" w:cs="Times New Roman" w:eastAsia="Times New Roman" w:hAnsi="Times New Roman"/>
          <w:sz w:val="24"/>
          <w:szCs w:val="24"/>
        </w:rPr>
        <w:t xml:space="preserve">At the level of values and rights-based commitment, the alignment between the Draft Inclusion Policy and both international frameworks is substantial. The policy’s declaration that all children in Guyana are to be in full-time education (Ministry of Education Guyana, 2010, p. 14) directly mirrors the Salamanca Statement’s articulation of the right to education. The policy also references the Persons with Disabilities Bill 2009, framing inclusive education in rights-based language (Ministry of Education Guyana, 2010, p. 10). This gestures toward a legal entitlement framework, though the relationship between the Bill, the subsequently enacted Persons with Disabilities Act 2010, and the still-unadopted Draft Policy creates a governance picture that is examined more fully in Section 4.4.</w:t>
      </w:r>
    </w:p>
    <w:p>
      <w:pPr>
        <w:spacing w:after="200" w:before="0" w:line="360" w:lineRule="auto"/>
        <w:ind w:firstLine="720"/>
        <w:jc w:val="both"/>
      </w:pPr>
      <w:r>
        <w:rPr>
          <w:rFonts w:ascii="Times New Roman" w:cs="Times New Roman" w:eastAsia="Times New Roman" w:hAnsi="Times New Roman"/>
          <w:sz w:val="24"/>
          <w:szCs w:val="24"/>
        </w:rPr>
        <w:t xml:space="preserve">The alignment weakens as the analysis moves from normative principle to operational detail.</w:t>
      </w:r>
    </w:p>
    <w:p>
      <w:pPr>
        <w:spacing w:after="200" w:before="0" w:line="360" w:lineRule="auto"/>
        <w:ind w:firstLine="720"/>
        <w:jc w:val="both"/>
      </w:pPr>
      <w:r>
        <w:rPr>
          <w:rFonts w:ascii="Times New Roman" w:cs="Times New Roman" w:eastAsia="Times New Roman" w:hAnsi="Times New Roman"/>
          <w:sz w:val="24"/>
          <w:szCs w:val="24"/>
        </w:rPr>
        <w:t xml:space="preserve">The policy’s treatment of mainstream schooling reflects an earlier conception of the inclusion–specialist continuum. The Salamanca Statement endorsed a graduated model in which mainstream schools serve as the default setting while acknowledging that some learners may require intensive support elsewhere (UNESCO, 1994). The Draft Inclusion Policy replicates this model, specifying that children should attend local mainstream schools wherever possible while retaining specialist settings for assessed cases (Ministry of Education Guyana, 2010, p. 32). By the standards of 1994, this represents appropriate alignment. However, General Comment No. 4 has since clarified that maintaining parallel mainstream and segregated systems is incompatible with the right to inclusive education (Committee on the Rights of Persons with Disabilities, 2016, para. 40). Evaluated against the contemporary standard, the policy’s retention of a dual-system model reflects the framework of the era in which it was drafted rather than the requirements that have since emerged.</w:t>
      </w:r>
    </w:p>
    <w:p>
      <w:pPr>
        <w:spacing w:after="200" w:before="0" w:line="360" w:lineRule="auto"/>
        <w:ind w:firstLine="720"/>
        <w:jc w:val="both"/>
      </w:pPr>
      <w:r>
        <w:rPr>
          <w:rFonts w:ascii="Times New Roman" w:cs="Times New Roman" w:eastAsia="Times New Roman" w:hAnsi="Times New Roman"/>
          <w:sz w:val="24"/>
          <w:szCs w:val="24"/>
        </w:rPr>
        <w:t xml:space="preserve">The policy specifies teacher preparation and individual education planning provisions that are structurally present but operationally underdeveloped. Thirteen training provisions appear across the Training Issues section (Ministry of Education Guyana, 2010, pp. 22–24), and the requirement that every student with a special need must have an IEP is clearly stated (Ministry of Education Guyana, 2010, p. 24). What these provisions do not specify is what competencies constitute adequate preparation for inclusive teaching, what content an IEP should contain, or what process should govern IEP development and review. General Comment No. 4 requires that teacher training cover disability awareness, appropriate pedagogical methods, and the use of augmentative and alternative communication (Committee on the Rights of Persons with Disabilities, 2016, para. 69). The policy’s training provisions, while extensive in scope, do not define these content standards.</w:t>
      </w:r>
    </w:p>
    <w:p>
      <w:pPr>
        <w:spacing w:after="200" w:before="0" w:line="360" w:lineRule="auto"/>
        <w:ind w:firstLine="720"/>
        <w:jc w:val="both"/>
      </w:pPr>
      <w:r>
        <w:rPr>
          <w:rFonts w:ascii="Times New Roman" w:cs="Times New Roman" w:eastAsia="Times New Roman" w:hAnsi="Times New Roman"/>
          <w:sz w:val="24"/>
          <w:szCs w:val="24"/>
        </w:rPr>
        <w:t xml:space="preserve">Most notably, the policy contains no reference to reasonable accommodation or Universal Design for Learning. These concepts are central to the CRPD’s operational framework: Article 24.2(c) requires the provision of reasonable accommodation, and General Comment No. 4 identifies Universal Design for Learning as a foundational principle of inclusive curricula (Committee on the Rights of Persons with Disabilities, 2016, para. 25). The UNESCO Global Education Monitoring Report, a major international policy benchmark, similarly positions Universal Design for Learning as a systemic requirement rather than an optional pedagogical technique, emphasising that inclusive systems must be designed for diversity from the outset rather than retrofitted to accommodate it (UNESCO, 2020). The policy instead directs schools to ensure that “all teaching is well differentiated to meet the needs of all” (Ministry of Education Guyana, 2010, p. 19). Differentiation is a pedagogical strategy, not a systemic design principle; the distinction matters because Universal Design for Learning requires structural curricular flexibility, whereas differentiation places the burden of adaptation on individual teachers. Norwich (2016) observes that this gap between broad social model commitments and condition-specific operational guidance is a recurring limitation of policies drafted primarily within a social model orientation: they are stronger at removing categorical exclusion than at specifying how educational systems should respond to the interaction between individual conditions and learning environments.</w:t>
      </w:r>
    </w:p>
    <w:p>
      <w:pPr>
        <w:spacing w:after="200" w:before="0" w:line="360" w:lineRule="auto"/>
        <w:ind w:firstLine="720"/>
        <w:jc w:val="both"/>
      </w:pPr>
      <w:r>
        <w:rPr>
          <w:rFonts w:ascii="Times New Roman" w:cs="Times New Roman" w:eastAsia="Times New Roman" w:hAnsi="Times New Roman"/>
          <w:sz w:val="24"/>
          <w:szCs w:val="24"/>
        </w:rPr>
        <w:t xml:space="preserve">The analysis therefore provides a qualified answer to Research Question 1. The Draft Inclusion Policy reflects the principles of international frameworks at the level of values and rights-based commitment, partially at the level of institutional design, and not at all with respect to the operational concepts that have become central to international inclusive education standards since the policy’s drafting in 2010. This finding complicates rather than confirms Working Proposition 1: the degree of alignment depends on which normative benchmark is applied and whether alignment is assessed at the level of principle or operational specificity.</w:t>
      </w:r>
    </w:p>
    <w:p>
      <w:pPr>
        <w:pStyle w:val="Heading2"/>
        <w:spacing w:after="160" w:before="360"/>
        <w:jc w:val="left"/>
      </w:pPr>
      <w:r>
        <w:rPr>
          <w:rFonts w:ascii="Times New Roman" w:cs="Times New Roman" w:eastAsia="Times New Roman" w:hAnsi="Times New Roman"/>
          <w:b/>
          <w:bCs/>
          <w:sz w:val="24"/>
          <w:szCs w:val="24"/>
        </w:rPr>
        <w:t xml:space="preserve">4.3 Research Question 2: Institutional Mechanisms and Operationalisation</w:t>
      </w:r>
    </w:p>
    <w:p>
      <w:pPr>
        <w:spacing w:after="200" w:before="0" w:line="360" w:lineRule="auto"/>
        <w:ind w:firstLine="720"/>
        <w:jc w:val="both"/>
      </w:pPr>
      <w:r>
        <w:rPr>
          <w:rFonts w:ascii="Times New Roman" w:cs="Times New Roman" w:eastAsia="Times New Roman" w:hAnsi="Times New Roman"/>
          <w:i/>
          <w:iCs/>
          <w:sz w:val="24"/>
          <w:szCs w:val="24"/>
        </w:rPr>
        <w:t xml:space="preserve">Research Question 2 asks: What institutional mechanisms have been established for the implementation of inclusive education in Guyana, and how effectively do they operationalise the policy’s stated objectives?</w:t>
      </w:r>
      <w:r>
        <w:rPr>
          <w:rFonts w:ascii="Times New Roman" w:cs="Times New Roman" w:eastAsia="Times New Roman" w:hAnsi="Times New Roman"/>
          <w:sz w:val="24"/>
          <w:szCs w:val="24"/>
        </w:rPr>
        <w:t xml:space="preserve"/>
      </w:r>
    </w:p>
    <w:p>
      <w:pPr>
        <w:spacing w:after="200" w:before="0" w:line="360" w:lineRule="auto"/>
        <w:ind w:firstLine="720"/>
        <w:jc w:val="both"/>
      </w:pPr>
      <w:r>
        <w:rPr>
          <w:rFonts w:ascii="Times New Roman" w:cs="Times New Roman" w:eastAsia="Times New Roman" w:hAnsi="Times New Roman"/>
          <w:sz w:val="24"/>
          <w:szCs w:val="24"/>
        </w:rPr>
        <w:t xml:space="preserve">The Draft Inclusion Policy specifies an unusually detailed set of institutional mechanisms across five domains: governance coordination, teacher preparation, assessment and individual planning, specialised provision, and multi-sector collaboration. Table 4.02 maps these specified mechanisms against the available documentary evidence of their operationalisation.</w:t>
      </w:r>
    </w:p>
    <w:p>
      <w:pPr>
        <w:spacing w:after="200" w:before="0" w:line="360" w:lineRule="auto"/>
        <w:jc w:val="both"/>
      </w:pPr>
      <w:r>
        <w:rPr>
          <w:rFonts w:ascii="Times New Roman" w:cs="Times New Roman" w:eastAsia="Times New Roman" w:hAnsi="Times New Roman"/>
          <w:b/>
          <w:bCs/>
          <w:sz w:val="24"/>
          <w:szCs w:val="24"/>
        </w:rPr>
        <w:t xml:space="preserve">Table 4.02: Operationalisation of Policy-Specified Institutional Mechanisms</w:t>
      </w:r>
    </w:p>
    <w:tbl>
      <w:tblPr>
        <w:tblStyle w:val="TableGrid"/>
        <w:tblW w:w="7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00"/>
        <w:gridCol w:w="2100"/>
        <w:gridCol w:w="2400"/>
        <w:gridCol w:w="1300"/>
      </w:tblGrid>
      <w:tr>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Policy Mechanism</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Specified Provision (Draft Policy)</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Documentary Evidence of Operationalisation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Pr>
          <w:p>
            <w:pPr>
              <w:spacing w:after="40" w:before="40"/>
            </w:pPr>
            <w:r>
              <w:rPr>
                <w:rFonts w:ascii="Times New Roman" w:cs="Times New Roman" w:eastAsia="Times New Roman" w:hAnsi="Times New Roman"/>
                <w:b/>
                <w:bCs/>
                <w:sz w:val="20"/>
                <w:szCs w:val="20"/>
              </w:rPr>
              <w:t xml:space="preserve">Status</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National SEN coordination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ACEO-SEN to lead the NSENO and coordinate national strategy (p. 27)</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ACEO-SEND appointed; Dr Keon Cheong heading SEND efforts at ministerial level</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Regional SEN officers</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RSENOs responsible for assessment, placement, teacher training in each region (p. 22)</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SEN officers appointed at national and some regional levels; coverage across ten regions not documented</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School-level coordinators</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 teacher in every school nominated as Coordinator of Special Needs (p. 24)</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 documentary evidence identified in the corpus of systematic appointment or coverage</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evidenced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Teacher preparation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Training through CPCE, UG, and NCERD SEND Unit; thirteen provisions specified (pp. 22-24)</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51 teachers graduated with Associate Degree in SEN (October 2024); SEND programme formally launched January 2025; 30 SEND spaces reported across nine regions by 2025</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Assessment and IEPs</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Regional diagnostic centres to conduct assessment; IEPs for all students with SEN (pp. 24-25)</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IEP requirement stated; no documentary evidence identified of content standards, review processes, or coverage data</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Partially operationalised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Specialised provision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Ten government-funded specialist schools and institutes identified (p. 12)</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Specialist schools continue to operate; funding and staffing mismatches documented (p. 12)</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Operationalised with limitations</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Multi-sector coordination</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National working group meeting at least twice per year (p. 22)</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Policy acknowledges work done "in isolation" (p. 13); no documentary evidence identified of consistent convening</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evidenced</w:t>
            </w:r>
          </w:p>
        </w:tc>
      </w:tr>
      <w:tr>
        <w:tc>
          <w:tcPr>
            <w:tcW w:w="18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Monitoring and reporting</w:t>
            </w:r>
          </w:p>
        </w:tc>
        <w:tc>
          <w:tcPr>
            <w:tcW w:w="21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Ministry to develop monitoring system; six-monthly reviews; annual reporting (p. 20)</w:t>
            </w:r>
          </w:p>
        </w:tc>
        <w:tc>
          <w:tcPr>
            <w:tcW w:w="24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 documentary evidence identified in the corpus of systematic monitoring, indicator development, or parliamentary reporting</w:t>
            </w:r>
          </w:p>
        </w:tc>
        <w:tc>
          <w:tcPr>
            <w:tcW w:w="1300" w:type="dxa"/>
            <w:tcBorders>
              <w:top w:val="single" w:sz="4" w:space="0" w:color="000000"/>
              <w:left w:val="single" w:sz="4" w:space="0" w:color="000000"/>
              <w:bottom w:val="single" w:sz="4" w:space="0" w:color="000000"/>
              <w:right w:val="single" w:sz="4" w:space="0" w:color="000000"/>
            </w:tcBorders>
          </w:tcPr>
          <w:p>
            <w:pPr>
              <w:spacing w:after="40" w:before="40"/>
            </w:pPr>
            <w:r>
              <w:rPr>
                <w:rFonts w:ascii="Times New Roman" w:cs="Times New Roman" w:eastAsia="Times New Roman" w:hAnsi="Times New Roman"/>
                <w:sz w:val="20"/>
                <w:szCs w:val="20"/>
              </w:rPr>
              <w:t xml:space="preserve">Not evidenced</w:t>
            </w:r>
          </w:p>
        </w:tc>
      </w:tr>
    </w:tbl>
    <w:p>
      <w:pPr>
        <w:spacing w:after="200" w:before="0" w:line="360" w:lineRule="auto"/>
        <w:ind w:firstLine="720"/>
        <w:jc w:val="both"/>
      </w:pPr>
      <w:r>
        <w:rPr>
          <w:rFonts w:ascii="Times New Roman" w:cs="Times New Roman" w:eastAsia="Times New Roman" w:hAnsi="Times New Roman"/>
          <w:sz w:val="24"/>
          <w:szCs w:val="24"/>
        </w:rPr>
        <w:t xml:space="preserve">The pattern that emerges is one of selective and uneven operationalisation. The mechanisms closest to classroom practice (teacher preparation, specialist provision, and some regional coordination) show evidence of partial implementation. The mechanisms that depend on centralised institutional authority (systematic school-level coordination, multi-sector collaboration, and monitoring) show no documented evidence of operationalisation.</w:t>
      </w:r>
    </w:p>
    <w:p>
      <w:pPr>
        <w:spacing w:after="200" w:before="0" w:line="360" w:lineRule="auto"/>
        <w:ind w:firstLine="720"/>
        <w:jc w:val="both"/>
      </w:pPr>
      <w:r>
        <w:rPr>
          <w:rFonts w:ascii="Times New Roman" w:cs="Times New Roman" w:eastAsia="Times New Roman" w:hAnsi="Times New Roman"/>
          <w:sz w:val="24"/>
          <w:szCs w:val="24"/>
        </w:rPr>
        <w:t xml:space="preserve">Recent institutional developments complicate any straightforward reading of this pattern. The graduation of 51 teachers with SEND qualifications in October 2024, the formal launch of the CPCE SEND programme in January 2025, and the establishment of 30 dedicated SEND spaces across nine of Guyana’s ten administrative regions represent meaningful progress that was not anticipated in the original working propositions. These developments suggest that the inclusive education system is not static but in active, if uncoordinated, transition.</w:t>
      </w:r>
    </w:p>
    <w:p>
      <w:pPr>
        <w:spacing w:after="200" w:before="0" w:line="360" w:lineRule="auto"/>
        <w:ind w:firstLine="720"/>
        <w:jc w:val="both"/>
      </w:pPr>
      <w:r>
        <w:rPr>
          <w:rFonts w:ascii="Times New Roman" w:cs="Times New Roman" w:eastAsia="Times New Roman" w:hAnsi="Times New Roman"/>
          <w:sz w:val="24"/>
          <w:szCs w:val="24"/>
        </w:rPr>
        <w:t xml:space="preserve">Lipsky’s (2010) concept of street-level bureaucracy offers an explanatory framework for this pattern. In contexts where formal policy has not been adopted, frontline workers become the de facto policymakers through their daily discretionary decisions. The 51 CPCE graduates and the regional SEN officers are precisely the kind of street-level bureaucrats Lipsky describes: professionals exercising judgement in the absence of centralised direction, developing localised responses that collectively constitute the actual policy experienced by learners. This explains both why implementation is occurring despite the policy’s draft status and why that implementation is uneven. Without a formalised policy instrument to coordinate their efforts, these frontline practitioners operate within their own institutional contexts, producing the fragmentation the policy itself acknowledged when it observed that “much of the good work is done in isolation” (Ministry of Education Guyana, 2010, p. 13).</w:t>
      </w:r>
    </w:p>
    <w:p>
      <w:pPr>
        <w:spacing w:after="200" w:before="0" w:line="360" w:lineRule="auto"/>
        <w:ind w:firstLine="720"/>
        <w:jc w:val="both"/>
      </w:pPr>
      <w:r>
        <w:rPr>
          <w:rFonts w:ascii="Times New Roman" w:cs="Times New Roman" w:eastAsia="Times New Roman" w:hAnsi="Times New Roman"/>
          <w:sz w:val="24"/>
          <w:szCs w:val="24"/>
        </w:rPr>
        <w:t xml:space="preserve">The answer to Research Question 2 is therefore more complex than the working proposition anticipated. Institutional mechanisms do exist, and several have been partially operationalised, in some cases more substantially than the draft status of the policy would predict. However, the mechanisms that require centralised coordination, systematic data collection, and formal institutional authority remain largely unrealised. The pattern is one of bottom-up, practitioner-driven progress coexisting with top-down institutional stasis.</w:t>
      </w:r>
    </w:p>
    <w:p>
      <w:pPr>
        <w:pStyle w:val="Heading2"/>
        <w:spacing w:after="160" w:before="360"/>
        <w:jc w:val="left"/>
      </w:pPr>
      <w:r>
        <w:rPr>
          <w:rFonts w:ascii="Times New Roman" w:cs="Times New Roman" w:eastAsia="Times New Roman" w:hAnsi="Times New Roman"/>
          <w:b/>
          <w:bCs/>
          <w:sz w:val="24"/>
          <w:szCs w:val="24"/>
        </w:rPr>
        <w:t xml:space="preserve">4.4 Research Question 3: Structural Factors Contributing to the Policy-Practice Gap</w:t>
      </w:r>
    </w:p>
    <w:p>
      <w:pPr>
        <w:spacing w:after="200" w:before="0" w:line="360" w:lineRule="auto"/>
        <w:ind w:firstLine="720"/>
        <w:jc w:val="both"/>
      </w:pPr>
      <w:r>
        <w:rPr>
          <w:rFonts w:ascii="Times New Roman" w:cs="Times New Roman" w:eastAsia="Times New Roman" w:hAnsi="Times New Roman"/>
          <w:i/>
          <w:iCs/>
          <w:sz w:val="24"/>
          <w:szCs w:val="24"/>
        </w:rPr>
        <w:t xml:space="preserve">Research Question 3 asks: What structural factors contribute to the gap between policy intentions and implementation outcomes in the Guyanese context?</w:t>
      </w:r>
      <w:r>
        <w:rPr>
          <w:rFonts w:ascii="Times New Roman" w:cs="Times New Roman" w:eastAsia="Times New Roman" w:hAnsi="Times New Roman"/>
          <w:sz w:val="24"/>
          <w:szCs w:val="24"/>
        </w:rPr>
        <w:t xml:space="preserve"/>
      </w:r>
    </w:p>
    <w:p>
      <w:pPr>
        <w:spacing w:after="200" w:before="0" w:line="360" w:lineRule="auto"/>
        <w:ind w:firstLine="720"/>
        <w:jc w:val="both"/>
      </w:pPr>
      <w:r>
        <w:rPr>
          <w:rFonts w:ascii="Times New Roman" w:cs="Times New Roman" w:eastAsia="Times New Roman" w:hAnsi="Times New Roman"/>
          <w:sz w:val="24"/>
          <w:szCs w:val="24"/>
        </w:rPr>
        <w:t xml:space="preserve">The analysis identifies five principal structural factors. Each is examined below, with attention to both the documentary evidence that supports the finding and the counter-evidence that qualifies it.</w:t>
      </w:r>
    </w:p>
    <w:p>
      <w:pPr>
        <w:pStyle w:val="Heading3"/>
        <w:spacing w:after="120" w:before="240"/>
        <w:jc w:val="left"/>
      </w:pPr>
      <w:r>
        <w:rPr>
          <w:rFonts w:ascii="Times New Roman" w:cs="Times New Roman" w:eastAsia="Times New Roman" w:hAnsi="Times New Roman"/>
          <w:b/>
          <w:bCs/>
          <w:i/>
          <w:iCs/>
          <w:sz w:val="24"/>
          <w:szCs w:val="24"/>
        </w:rPr>
        <w:t xml:space="preserve">4.4.1 The Unadopted Status of the Policy and the Legislative Landscape</w:t>
      </w:r>
    </w:p>
    <w:p>
      <w:pPr>
        <w:spacing w:after="200" w:before="0" w:line="360" w:lineRule="auto"/>
        <w:ind w:firstLine="720"/>
        <w:jc w:val="both"/>
      </w:pPr>
      <w:r>
        <w:rPr>
          <w:rFonts w:ascii="Times New Roman" w:cs="Times New Roman" w:eastAsia="Times New Roman" w:hAnsi="Times New Roman"/>
          <w:sz w:val="24"/>
          <w:szCs w:val="24"/>
        </w:rPr>
        <w:t xml:space="preserve">The most visible structural factor is the continued unadopted status of the Draft Inclusion Policy more than fifteen years after its production in December 2010. The policy itself expressed a clear expectation of formalisation, recording that a key success indicator was that “by the end of 2021 the policy is presented and accepted by the public and approved by the authorities” (Ministry of Education Guyana, 2010, Foreword). That deadline passed without adoption.</w:t>
      </w:r>
    </w:p>
    <w:p>
      <w:pPr>
        <w:spacing w:after="200" w:before="0" w:line="360" w:lineRule="auto"/>
        <w:ind w:firstLine="720"/>
        <w:jc w:val="both"/>
      </w:pPr>
      <w:r>
        <w:rPr>
          <w:rFonts w:ascii="Times New Roman" w:cs="Times New Roman" w:eastAsia="Times New Roman" w:hAnsi="Times New Roman"/>
          <w:sz w:val="24"/>
          <w:szCs w:val="24"/>
        </w:rPr>
        <w:t xml:space="preserve">The implications are substantial. The policy’s three principal accountability provisions (the requirement that “all schools must both have and be familiar with the National SEND Policy” (Ministry of Education Guyana, 2010, p. 19), the specification of annual parliamentary reporting, and a five-yearly review cycle (Ministry of Education Guyana, 2010, p. 20)) all depend on formal adoption for their binding force. Without it, each provision remains aspirational. Pressman and Wildavsky (1973) demonstrated that the authority of the policy instrument is a precondition for coordinated implementation; in Guyana, that authority is absent.</w:t>
      </w:r>
    </w:p>
    <w:p>
      <w:pPr>
        <w:spacing w:after="200" w:before="0" w:line="360" w:lineRule="auto"/>
        <w:ind w:firstLine="720"/>
        <w:jc w:val="both"/>
      </w:pPr>
      <w:r>
        <w:rPr>
          <w:rFonts w:ascii="Times New Roman" w:cs="Times New Roman" w:eastAsia="Times New Roman" w:hAnsi="Times New Roman"/>
          <w:sz w:val="24"/>
          <w:szCs w:val="24"/>
        </w:rPr>
        <w:t xml:space="preserve">The governance picture is, however, more complex than this finding alone suggests. The Persons with Disabilities Act 2010 is an enacted piece of legislation that creates binding legal obligations: it mandates that the Ministry of Education ensure persons with disabilities are not excluded from the general education system, promote integration into regular schools, and develop teacher training programmes specialising in disabilities (Parliament of Guyana, 2010). The Education Bill 2014 further specifies assessment procedures and establishes the Minister’s power to create a Council on Special Education. These enacted instruments coexist with the unadopted Draft Policy, producing a situation in which legislative mandates for inclusive education exist without the corresponding operational policy that would translate them into coordinated institutional practice. The structural constraint is therefore not the absence of legal authority as such, but the absence of the operational bridge between enacted legislation and classroom implementation.</w:t>
      </w:r>
    </w:p>
    <w:p>
      <w:pPr>
        <w:pStyle w:val="Heading3"/>
        <w:spacing w:after="120" w:before="240"/>
        <w:jc w:val="left"/>
      </w:pPr>
      <w:r>
        <w:rPr>
          <w:rFonts w:ascii="Times New Roman" w:cs="Times New Roman" w:eastAsia="Times New Roman" w:hAnsi="Times New Roman"/>
          <w:b/>
          <w:bCs/>
          <w:i/>
          <w:iCs/>
          <w:sz w:val="24"/>
          <w:szCs w:val="24"/>
        </w:rPr>
        <w:t xml:space="preserve">4.4.2 The Gap Between Policy Language and Operational Guidance</w:t>
      </w:r>
    </w:p>
    <w:p>
      <w:pPr>
        <w:spacing w:after="200" w:before="0" w:line="360" w:lineRule="auto"/>
        <w:ind w:firstLine="720"/>
        <w:jc w:val="both"/>
      </w:pPr>
      <w:r>
        <w:rPr>
          <w:rFonts w:ascii="Times New Roman" w:cs="Times New Roman" w:eastAsia="Times New Roman" w:hAnsi="Times New Roman"/>
          <w:sz w:val="24"/>
          <w:szCs w:val="24"/>
        </w:rPr>
        <w:t xml:space="preserve">The second structural factor is the policy’s reliance on social model language without condition-specific operational guidance. The policy frames SEN through a barrier-removal approach, emphasising that “all children will follow the same curriculum regardless of any disability” and that teaching should be “well differentiated to meet the needs of all” (Ministry of Education Guyana, 2010, p. 19). For mainstream settings, it offers no specificity on what differentiated teaching looks like for learners with hearing impairments, intellectual disabilities, or autism spectrum disorder, nor what assistive technologies or environmental adaptations are required.</w:t>
      </w:r>
    </w:p>
    <w:p>
      <w:pPr>
        <w:spacing w:after="200" w:before="0" w:line="360" w:lineRule="auto"/>
        <w:ind w:firstLine="720"/>
        <w:jc w:val="both"/>
      </w:pPr>
      <w:r>
        <w:rPr>
          <w:rFonts w:ascii="Times New Roman" w:cs="Times New Roman" w:eastAsia="Times New Roman" w:hAnsi="Times New Roman"/>
          <w:sz w:val="24"/>
          <w:szCs w:val="24"/>
        </w:rPr>
        <w:t xml:space="preserve">Lashley’s (2024) ethnographic research in Guyanese schools provides a critical empirical counterpoint to this finding. His evidence suggests that the system’s actual operation does not even achieve the social model orientation the policy text articulates. Despite the policy’s barrier-removal language, classroom practice continues to reflect medical model assumptions in which disability is treated as an individual deficit rather than a systemic challenge (Lashley, 2024). Lashley (2023) documents children with SEND experiencing marginalisation and depersonalisation in mainstream settings, told in effect to “stay in your lane.” This evidence complicates the analysis: the gap is not only between social model policy language and operational specificity, but between social model language and medical model practice. Norwich (2016) would characterise this as a predictable consequence of policy that adopts social model rhetoric without embedding the biopsychosocial mechanisms (individualised assessment, differentiated planning, and condition-aware pedagogy) that translate inclusive commitments into differentiated responses.</w:t>
      </w:r>
    </w:p>
    <w:p>
      <w:pPr>
        <w:spacing w:after="200" w:before="0" w:line="360" w:lineRule="auto"/>
        <w:ind w:firstLine="720"/>
        <w:jc w:val="both"/>
      </w:pPr>
      <w:r>
        <w:rPr>
          <w:rFonts w:ascii="Times New Roman" w:cs="Times New Roman" w:eastAsia="Times New Roman" w:hAnsi="Times New Roman"/>
          <w:sz w:val="24"/>
          <w:szCs w:val="24"/>
        </w:rPr>
        <w:t xml:space="preserve">The IEP provision illustrates this pattern. The requirement that all students with a special need must have an IEP is stated (Ministry of Education Guyana, 2010, p. 24), but the policy defines neither the content of an IEP, the professional competencies required to develop one, nor the review cycle that would ensure its continued relevance. The provision exists as a structural requirement without an operational specification.</w:t>
      </w:r>
    </w:p>
    <w:p>
      <w:pPr>
        <w:pStyle w:val="Heading3"/>
        <w:spacing w:after="120" w:before="240"/>
        <w:jc w:val="left"/>
      </w:pPr>
      <w:r>
        <w:rPr>
          <w:rFonts w:ascii="Times New Roman" w:cs="Times New Roman" w:eastAsia="Times New Roman" w:hAnsi="Times New Roman"/>
          <w:b/>
          <w:bCs/>
          <w:i/>
          <w:iCs/>
          <w:sz w:val="24"/>
          <w:szCs w:val="24"/>
        </w:rPr>
        <w:t xml:space="preserve">4.4.3 Professional Development: Progress and Persistent Limitations</w:t>
      </w:r>
    </w:p>
    <w:p>
      <w:pPr>
        <w:spacing w:after="200" w:before="0" w:line="360" w:lineRule="auto"/>
        <w:ind w:firstLine="720"/>
        <w:jc w:val="both"/>
      </w:pPr>
      <w:r>
        <w:rPr>
          <w:rFonts w:ascii="Times New Roman" w:cs="Times New Roman" w:eastAsia="Times New Roman" w:hAnsi="Times New Roman"/>
          <w:sz w:val="24"/>
          <w:szCs w:val="24"/>
        </w:rPr>
        <w:t xml:space="preserve">The third structural factor concerns teacher preparation. The policy specifies thirteen training provisions (Ministry of Education Guyana, 2010, pp. 22–24), but none define content standards, competency thresholds, or evaluation mechanisms. Without these specifications, the quality of professional development remains a matter of institutional discretion, producing the variability that Avramidis and Norwich (2002) identify as characteristic of insufficiently specified systems.</w:t>
      </w:r>
    </w:p>
    <w:p>
      <w:pPr>
        <w:spacing w:after="200" w:before="0" w:line="360" w:lineRule="auto"/>
        <w:ind w:firstLine="720"/>
        <w:jc w:val="both"/>
      </w:pPr>
      <w:r>
        <w:rPr>
          <w:rFonts w:ascii="Times New Roman" w:cs="Times New Roman" w:eastAsia="Times New Roman" w:hAnsi="Times New Roman"/>
          <w:sz w:val="24"/>
          <w:szCs w:val="24"/>
        </w:rPr>
        <w:t xml:space="preserve">Counter-evidence must be acknowledged. The CPCE SEND programme, the graduation of 51 teachers with SEND qualifications, and the University of Guyana’s approval for programme continuation represent concrete institutional momentum. Cheong et al. (2019) note that the CPCE had introduced a compulsory special education module for all pre-service teachers as early as 2004, suggesting a longer trajectory of capacity building than the unadopted policy alone would indicate. These developments are significant. They do not, however, resolve the structural limitation: the training occurs without nationally defined competency standards against which its adequacy can be measured. Whether the 51 graduates possess the skills to support learners across the range of disabilities encountered in Guyanese schools is a question the current system has no mechanism to answer.</w:t>
      </w:r>
    </w:p>
    <w:p>
      <w:pPr>
        <w:pStyle w:val="Heading3"/>
        <w:spacing w:after="120" w:before="240"/>
        <w:jc w:val="left"/>
      </w:pPr>
      <w:r>
        <w:rPr>
          <w:rFonts w:ascii="Times New Roman" w:cs="Times New Roman" w:eastAsia="Times New Roman" w:hAnsi="Times New Roman"/>
          <w:b/>
          <w:bCs/>
          <w:i/>
          <w:iCs/>
          <w:sz w:val="24"/>
          <w:szCs w:val="24"/>
        </w:rPr>
        <w:t xml:space="preserve">4.4.4 The Absence of Monitoring and Accountability Systems</w:t>
      </w:r>
    </w:p>
    <w:p>
      <w:pPr>
        <w:spacing w:after="200" w:before="0" w:line="360" w:lineRule="auto"/>
        <w:ind w:firstLine="720"/>
        <w:jc w:val="both"/>
      </w:pPr>
      <w:r>
        <w:rPr>
          <w:rFonts w:ascii="Times New Roman" w:cs="Times New Roman" w:eastAsia="Times New Roman" w:hAnsi="Times New Roman"/>
          <w:sz w:val="24"/>
          <w:szCs w:val="24"/>
        </w:rPr>
        <w:t xml:space="preserve">The fourth structural factor is the absence of a functioning monitoring framework. The policy specifies that the Ministry should develop a monitoring system with “clear targets in terms of dates and achievements” and that goals should be “reviewed every six months” (Ministry of Education Guyana, 2010, p. 20). These provisions demonstrate awareness of the need for systematic accountability. What the policy does not specify is what indicators would measure progress, what data collection systems would generate those indicators, or what institutional body would be responsible for conducting and publishing reviews. Abdul-Hamid (2014) argues that effective education monitoring requires a functioning Education Management Information System capable of collecting, analysing, and reporting disaggregated data on learner enrolment, participation, and outcomes. No documentary evidence was identified in the corpus to suggest that such a system is in operation for SEND provision in Guyana. Without it, the policy-practice gap cannot be reliably measured, attributed, or corrected.</w:t>
      </w:r>
    </w:p>
    <w:p>
      <w:pPr>
        <w:pStyle w:val="Heading3"/>
        <w:spacing w:after="120" w:before="240"/>
        <w:jc w:val="left"/>
      </w:pPr>
      <w:r>
        <w:rPr>
          <w:rFonts w:ascii="Times New Roman" w:cs="Times New Roman" w:eastAsia="Times New Roman" w:hAnsi="Times New Roman"/>
          <w:b/>
          <w:bCs/>
          <w:i/>
          <w:iCs/>
          <w:sz w:val="24"/>
          <w:szCs w:val="24"/>
        </w:rPr>
        <w:t xml:space="preserve">4.4.5 Governance Incoherence and Implementation Dynamics</w:t>
      </w:r>
    </w:p>
    <w:p>
      <w:pPr>
        <w:spacing w:after="200" w:before="0" w:line="360" w:lineRule="auto"/>
        <w:ind w:firstLine="720"/>
        <w:jc w:val="both"/>
      </w:pPr>
      <w:r>
        <w:rPr>
          <w:rFonts w:ascii="Times New Roman" w:cs="Times New Roman" w:eastAsia="Times New Roman" w:hAnsi="Times New Roman"/>
          <w:sz w:val="24"/>
          <w:szCs w:val="24"/>
        </w:rPr>
        <w:t xml:space="preserve">The fifth structural factor is the incoherence between the Education Strategic Plan 2021–2025 and the unresolved Draft Policy. The strategic plan positions inclusive education as a national priority (Ministry of Education Guyana, 2021), but it does so without the finalised operational policy that would coordinate implementation across regions, schools, and training institutions. Strategic ambition has advanced beyond the policy infrastructure required to give it effect.</w:t>
      </w:r>
    </w:p>
    <w:p>
      <w:pPr>
        <w:spacing w:after="200" w:before="0" w:line="360" w:lineRule="auto"/>
        <w:ind w:firstLine="720"/>
        <w:jc w:val="both"/>
      </w:pPr>
      <w:r>
        <w:rPr>
          <w:rFonts w:ascii="Times New Roman" w:cs="Times New Roman" w:eastAsia="Times New Roman" w:hAnsi="Times New Roman"/>
          <w:sz w:val="24"/>
          <w:szCs w:val="24"/>
        </w:rPr>
        <w:t xml:space="preserve">Matland’s (1995) ambiguity-conflict model provides a framework for understanding the resulting implementation dynamics. The Draft Inclusion Policy is a case of high ambiguity and low conflict: the goals of inclusive education are broadly supported, but the means of achieving them are underspecified. Under these conditions, Matland predicts “experimental implementation”: localised, context-dependent responses shaped by the resources and dispositions of individual actors rather than by centralised direction. This is precisely the pattern the documentary evidence reveals: the 30 SEND spaces distributed unevenly across nine regions, the CPCE programme emerging from institutional initiative rather than policy mandate, the SEN officers operating within their own regional contexts without a coordinating framework. The result is not the absence of implementation but the absence of coordinated implementation.</w:t>
      </w:r>
    </w:p>
    <w:p>
      <w:pPr>
        <w:spacing w:after="200" w:before="0" w:line="360" w:lineRule="auto"/>
        <w:ind w:firstLine="720"/>
        <w:jc w:val="both"/>
      </w:pPr>
      <w:r>
        <w:rPr>
          <w:rFonts w:ascii="Times New Roman" w:cs="Times New Roman" w:eastAsia="Times New Roman" w:hAnsi="Times New Roman"/>
          <w:sz w:val="24"/>
          <w:szCs w:val="24"/>
        </w:rPr>
        <w:t xml:space="preserve">In summary, the five structural factors identified (the unadopted policy status, the gap between policy language and operational guidance, the limitations of professional development, the absence of monitoring systems, and governance incoherence) interact to produce a pattern of partial and uneven institutionalisation rather than simple implementation failure. Recent developments, particularly in teacher preparation and SEND provision, demonstrate that the system is in transition. The structural constraints, however, mean that this transition is occurring through bottom-up practitioner initiative rather than coordinated institutional reform, producing the fragmented progress that the documentary evidence consistently documents.</w:t>
      </w:r>
    </w:p>
    <w:p>
      <w:pPr>
        <w:pStyle w:val="Heading2"/>
        <w:spacing w:after="160" w:before="360"/>
        <w:jc w:val="left"/>
      </w:pPr>
      <w:r>
        <w:rPr>
          <w:rFonts w:ascii="Times New Roman" w:cs="Times New Roman" w:eastAsia="Times New Roman" w:hAnsi="Times New Roman"/>
          <w:b/>
          <w:bCs/>
          <w:sz w:val="24"/>
          <w:szCs w:val="24"/>
        </w:rPr>
        <w:t xml:space="preserve">4.5 Evaluation of the Working Hypotheses</w:t>
      </w:r>
    </w:p>
    <w:p>
      <w:pPr>
        <w:spacing w:after="200" w:before="0" w:line="360" w:lineRule="auto"/>
        <w:ind w:firstLine="720"/>
        <w:jc w:val="both"/>
      </w:pPr>
      <w:r>
        <w:rPr>
          <w:rFonts w:ascii="Times New Roman" w:cs="Times New Roman" w:eastAsia="Times New Roman" w:hAnsi="Times New Roman"/>
          <w:sz w:val="24"/>
          <w:szCs w:val="24"/>
        </w:rPr>
        <w:t xml:space="preserve">This section evaluates each working proposition against the evidence developed through the document analysis. Consistent with the study’s qualitative methodology (Lincoln and Guba, 1985; Shields, Rangarajan and Casula, 2019), the evaluation reports how the documentary evidence supported, refined, or complicated each proposition rather than assigning categorical verdicts.</w:t>
      </w:r>
    </w:p>
    <w:p>
      <w:pPr>
        <w:spacing w:after="200" w:before="0" w:line="360" w:lineRule="auto"/>
        <w:ind w:firstLine="720"/>
        <w:jc w:val="both"/>
      </w:pPr>
      <w:r>
        <w:rPr>
          <w:rFonts w:ascii="Times New Roman" w:cs="Times New Roman" w:eastAsia="Times New Roman" w:hAnsi="Times New Roman"/>
          <w:b/>
          <w:bCs/>
          <w:sz w:val="24"/>
          <w:szCs w:val="24"/>
        </w:rPr>
        <w:t xml:space="preserve">Central Working Proposition: supported in its core claim but requiring recharacterisation. </w:t>
      </w:r>
      <w:r>
        <w:rPr>
          <w:rFonts w:ascii="Times New Roman" w:cs="Times New Roman" w:eastAsia="Times New Roman" w:hAnsi="Times New Roman"/>
          <w:sz w:val="24"/>
          <w:szCs w:val="24"/>
        </w:rPr>
        <w:t xml:space="preserve">The central proposition held that the Draft Inclusion Policy’s conceptual alignment with international frameworks coexists with significant structural limitations arising from its unadopted status, institutional capacity constraints, and the absence of disability-specific operational guidance. The evidence supports this core claim. However, two dimensions require recharacterisation. First, the alignment finding is more qualified than the proposition anticipated: alignment is strong at the level of values and rights-based commitment but weakens progressively at the level of institutional design and is absent at the level of operational concepts central to contemporary international standards (Section 4.2). Second, the policy-practice gap is better characterised as partial and uneven institutionalisation than as persistent failure. Recent developments in teacher preparation and SEND provision demonstrate that the system is in active, if uncoordinated, transition. The gap is narrowing in areas driven by frontline practitioners while persisting in areas that require centralised institutional authority.</w:t>
      </w:r>
    </w:p>
    <w:p>
      <w:pPr>
        <w:spacing w:after="200" w:before="0" w:line="360" w:lineRule="auto"/>
        <w:ind w:firstLine="720"/>
        <w:jc w:val="both"/>
      </w:pPr>
      <w:r>
        <w:rPr>
          <w:rFonts w:ascii="Times New Roman" w:cs="Times New Roman" w:eastAsia="Times New Roman" w:hAnsi="Times New Roman"/>
          <w:b/>
          <w:bCs/>
          <w:sz w:val="24"/>
          <w:szCs w:val="24"/>
        </w:rPr>
        <w:t xml:space="preserve">Working Proposition 1: supported but requiring reframing. </w:t>
      </w:r>
      <w:r>
        <w:rPr>
          <w:rFonts w:ascii="Times New Roman" w:cs="Times New Roman" w:eastAsia="Times New Roman" w:hAnsi="Times New Roman"/>
          <w:sz w:val="24"/>
          <w:szCs w:val="24"/>
        </w:rPr>
        <w:t xml:space="preserve">This proposition held that the policy reflects core values of international frameworks but does not fully incorporate their operational requirements. The evidence supports this claim, but the analysis reveals that the alignment question is more complex than the proposition anticipated. The degree of alignment depends on which normative benchmark is applied: assessed against the Salamanca Statement (1994), the policy’s alignment is substantial; assessed against General Comment No. 4 (2016) and the UNESCO Global Education Monitoring Report (2020), significant operational gaps emerge, particularly the absence of reasonable accommodation and Universal Design for Learning. The proposition therefore requires reframing: rather than a fixed judgement of partial alignment, the finding is that the policy’s alignment reflects the normative standards of the era in which it was drafted and has not been updated to incorporate the operational requirements that have since become central to international inclusive education standards.</w:t>
      </w:r>
    </w:p>
    <w:p>
      <w:pPr>
        <w:spacing w:after="200" w:before="0" w:line="360" w:lineRule="auto"/>
        <w:ind w:firstLine="720"/>
        <w:jc w:val="both"/>
      </w:pPr>
      <w:r>
        <w:rPr>
          <w:rFonts w:ascii="Times New Roman" w:cs="Times New Roman" w:eastAsia="Times New Roman" w:hAnsi="Times New Roman"/>
          <w:b/>
          <w:bCs/>
          <w:sz w:val="24"/>
          <w:szCs w:val="24"/>
        </w:rPr>
        <w:t xml:space="preserve">Working Proposition 2: substantially supported with significant qualifications. </w:t>
      </w:r>
      <w:r>
        <w:rPr>
          <w:rFonts w:ascii="Times New Roman" w:cs="Times New Roman" w:eastAsia="Times New Roman" w:hAnsi="Times New Roman"/>
          <w:sz w:val="24"/>
          <w:szCs w:val="24"/>
        </w:rPr>
        <w:t xml:space="preserve">This proposition held that institutional mechanisms are present but insufficiently resourced, inconsistently distributed, and inadequately monitored. The evidence substantially supports this characterisation, but with two qualifications. First, the degree of operationalisation is greater than the proposition anticipated, particularly in teacher preparation: the graduation of 51 teachers with SEND qualifications (October 2024), the launch of the CPCE SEND programme (January 2025), and the establishment of 30 SEND spaces across nine regions (reported 2025) represent concrete institutional progress. Second, Lipsky’s (2010) framework reveals that the implementation pattern is not simply a deficit to be corrected but a predictable consequence of absent centralised policy: frontline practitioners have become the de facto policymakers, producing localised progress that is real but fragmented. The proposition’s characterisation of mechanisms as “inadequately monitored” is fully confirmed: no documentary evidence was identified in the corpus of systematic monitoring, indicator development, or accountability reporting for SEND provision.</w:t>
      </w:r>
    </w:p>
    <w:p>
      <w:pPr>
        <w:spacing w:after="200" w:before="0" w:line="360" w:lineRule="auto"/>
        <w:ind w:firstLine="720"/>
        <w:jc w:val="both"/>
      </w:pPr>
      <w:r>
        <w:rPr>
          <w:rFonts w:ascii="Times New Roman" w:cs="Times New Roman" w:eastAsia="Times New Roman" w:hAnsi="Times New Roman"/>
          <w:b/>
          <w:bCs/>
          <w:sz w:val="24"/>
          <w:szCs w:val="24"/>
        </w:rPr>
        <w:t xml:space="preserve">Working Proposition 3: supported and extended. </w:t>
      </w:r>
      <w:r>
        <w:rPr>
          <w:rFonts w:ascii="Times New Roman" w:cs="Times New Roman" w:eastAsia="Times New Roman" w:hAnsi="Times New Roman"/>
          <w:sz w:val="24"/>
          <w:szCs w:val="24"/>
        </w:rPr>
        <w:t xml:space="preserve">This proposition identified four structural constraints: the unadopted policy status, the absence of disability-specific frameworks, insufficiency of sustained professional development, and lack of monitoring and accountability. The evidence supports all four, but the analysis extends the proposition in three respects. First, a fifth structural factor was identified: governance incoherence between the Education Strategic Plan 2021–2025 and the Draft Policy (Section 4.4.5). Second, the relationship between enacted legislation (Persons with Disabilities Act 2010) and unadopted policy complicates the “draft status” factor: the structural constraint is not the absence of legal authority but the absence of the operational bridge between legislation and classroom practice. Third, Lashley’s (2024) ethnographic evidence reveals that the gap between policy language and practice is not only an operational deficit but a conceptual one: the system operates on medical model assumptions despite social model policy language. These extensions do not contradict the original proposition but deepen and complicate it.</w:t>
      </w:r>
    </w:p>
    <w:p>
      <w:pPr>
        <w:pStyle w:val="Heading2"/>
        <w:spacing w:after="160" w:before="360"/>
        <w:jc w:val="left"/>
      </w:pPr>
      <w:r>
        <w:rPr>
          <w:rFonts w:ascii="Times New Roman" w:cs="Times New Roman" w:eastAsia="Times New Roman" w:hAnsi="Times New Roman"/>
          <w:b/>
          <w:bCs/>
          <w:sz w:val="24"/>
          <w:szCs w:val="24"/>
        </w:rPr>
        <w:t xml:space="preserve">4.6 Summary of Findings</w:t>
      </w:r>
    </w:p>
    <w:p>
      <w:pPr>
        <w:spacing w:after="200" w:before="0" w:line="360" w:lineRule="auto"/>
        <w:ind w:firstLine="720"/>
        <w:jc w:val="both"/>
      </w:pPr>
      <w:r>
        <w:rPr>
          <w:rFonts w:ascii="Times New Roman" w:cs="Times New Roman" w:eastAsia="Times New Roman" w:hAnsi="Times New Roman"/>
          <w:sz w:val="24"/>
          <w:szCs w:val="24"/>
        </w:rPr>
        <w:t xml:space="preserve">The findings presented in this chapter reveal inclusive education in Guyana as a system characterised by partial and uneven institutionalisation rather than simple policy failure. The Draft Inclusion Policy demonstrates substantial alignment with international frameworks at the level of values and rights-based commitment, though this alignment weakens at the level of operational specificity and does not extend to the contemporary requirements articulated in General Comment No. 4 and the UNESCO Global Education Monitoring Report. Institutional mechanisms for inclusive education do exist, and several have been partially operationalised, in some cases more substantially than the policy’s unadopted status would predict, but the mechanisms that require centralised coordination and formal institutional authority remain largely unrealised. Five structural factors interact to produce and sustain this pattern: the unadopted status of the policy alongside binding but operationally unguided legislation; the gap between social model policy language and both operational specificity and medical model classroom practice; the limitations of professional development despite recent institutional momentum; the absence of monitoring and accountability systems; and governance incoherence between strategic ambition and operational policy capacity. The overall picture is one of a system in active but uncoordinated transition, driven by bottom-up practitioner initiative rather than centralised institutional reform. These findings, and the refined working propositions they have generated, are synthesised in Chapter 5.</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CHAPTER 5: SUMMARY, CONCLUSION AND RECOMMENDATIONS</w:t>
      </w:r>
    </w:p>
    <w:p>
      <w:pPr>
        <w:pStyle w:val="Heading2"/>
        <w:spacing w:after="160" w:before="360"/>
        <w:jc w:val="left"/>
      </w:pPr>
      <w:r>
        <w:rPr>
          <w:rFonts w:ascii="Times New Roman" w:cs="Times New Roman" w:eastAsia="Times New Roman" w:hAnsi="Times New Roman"/>
          <w:b/>
          <w:bCs/>
          <w:sz w:val="24"/>
          <w:szCs w:val="24"/>
        </w:rPr>
        <w:t xml:space="preserve">5.1 Introduction</w:t>
      </w:r>
    </w:p>
    <w:p>
      <w:pPr>
        <w:spacing w:after="200" w:before="0" w:line="360" w:lineRule="auto"/>
        <w:ind w:firstLine="720"/>
        <w:jc w:val="both"/>
      </w:pPr>
      <w:r>
        <w:rPr>
          <w:rFonts w:ascii="Times New Roman" w:cs="Times New Roman" w:eastAsia="Times New Roman" w:hAnsi="Times New Roman"/>
          <w:sz w:val="24"/>
          <w:szCs w:val="24"/>
        </w:rPr>
        <w:t xml:space="preserve">This chapter synthesises the findings of the study and presents its principal conclusions, recommendations, limitations, and suggestions for further research. It revisits the study’s aims and research questions in light of the evidence developed through the document analysis and sets out the implications for policy, practice, and future scholarship.</w:t>
      </w:r>
    </w:p>
    <w:p>
      <w:pPr>
        <w:pStyle w:val="Heading2"/>
        <w:spacing w:after="160" w:before="360"/>
        <w:jc w:val="left"/>
      </w:pPr>
      <w:r>
        <w:rPr>
          <w:rFonts w:ascii="Times New Roman" w:cs="Times New Roman" w:eastAsia="Times New Roman" w:hAnsi="Times New Roman"/>
          <w:b/>
          <w:bCs/>
          <w:sz w:val="24"/>
          <w:szCs w:val="24"/>
        </w:rPr>
        <w:t xml:space="preserve">5.2 Summary of the Study</w:t>
      </w:r>
    </w:p>
    <w:p>
      <w:pPr>
        <w:spacing w:after="200" w:before="0" w:line="360" w:lineRule="auto"/>
        <w:ind w:firstLine="720"/>
        <w:jc w:val="both"/>
      </w:pPr>
      <w:r>
        <w:rPr>
          <w:rFonts w:ascii="Times New Roman" w:cs="Times New Roman" w:eastAsia="Times New Roman" w:hAnsi="Times New Roman"/>
          <w:sz w:val="24"/>
          <w:szCs w:val="24"/>
        </w:rPr>
        <w:t xml:space="preserve">This dissertation conducted a critical desktop analysis of the Draft Inclusion Policy for Special Educational Needs (Ministry of Education Guyana, 2010), evaluating its effectiveness as a framework for inclusive education and identifying the structural conditions that mediate the gap between policy intention and implementation practice. The study was motivated by the recognition that Guyana’s inclusive education landscape combines normative commitment with significant structural incompleteness, and by the documented reality that, as the policy itself acknowledged, “a high proportion of children with Special Needs are not exposed to any form of education” (Ministry of Education Guyana, 2010, Foreword).</w:t>
      </w:r>
    </w:p>
    <w:p>
      <w:pPr>
        <w:spacing w:after="200" w:before="0" w:line="360" w:lineRule="auto"/>
        <w:ind w:firstLine="720"/>
        <w:jc w:val="both"/>
      </w:pPr>
      <w:r>
        <w:rPr>
          <w:rFonts w:ascii="Times New Roman" w:cs="Times New Roman" w:eastAsia="Times New Roman" w:hAnsi="Times New Roman"/>
          <w:sz w:val="24"/>
          <w:szCs w:val="24"/>
        </w:rPr>
        <w:t xml:space="preserve">Chapter 1 established the study’s background, problem statement, aims, objectives, four research questions, and four working propositions. Chapter 2 reviewed the theoretical frameworks of the medical, social, and biopsychosocial models of disability, articulated a three-part conceptual framework (policy design, institutional capacity, implementation outcomes), and reviewed empirical literature on teacher preparedness, policy implementation, and inclusive education in developing and Caribbean contexts, drawing on Guyana-specific research including Lashley (2023; 2024) and Cheong et al. (2019). The theoretical framework integrated Matland’s (1995) ambiguity-conflict model and Lipsky’s (2010) street-level bureaucracy alongside the established implementation theories. Chapter 3 justified the qualitative, desktop methodology and detailed the structured document analysis framework.</w:t>
      </w:r>
    </w:p>
    <w:p>
      <w:pPr>
        <w:spacing w:after="200" w:before="0" w:line="360" w:lineRule="auto"/>
        <w:ind w:firstLine="720"/>
        <w:jc w:val="both"/>
      </w:pPr>
      <w:r>
        <w:rPr>
          <w:rFonts w:ascii="Times New Roman" w:cs="Times New Roman" w:eastAsia="Times New Roman" w:hAnsi="Times New Roman"/>
          <w:sz w:val="24"/>
          <w:szCs w:val="24"/>
        </w:rPr>
        <w:t xml:space="preserve">Chapter 4 addressed each research question through close textual analysis of the primary documents. A structured comparison (Table 4.01) evaluated policy alignment with international frameworks across seven dimensions. An operationalisation matrix (Table 4.02) mapped eight policy-specified institutional mechanisms against documentary evidence of their implementation. The analysis engaged with counter-evidence, including recent institutional developments in teacher preparation and SEND provision, and applied Lipsky’s framework to explain the bottom-up implementation pattern. The four working propositions were evaluated through iterative engagement with the evidence, yielding nuanced refinements rather than categorical verdicts.</w:t>
      </w:r>
    </w:p>
    <w:p>
      <w:pPr>
        <w:spacing w:after="200" w:before="0" w:line="360" w:lineRule="auto"/>
        <w:ind w:firstLine="720"/>
        <w:jc w:val="both"/>
      </w:pPr>
      <w:r>
        <w:rPr>
          <w:rFonts w:ascii="Times New Roman" w:cs="Times New Roman" w:eastAsia="Times New Roman" w:hAnsi="Times New Roman"/>
          <w:sz w:val="24"/>
          <w:szCs w:val="24"/>
        </w:rPr>
        <w:t xml:space="preserve">The analysis yielded four broad findings. First, the Draft Inclusion Policy reflects the principles of international frameworks at the level of values and rights-based commitment, but this alignment weakens at the level of operational specificity and does not extend to the contemporary requirements of General Comment No. 4 (Committee on the Rights of Persons with Disabilities, 2016). Second, institutional mechanisms have been partially operationalised, more substantially than the policy’s draft status would predict, but the mechanisms requiring centralised coordination and monitoring remain largely unrealised. Third, five structural factors interact to produce a pattern of partial and uneven institutionalisation. Fourth, the documentary record suggests that the system is in active but uncoordinated transition, driven by bottom-up practitioner initiative rather than centralised institutional reform.</w:t>
      </w:r>
    </w:p>
    <w:p>
      <w:pPr>
        <w:pStyle w:val="Heading2"/>
        <w:spacing w:after="160" w:before="360"/>
        <w:jc w:val="left"/>
      </w:pPr>
      <w:r>
        <w:rPr>
          <w:rFonts w:ascii="Times New Roman" w:cs="Times New Roman" w:eastAsia="Times New Roman" w:hAnsi="Times New Roman"/>
          <w:b/>
          <w:bCs/>
          <w:sz w:val="24"/>
          <w:szCs w:val="24"/>
        </w:rPr>
        <w:t xml:space="preserve">5.3 Conclusions</w:t>
      </w:r>
    </w:p>
    <w:p>
      <w:pPr>
        <w:spacing w:after="200" w:before="0" w:line="360" w:lineRule="auto"/>
        <w:ind w:firstLine="720"/>
        <w:jc w:val="both"/>
      </w:pPr>
      <w:r>
        <w:rPr>
          <w:rFonts w:ascii="Times New Roman" w:cs="Times New Roman" w:eastAsia="Times New Roman" w:hAnsi="Times New Roman"/>
          <w:sz w:val="24"/>
          <w:szCs w:val="24"/>
        </w:rPr>
        <w:t xml:space="preserve">The study leads to six principal conclusions.</w:t>
      </w:r>
    </w:p>
    <w:p>
      <w:pPr>
        <w:spacing w:after="200" w:before="0" w:line="360" w:lineRule="auto"/>
        <w:ind w:firstLine="720"/>
        <w:jc w:val="both"/>
      </w:pPr>
      <w:r>
        <w:rPr>
          <w:rFonts w:ascii="Times New Roman" w:cs="Times New Roman" w:eastAsia="Times New Roman" w:hAnsi="Times New Roman"/>
          <w:sz w:val="24"/>
          <w:szCs w:val="24"/>
        </w:rPr>
        <w:t xml:space="preserve">First, the Draft Inclusion Policy is a document of genuine merit whose alignment with international frameworks must be assessed with historical specificity. Its rights-based language, its endorsement of the Salamanca Statement, and its detailed institutional provisions represent real achievements. However, the normative standard for evaluating inclusive education policy has evolved significantly since the policy’s drafting in 2010. Assessed against the Salamanca Statement (1994), alignment is substantial; assessed against General Comment No. 4 (2016) and the UNESCO Global Education Monitoring Report (2020), significant operational gaps emerge, notably the absence of reasonable accommodation and Universal Design for Learning. The degree of alignment is not a fixed judgement but depends on which normative benchmark is applied.</w:t>
      </w:r>
    </w:p>
    <w:p>
      <w:pPr>
        <w:spacing w:after="200" w:before="0" w:line="360" w:lineRule="auto"/>
        <w:ind w:firstLine="720"/>
        <w:jc w:val="both"/>
      </w:pPr>
      <w:r>
        <w:rPr>
          <w:rFonts w:ascii="Times New Roman" w:cs="Times New Roman" w:eastAsia="Times New Roman" w:hAnsi="Times New Roman"/>
          <w:sz w:val="24"/>
          <w:szCs w:val="24"/>
        </w:rPr>
        <w:t xml:space="preserve">Second, the policy’s enduring status as an unadopted draft remains the most visible structural limitation, but the governance picture is more complex than this finding alone suggests. The Persons with Disabilities Act 2010 creates binding legal obligations for inclusive education, and the Education Bill 2014 specifies assessment procedures and institutional structures. Legislative mandates for inclusive education thus exist without the operational policy that would translate them into coordinated classroom practice. The structural constraint is not the absence of legal authority but the absence of the operational bridge between enacted legislation and implementation.</w:t>
      </w:r>
    </w:p>
    <w:p>
      <w:pPr>
        <w:spacing w:after="200" w:before="0" w:line="360" w:lineRule="auto"/>
        <w:ind w:firstLine="720"/>
        <w:jc w:val="both"/>
      </w:pPr>
      <w:r>
        <w:rPr>
          <w:rFonts w:ascii="Times New Roman" w:cs="Times New Roman" w:eastAsia="Times New Roman" w:hAnsi="Times New Roman"/>
          <w:sz w:val="24"/>
          <w:szCs w:val="24"/>
        </w:rPr>
        <w:t xml:space="preserve">Third, the policy’s conceptual orientation is primarily anchored in social model thinking, producing broad commitments without the condition-specific operational guidance that learners with different disabilities require. Lashley’s (2024) ethnographic evidence suggests that this gap is not only operational but conceptual: classroom practice continues to reflect medical model assumptions despite social model policy language. The directive that teaching should be “well differentiated to meet the needs of all” (Ministry of Education Guyana, 2010, p. 19) is a principle, not operational guidance.</w:t>
      </w:r>
    </w:p>
    <w:p>
      <w:pPr>
        <w:spacing w:after="200" w:before="0" w:line="360" w:lineRule="auto"/>
        <w:ind w:firstLine="720"/>
        <w:jc w:val="both"/>
      </w:pPr>
      <w:r>
        <w:rPr>
          <w:rFonts w:ascii="Times New Roman" w:cs="Times New Roman" w:eastAsia="Times New Roman" w:hAnsi="Times New Roman"/>
          <w:sz w:val="24"/>
          <w:szCs w:val="24"/>
        </w:rPr>
        <w:t xml:space="preserve">Fourth, the institutional mechanisms that have been established appear more substantial than the policy’s draft status alone would predict. The documentary record shows the graduation of 51 teachers with SEND qualifications (October 2024), the establishment of 30 SEND spaces across nine regions (reported 2025), and the formal launch of the CPCE SEND programme (January 2025). Lipsky’s (2010) framework characterises this pattern as predictable: in the absence of centralised policy, frontline practitioners become the de facto policymakers, producing localised progress that is real but fragmented. The policy’s own observation that “much of the good work is done in isolation” (Ministry of Education Guyana, 2010, p. 13) captures this condition.</w:t>
      </w:r>
    </w:p>
    <w:p>
      <w:pPr>
        <w:spacing w:after="200" w:before="0" w:line="360" w:lineRule="auto"/>
        <w:ind w:firstLine="720"/>
        <w:jc w:val="both"/>
      </w:pPr>
      <w:r>
        <w:rPr>
          <w:rFonts w:ascii="Times New Roman" w:cs="Times New Roman" w:eastAsia="Times New Roman" w:hAnsi="Times New Roman"/>
          <w:sz w:val="24"/>
          <w:szCs w:val="24"/>
        </w:rPr>
        <w:t xml:space="preserve">Fifth, the incoherence between the Education Strategic Plan 2021–2025 and the unresolved Draft Policy creates a structural gap between strategic ambition and operational capacity. Matland’s (1995) ambiguity-conflict model characterises this as a case of experimental implementation: localised, context-dependent responses shaped by the resources of individual actors rather than centralised direction.</w:t>
      </w:r>
    </w:p>
    <w:p>
      <w:pPr>
        <w:spacing w:after="200" w:before="0" w:line="360" w:lineRule="auto"/>
        <w:ind w:firstLine="720"/>
        <w:jc w:val="both"/>
      </w:pPr>
      <w:r>
        <w:rPr>
          <w:rFonts w:ascii="Times New Roman" w:cs="Times New Roman" w:eastAsia="Times New Roman" w:hAnsi="Times New Roman"/>
          <w:sz w:val="24"/>
          <w:szCs w:val="24"/>
        </w:rPr>
        <w:t xml:space="preserve">Sixth, inclusive education in Guyana requires coordinated institutional reform that builds upon the existing bottom-up momentum rather than treating the system as starting from zero. The conceptual foundations for a rights-based inclusive system are present. The challenge is their consolidation within a governance framework that is authoritative, specific, coherent, and responsive to the full diversity of learner needs.</w:t>
      </w:r>
    </w:p>
    <w:p>
      <w:pPr>
        <w:pStyle w:val="Heading2"/>
        <w:spacing w:after="160" w:before="360"/>
        <w:jc w:val="left"/>
      </w:pPr>
      <w:r>
        <w:rPr>
          <w:rFonts w:ascii="Times New Roman" w:cs="Times New Roman" w:eastAsia="Times New Roman" w:hAnsi="Times New Roman"/>
          <w:b/>
          <w:bCs/>
          <w:sz w:val="24"/>
          <w:szCs w:val="24"/>
        </w:rPr>
        <w:t xml:space="preserve">5.4 Recommendations</w:t>
      </w:r>
    </w:p>
    <w:p>
      <w:pPr>
        <w:spacing w:after="200" w:before="0" w:line="360" w:lineRule="auto"/>
        <w:ind w:firstLine="720"/>
        <w:jc w:val="both"/>
      </w:pPr>
      <w:r>
        <w:rPr>
          <w:rFonts w:ascii="Times New Roman" w:cs="Times New Roman" w:eastAsia="Times New Roman" w:hAnsi="Times New Roman"/>
          <w:sz w:val="24"/>
          <w:szCs w:val="24"/>
        </w:rPr>
        <w:t xml:space="preserve">The following five recommendations flow directly from the findings and conclusions of this study. They are organised in order of priority, beginning with the foundational reform without which the others cannot be fully effective.</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1: Formal Adoption and Substantive Revision of the Draft Inclusion Policy. </w:t>
      </w:r>
      <w:r>
        <w:rPr>
          <w:rFonts w:ascii="Times New Roman" w:cs="Times New Roman" w:eastAsia="Times New Roman" w:hAnsi="Times New Roman"/>
          <w:sz w:val="24"/>
          <w:szCs w:val="24"/>
        </w:rPr>
        <w:t xml:space="preserve">The Ministry of Education should prioritise formal adoption, preceded by substantive revision through broad stakeholder consultation involving educators, disability advocates, parents, and learners. Given that the document has remained a draft since 2010 and missed its projected formalisation target of 2021, further delay would be difficult to defend in light of the documentary record. The revision should update the policy to reflect contemporary normative standards, including the requirements of General Comment No. 4, particularly reasonable accommodation and Universal Design for Learning, and should incorporate the lessons of fifteen years of informal, practitioner-driven implementation. Formal adoption provides the institutional authority without which the policy’s accountability provisions cannot function as binding obligations (Pressman and Wildavsky, 1973).</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2: Development of Disability-Specific Implementation Frameworks. </w:t>
      </w:r>
      <w:r>
        <w:rPr>
          <w:rFonts w:ascii="Times New Roman" w:cs="Times New Roman" w:eastAsia="Times New Roman" w:hAnsi="Times New Roman"/>
          <w:sz w:val="24"/>
          <w:szCs w:val="24"/>
        </w:rPr>
        <w:t xml:space="preserve">A formally adopted policy should be supplemented by disability-specific frameworks providing operational guidance for learners with sensory impairments, physical disabilities, intellectual disabilities, autism spectrum disorder, learning difficulties, and emotional and behavioural challenges (Mitchell, 2015). These frameworks should specify pedagogical strategies, environmental adaptations, communication supports, and assistive technologies, complementing the IEP process already envisaged by the policy (Ministry of Education Guyana, 2010, p. 24). They should address the gap Norwich (2016) identifies between broad social model commitments and the biopsychosocial standard of differentiated, condition-responsive provision.</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3: Strengthening Professional Development with Defined Competency Standards. </w:t>
      </w:r>
      <w:r>
        <w:rPr>
          <w:rFonts w:ascii="Times New Roman" w:cs="Times New Roman" w:eastAsia="Times New Roman" w:hAnsi="Times New Roman"/>
          <w:sz w:val="24"/>
          <w:szCs w:val="24"/>
        </w:rPr>
        <w:t xml:space="preserve">The CPCE SEND programme and the trained graduates already in classrooms represent a foundation upon which formal policy should build. Future professional development should define content standards, competency thresholds, and assessment mechanisms so that training quality can be measured rather than assumed. The programme should extend beyond initial preparation to provide structured in-service learning addressing both technical competencies and attitudinal dimensions of inclusive practice (Florian and Black-Hawkins, 2011). Particular attention should be given to practitioners in rural and hinterland regions, where Cheong et al. (2019) and Ajodhia-Andrews and Frankel (2010) document the most significant access barriers.</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4: Establishment of a Monitoring, Accountability, and Data Infrastructure. </w:t>
      </w:r>
      <w:r>
        <w:rPr>
          <w:rFonts w:ascii="Times New Roman" w:cs="Times New Roman" w:eastAsia="Times New Roman" w:hAnsi="Times New Roman"/>
          <w:sz w:val="24"/>
          <w:szCs w:val="24"/>
        </w:rPr>
        <w:t xml:space="preserve">The policy’s envisaged six-monthly review requirement and annual parliamentary reporting obligation (Ministry of Education Guyana, 2010, p. 20) should be operationalised through a monitoring framework informed by Abdul-Hamid’s (2014) EMIS principles. This requires a functioning Education Management Information System capable of collecting, analysing, and reporting disability-disaggregated data on learner enrolment, participation, and outcomes across all school types and regions. The framework should specify clear indicators of access, pedagogical quality, and learner progress, with accountability structures at central, regional, and school levels. The disability prevalence figure of 6.4% reported in the 2002 census is widely regarded as a significant undercount; international estimates place the figure closer to 13.6 per cent for Guyana, consistent with the WHO global estimate of approximately 15 per cent (World Bank, 2024). Reliable data infrastructure is a prerequisite for evidence-informed policy development and resource allocation, and without it the policy-practice gap cannot be reliably measured, attributed, or corrected.</w:t>
      </w:r>
    </w:p>
    <w:p>
      <w:pPr>
        <w:spacing w:after="200" w:before="0" w:line="360" w:lineRule="auto"/>
        <w:ind w:firstLine="720"/>
        <w:jc w:val="both"/>
      </w:pPr>
      <w:r>
        <w:rPr>
          <w:rFonts w:ascii="Times New Roman" w:cs="Times New Roman" w:eastAsia="Times New Roman" w:hAnsi="Times New Roman"/>
          <w:b/>
          <w:bCs/>
          <w:sz w:val="24"/>
          <w:szCs w:val="24"/>
        </w:rPr>
        <w:t xml:space="preserve">Recommendation 5: Formalisation of Multi-Sector Collaboration. </w:t>
      </w:r>
      <w:r>
        <w:rPr>
          <w:rFonts w:ascii="Times New Roman" w:cs="Times New Roman" w:eastAsia="Times New Roman" w:hAnsi="Times New Roman"/>
          <w:sz w:val="24"/>
          <w:szCs w:val="24"/>
        </w:rPr>
        <w:t xml:space="preserve">The policy’s vision of a multi-sector working group (Ministry of Education Guyana, 2010, p. 22) should be operationalised through formal inter-agency coordination mechanisms with defined mandates, resources, and reporting requirements. Partnerships with civil society organisations, including the GCOPD, should be resourced and integrated into the implementation structure to sustain advocacy and community engagement functions.</w:t>
      </w:r>
    </w:p>
    <w:p>
      <w:pPr>
        <w:pStyle w:val="Heading2"/>
        <w:spacing w:after="160" w:before="360"/>
        <w:jc w:val="left"/>
      </w:pPr>
      <w:r>
        <w:rPr>
          <w:rFonts w:ascii="Times New Roman" w:cs="Times New Roman" w:eastAsia="Times New Roman" w:hAnsi="Times New Roman"/>
          <w:b/>
          <w:bCs/>
          <w:sz w:val="24"/>
          <w:szCs w:val="24"/>
        </w:rPr>
        <w:t xml:space="preserve">5.5 Limitations of the Study</w:t>
      </w:r>
    </w:p>
    <w:p>
      <w:pPr>
        <w:spacing w:after="200" w:before="0" w:line="360" w:lineRule="auto"/>
        <w:ind w:firstLine="720"/>
        <w:jc w:val="both"/>
      </w:pPr>
      <w:r>
        <w:rPr>
          <w:rFonts w:ascii="Times New Roman" w:cs="Times New Roman" w:eastAsia="Times New Roman" w:hAnsi="Times New Roman"/>
          <w:sz w:val="24"/>
          <w:szCs w:val="24"/>
        </w:rPr>
        <w:t xml:space="preserve">This study is subject to several limitations. The most significant is inherent to the desktop methodology: documentary analysis cannot capture the perspectives, experiences, or classroom practices of practitioners and learners (Bowen, 2009). The views of teachers, SEN officers, parents, and students with disabilities are central to understanding how inclusive education policy is enacted in practice, and their absence confines the findings to what can be inferred from the documentary record.</w:t>
      </w:r>
    </w:p>
    <w:p>
      <w:pPr>
        <w:spacing w:after="200" w:before="0" w:line="360" w:lineRule="auto"/>
        <w:ind w:firstLine="720"/>
        <w:jc w:val="both"/>
      </w:pPr>
      <w:r>
        <w:rPr>
          <w:rFonts w:ascii="Times New Roman" w:cs="Times New Roman" w:eastAsia="Times New Roman" w:hAnsi="Times New Roman"/>
          <w:sz w:val="24"/>
          <w:szCs w:val="24"/>
        </w:rPr>
        <w:t xml:space="preserve">A second limitation concerns the completeness of that record. Publicly accessible Guyana-specific documentation on inclusive education is relatively limited, and some institutional developments may not be captured in available sources. Documentary absence should not be interpreted as institutional absence; the analysis can report only on what the corpus contains. A third limitation is that the study cannot assess the quality, consistency, or geographic reach of the institutional developments it documents. The CPCE SEND programme and the dedicated SEND spaces represent documented institutional commitments, but whether these translate into effective classroom practice, whether they reach learners in hinterland and remote regions, and whether they are sustained over time are questions the desktop methodology cannot answer. A fourth limitation concerns positionality: despite mitigation strategies, the researcher’s professional standpoint in the Caribbean educational context may shape analytical judgements in ways that are not fully transparent.</w:t>
      </w:r>
    </w:p>
    <w:p>
      <w:pPr>
        <w:pStyle w:val="Heading2"/>
        <w:spacing w:after="160" w:before="360"/>
        <w:jc w:val="left"/>
      </w:pPr>
      <w:r>
        <w:rPr>
          <w:rFonts w:ascii="Times New Roman" w:cs="Times New Roman" w:eastAsia="Times New Roman" w:hAnsi="Times New Roman"/>
          <w:b/>
          <w:bCs/>
          <w:sz w:val="24"/>
          <w:szCs w:val="24"/>
        </w:rPr>
        <w:t xml:space="preserve">5.6 Suggestions for Further Research</w:t>
      </w:r>
    </w:p>
    <w:p>
      <w:pPr>
        <w:spacing w:after="200" w:before="0" w:line="360" w:lineRule="auto"/>
        <w:ind w:firstLine="720"/>
        <w:jc w:val="both"/>
      </w:pPr>
      <w:r>
        <w:rPr>
          <w:rFonts w:ascii="Times New Roman" w:cs="Times New Roman" w:eastAsia="Times New Roman" w:hAnsi="Times New Roman"/>
          <w:sz w:val="24"/>
          <w:szCs w:val="24"/>
        </w:rPr>
        <w:t xml:space="preserve">The findings point to several directions for future research. First, qualitative studies employing interviews and school-based observation with teachers, SEN officers, and learners would deepen understanding of how inclusive education policy is enacted in Guyanese classrooms, providing the practitioner and learner perspectives this study cannot capture. Second, research examining the educational outcomes of learners with disabilities in Guyana would provide essential evidence for evaluating the impact of existing provision.</w:t>
      </w:r>
    </w:p>
    <w:p>
      <w:pPr>
        <w:spacing w:after="200" w:before="0" w:line="360" w:lineRule="auto"/>
        <w:ind w:firstLine="720"/>
        <w:jc w:val="both"/>
      </w:pPr>
      <w:r>
        <w:rPr>
          <w:rFonts w:ascii="Times New Roman" w:cs="Times New Roman" w:eastAsia="Times New Roman" w:hAnsi="Times New Roman"/>
          <w:sz w:val="24"/>
          <w:szCs w:val="24"/>
        </w:rPr>
        <w:t xml:space="preserve">Third, comparative research across Caribbean contexts, building on the work of Blackman, Conrad and Brown (2019) and Conrad and Brown (2011), examining how neighbouring systems have approached inclusive education policy and implementation may offer transferable insights. Fourth, longitudinal research tracking the trajectory of the CPCE SEND programme and the dedicated SEND spaces over time would provide evidence on whether bottom-up implementation momentum can be sustained without formalised policy coordination. Fifth, research exploring whether the Draft Inclusion Policy’s conceptual framework, produced by an international adviser, effectively reflects local institutional conditions and educational cultures would address the decolonial concern raised by Walton (2018).</w:t>
      </w:r>
    </w:p>
    <w:p>
      <w:pPr>
        <w:pStyle w:val="Heading2"/>
        <w:spacing w:after="160" w:before="360"/>
        <w:jc w:val="left"/>
      </w:pPr>
      <w:r>
        <w:rPr>
          <w:rFonts w:ascii="Times New Roman" w:cs="Times New Roman" w:eastAsia="Times New Roman" w:hAnsi="Times New Roman"/>
          <w:b/>
          <w:bCs/>
          <w:sz w:val="24"/>
          <w:szCs w:val="24"/>
        </w:rPr>
        <w:t xml:space="preserve">5.7 Final Reflection</w:t>
      </w:r>
    </w:p>
    <w:p>
      <w:pPr>
        <w:spacing w:after="200" w:before="0" w:line="360" w:lineRule="auto"/>
        <w:ind w:firstLine="720"/>
        <w:jc w:val="both"/>
      </w:pPr>
      <w:r>
        <w:rPr>
          <w:rFonts w:ascii="Times New Roman" w:cs="Times New Roman" w:eastAsia="Times New Roman" w:hAnsi="Times New Roman"/>
          <w:sz w:val="24"/>
          <w:szCs w:val="24"/>
        </w:rPr>
        <w:t xml:space="preserve">This dissertation has pursued a central question about the relationship between policy aspiration and institutional reality in inclusive education in Guyana. The answer it has arrived at is neither simple nor entirely discouraging.</w:t>
      </w:r>
    </w:p>
    <w:p>
      <w:pPr>
        <w:spacing w:after="200" w:before="0" w:line="360" w:lineRule="auto"/>
        <w:ind w:firstLine="720"/>
        <w:jc w:val="both"/>
      </w:pPr>
      <w:r>
        <w:rPr>
          <w:rFonts w:ascii="Times New Roman" w:cs="Times New Roman" w:eastAsia="Times New Roman" w:hAnsi="Times New Roman"/>
          <w:sz w:val="24"/>
          <w:szCs w:val="24"/>
        </w:rPr>
        <w:t xml:space="preserve">Guyana has articulated a rights-based commitment to inclusive education, developed institutional mechanisms that give partial effect to that commitment, and demonstrated through recent developments in teacher preparation and dedicated provision that the system possesses the capacity for progress. These are not trivial achievements, and this study’s most important contribution may be the demonstration that the system is better characterised as in uncoordinated transition than in stasis.</w:t>
      </w:r>
    </w:p>
    <w:p>
      <w:pPr>
        <w:spacing w:after="200" w:before="0" w:line="360" w:lineRule="auto"/>
        <w:ind w:firstLine="720"/>
        <w:jc w:val="both"/>
      </w:pPr>
      <w:r>
        <w:rPr>
          <w:rFonts w:ascii="Times New Roman" w:cs="Times New Roman" w:eastAsia="Times New Roman" w:hAnsi="Times New Roman"/>
          <w:sz w:val="24"/>
          <w:szCs w:val="24"/>
        </w:rPr>
        <w:t xml:space="preserve">At the same time, the structural limitations identified in Chapter 4 are consequential. The unadopted policy, the governance incoherence between enacted legislation and absent operational guidance, the distance between social model language and medical model practice, and the absence of monitoring systems together constitute a pattern in which progress depends on the initiative of individual practitioners rather than the coordinated effort of institutions. Lipsky’s (2010) framework suggests this is not merely a deficiency to be corrected but a structural feature of implementation in the absence of policy authority. It is also unsustainable: practitioner-driven progress without institutional coordination will reach limits that only formalised, resourced, and monitored policy can overcome.</w:t>
      </w:r>
    </w:p>
    <w:p>
      <w:pPr>
        <w:spacing w:after="200" w:before="0" w:line="360" w:lineRule="auto"/>
        <w:ind w:firstLine="720"/>
        <w:jc w:val="both"/>
      </w:pPr>
      <w:r>
        <w:rPr>
          <w:rFonts w:ascii="Times New Roman" w:cs="Times New Roman" w:eastAsia="Times New Roman" w:hAnsi="Times New Roman"/>
          <w:sz w:val="24"/>
          <w:szCs w:val="24"/>
        </w:rPr>
        <w:t xml:space="preserve">The measure of an inclusive education system is not whether it articulates the right values but whether it creates the institutional conditions that make meaningful participation ordinary for learners who need support (Ainscow, 2020). For Guyana, the conceptual foundations for such a system are present. The work that remains is their consolidation within a governance framework that is authoritative, specific, and responsive to the full diversity of learner needs.</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REFERENCES</w:t>
      </w:r>
    </w:p>
    <w:p>
      <w:pPr>
        <w:spacing w:after="160" w:before="0" w:line="360" w:lineRule="auto"/>
        <w:ind w:left="720" w:hanging="720"/>
        <w:jc w:val="both"/>
      </w:pPr>
      <w:r>
        <w:rPr>
          <w:rFonts w:ascii="Times New Roman" w:cs="Times New Roman" w:eastAsia="Times New Roman" w:hAnsi="Times New Roman"/>
          <w:sz w:val="24"/>
          <w:szCs w:val="24"/>
        </w:rPr>
        <w:t xml:space="preserve">Abdul-Hamid, H. (2014) What matters most for education management information systems: A framework paper. SABER Working Paper Series No. 7. Washington, DC: World Bank.</w:t>
      </w:r>
    </w:p>
    <w:p>
      <w:pPr>
        <w:spacing w:after="160" w:before="0" w:line="360" w:lineRule="auto"/>
        <w:ind w:left="720" w:hanging="720"/>
        <w:jc w:val="both"/>
      </w:pPr>
      <w:r>
        <w:rPr>
          <w:rFonts w:ascii="Times New Roman" w:cs="Times New Roman" w:eastAsia="Times New Roman" w:hAnsi="Times New Roman"/>
          <w:sz w:val="24"/>
          <w:szCs w:val="24"/>
        </w:rPr>
        <w:t xml:space="preserve">Ainscow, M. (2020) ‘Promoting inclusion and equity in education: Lessons from international experiences’, Nordic Journal of Studies in Educational Policy, 6(1), pp. 7–16.</w:t>
      </w:r>
    </w:p>
    <w:p>
      <w:pPr>
        <w:spacing w:after="160" w:before="0" w:line="360" w:lineRule="auto"/>
        <w:ind w:left="720" w:hanging="720"/>
        <w:jc w:val="both"/>
      </w:pPr>
      <w:r>
        <w:rPr>
          <w:rFonts w:ascii="Times New Roman" w:cs="Times New Roman" w:eastAsia="Times New Roman" w:hAnsi="Times New Roman"/>
          <w:sz w:val="24"/>
          <w:szCs w:val="24"/>
        </w:rPr>
        <w:t xml:space="preserve">Ainscow, M. and Miles, S. (2008) 'Making education for all inclusive: Where next?', Prospects, 38(1), pp. 15-34.</w:t>
      </w:r>
    </w:p>
    <w:p>
      <w:pPr>
        <w:spacing w:after="160" w:before="0" w:line="360" w:lineRule="auto"/>
        <w:ind w:left="720" w:hanging="720"/>
        <w:jc w:val="both"/>
      </w:pPr>
      <w:r>
        <w:rPr>
          <w:rFonts w:ascii="Times New Roman" w:cs="Times New Roman" w:eastAsia="Times New Roman" w:hAnsi="Times New Roman"/>
          <w:sz w:val="24"/>
          <w:szCs w:val="24"/>
        </w:rPr>
        <w:t xml:space="preserve">Ajodhia-Andrews, A. and Frankel, E. (2010) ‘Inclusive education in Guyana: A call for change’, International Journal of Special Education, 25(1), pp. 126–144.</w:t>
      </w:r>
    </w:p>
    <w:p>
      <w:pPr>
        <w:spacing w:after="160" w:before="0" w:line="360" w:lineRule="auto"/>
        <w:ind w:left="720" w:hanging="720"/>
        <w:jc w:val="both"/>
      </w:pPr>
      <w:r>
        <w:rPr>
          <w:rFonts w:ascii="Times New Roman" w:cs="Times New Roman" w:eastAsia="Times New Roman" w:hAnsi="Times New Roman"/>
          <w:sz w:val="24"/>
          <w:szCs w:val="24"/>
        </w:rPr>
        <w:t xml:space="preserve">Armstrong, A.C., Armstrong, D. and Spandagou, I. (2005) ‘Special and inclusive education in the Eastern Caribbean: Policy, practice and provision’, International Journal of Inclusive Education, 9(1), pp. 71–87.</w:t>
      </w:r>
    </w:p>
    <w:p>
      <w:pPr>
        <w:spacing w:after="160" w:before="0" w:line="360" w:lineRule="auto"/>
        <w:ind w:left="720" w:hanging="720"/>
        <w:jc w:val="both"/>
      </w:pPr>
      <w:r>
        <w:rPr>
          <w:rFonts w:ascii="Times New Roman" w:cs="Times New Roman" w:eastAsia="Times New Roman" w:hAnsi="Times New Roman"/>
          <w:sz w:val="24"/>
          <w:szCs w:val="24"/>
        </w:rPr>
        <w:t xml:space="preserve">Avramidis, E. and Norwich, B. (2002) 'Teachers' attitudes towards integration/inclusion: A review of the literature', European Journal of Special Needs Education, 17(2), pp. 129-147.</w:t>
      </w:r>
    </w:p>
    <w:p>
      <w:pPr>
        <w:spacing w:after="160" w:before="0" w:line="360" w:lineRule="auto"/>
        <w:ind w:left="720" w:hanging="720"/>
        <w:jc w:val="both"/>
      </w:pPr>
      <w:r>
        <w:rPr>
          <w:rFonts w:ascii="Times New Roman" w:cs="Times New Roman" w:eastAsia="Times New Roman" w:hAnsi="Times New Roman"/>
          <w:sz w:val="24"/>
          <w:szCs w:val="24"/>
        </w:rPr>
        <w:t xml:space="preserve">Ball, S.J., Maguire, M. and Braun, A. (2012) How schools do policy: Policy enactments in secondary schools. London: Routledge.</w:t>
      </w:r>
    </w:p>
    <w:p>
      <w:pPr>
        <w:spacing w:after="160" w:before="0" w:line="360" w:lineRule="auto"/>
        <w:ind w:left="720" w:hanging="720"/>
        <w:jc w:val="both"/>
      </w:pPr>
      <w:r>
        <w:rPr>
          <w:rFonts w:ascii="Times New Roman" w:cs="Times New Roman" w:eastAsia="Times New Roman" w:hAnsi="Times New Roman"/>
          <w:sz w:val="24"/>
          <w:szCs w:val="24"/>
        </w:rPr>
        <w:t xml:space="preserve">Blackman, S., Conrad, D.A. and Brown, L.I. (eds.) (2019) Achieving inclusive education in the Caribbean and beyond: From philosophy to praxis. Cham: Springer.</w:t>
      </w:r>
    </w:p>
    <w:p>
      <w:pPr>
        <w:spacing w:after="160" w:before="0" w:line="360" w:lineRule="auto"/>
        <w:ind w:left="720" w:hanging="720"/>
        <w:jc w:val="both"/>
      </w:pPr>
      <w:r>
        <w:rPr>
          <w:rFonts w:ascii="Times New Roman" w:cs="Times New Roman" w:eastAsia="Times New Roman" w:hAnsi="Times New Roman"/>
          <w:sz w:val="24"/>
          <w:szCs w:val="24"/>
        </w:rPr>
        <w:t xml:space="preserve">Bowen, G.A. (2009) 'Document analysis as a qualitative research method', Qualitative Research Journal, 9(2), pp. 27-40.</w:t>
      </w:r>
    </w:p>
    <w:p>
      <w:pPr>
        <w:spacing w:after="160" w:before="0" w:line="360" w:lineRule="auto"/>
        <w:ind w:left="720" w:hanging="720"/>
        <w:jc w:val="both"/>
      </w:pPr>
      <w:r>
        <w:rPr>
          <w:rFonts w:ascii="Times New Roman" w:cs="Times New Roman" w:eastAsia="Times New Roman" w:hAnsi="Times New Roman"/>
          <w:sz w:val="24"/>
          <w:szCs w:val="24"/>
        </w:rPr>
        <w:t xml:space="preserve">Braun, V. and Clarke, V. (2006) ‘Using thematic analysis in psychology’, Qualitative Research in Psychology, 3(2), pp. 77–101.</w:t>
      </w:r>
    </w:p>
    <w:p>
      <w:pPr>
        <w:spacing w:after="160" w:before="0" w:line="360" w:lineRule="auto"/>
        <w:ind w:left="720" w:hanging="720"/>
        <w:jc w:val="both"/>
      </w:pPr>
      <w:r>
        <w:rPr>
          <w:rFonts w:ascii="Times New Roman" w:cs="Times New Roman" w:eastAsia="Times New Roman" w:hAnsi="Times New Roman"/>
          <w:sz w:val="24"/>
          <w:szCs w:val="24"/>
        </w:rPr>
        <w:t xml:space="preserve">Cheong, K.A., Kellems, R.O., Andersen, M.M. and Steed, K. (2019) ‘The education of individuals with disabilities in Guyana: An overview’, Intervention in School and Clinic, 54(4), pp. 246–250.</w:t>
      </w:r>
    </w:p>
    <w:p>
      <w:pPr>
        <w:spacing w:after="160" w:before="0" w:line="360" w:lineRule="auto"/>
        <w:ind w:left="720" w:hanging="720"/>
        <w:jc w:val="both"/>
      </w:pPr>
      <w:r>
        <w:rPr>
          <w:rFonts w:ascii="Times New Roman" w:cs="Times New Roman" w:eastAsia="Times New Roman" w:hAnsi="Times New Roman"/>
          <w:sz w:val="24"/>
          <w:szCs w:val="24"/>
        </w:rPr>
        <w:t xml:space="preserve">Committee on the Rights of Persons with Disabilities (2016) General Comment No. 4 (2016) on Article 24: Right to Inclusive Education (CRPD/C/GC/4). Geneva: United Nations.</w:t>
      </w:r>
    </w:p>
    <w:p>
      <w:pPr>
        <w:spacing w:after="160" w:before="0" w:line="360" w:lineRule="auto"/>
        <w:ind w:left="720" w:hanging="720"/>
        <w:jc w:val="both"/>
      </w:pPr>
      <w:r>
        <w:rPr>
          <w:rFonts w:ascii="Times New Roman" w:cs="Times New Roman" w:eastAsia="Times New Roman" w:hAnsi="Times New Roman"/>
          <w:sz w:val="24"/>
          <w:szCs w:val="24"/>
        </w:rPr>
        <w:t xml:space="preserve">Conrad, D.A. and Brown, L.I. (2011) ‘The perceived challenges of school principals in facilitating inclusive education in Trinidad and Tobago’, International Journal of Special Education, 26(1), pp. 1–11.</w:t>
      </w:r>
    </w:p>
    <w:p>
      <w:pPr>
        <w:spacing w:after="160" w:before="0" w:line="360" w:lineRule="auto"/>
        <w:ind w:left="720" w:hanging="720"/>
        <w:jc w:val="both"/>
      </w:pPr>
      <w:r>
        <w:rPr>
          <w:rFonts w:ascii="Times New Roman" w:cs="Times New Roman" w:eastAsia="Times New Roman" w:hAnsi="Times New Roman"/>
          <w:sz w:val="24"/>
          <w:szCs w:val="24"/>
        </w:rPr>
        <w:t xml:space="preserve">Creswell, J.W. (2014) Research design: Qualitative, quantitative, and mixed methods approaches. 4th edn. Thousand Oaks: Sage Publications.</w:t>
      </w:r>
    </w:p>
    <w:p>
      <w:pPr>
        <w:spacing w:after="160" w:before="0" w:line="360" w:lineRule="auto"/>
        <w:ind w:left="720" w:hanging="720"/>
        <w:jc w:val="both"/>
      </w:pPr>
      <w:r>
        <w:rPr>
          <w:rFonts w:ascii="Times New Roman" w:cs="Times New Roman" w:eastAsia="Times New Roman" w:hAnsi="Times New Roman"/>
          <w:sz w:val="24"/>
          <w:szCs w:val="24"/>
        </w:rPr>
        <w:t xml:space="preserve">Engelbrecht, P. (2020) ‘Inclusive education: Developments and challenges in South Africa’, Prospects, 49(3), pp. 219–232.</w:t>
      </w:r>
    </w:p>
    <w:p>
      <w:pPr>
        <w:spacing w:after="160" w:before="0" w:line="360" w:lineRule="auto"/>
        <w:ind w:left="720" w:hanging="720"/>
        <w:jc w:val="both"/>
      </w:pPr>
      <w:r>
        <w:rPr>
          <w:rFonts w:ascii="Times New Roman" w:cs="Times New Roman" w:eastAsia="Times New Roman" w:hAnsi="Times New Roman"/>
          <w:sz w:val="24"/>
          <w:szCs w:val="24"/>
        </w:rPr>
        <w:t xml:space="preserve">Florian, L. (ed.) (2014) The SAGE handbook of special education. 2nd edn. London: Sage.</w:t>
      </w:r>
    </w:p>
    <w:p>
      <w:pPr>
        <w:spacing w:after="160" w:before="0" w:line="360" w:lineRule="auto"/>
        <w:ind w:left="720" w:hanging="720"/>
        <w:jc w:val="both"/>
      </w:pPr>
      <w:r>
        <w:rPr>
          <w:rFonts w:ascii="Times New Roman" w:cs="Times New Roman" w:eastAsia="Times New Roman" w:hAnsi="Times New Roman"/>
          <w:sz w:val="24"/>
          <w:szCs w:val="24"/>
        </w:rPr>
        <w:t xml:space="preserve">Florian, L. and Black-Hawkins, K. (2011) 'Exploring inclusive pedagogy', Cambridge Journal of Education, 41(4), pp. 399-413.</w:t>
      </w:r>
    </w:p>
    <w:p>
      <w:pPr>
        <w:spacing w:after="160" w:before="0" w:line="360" w:lineRule="auto"/>
        <w:ind w:left="720" w:hanging="720"/>
        <w:jc w:val="both"/>
      </w:pPr>
      <w:r>
        <w:rPr>
          <w:rFonts w:ascii="Times New Roman" w:cs="Times New Roman" w:eastAsia="Times New Roman" w:hAnsi="Times New Roman"/>
          <w:sz w:val="24"/>
          <w:szCs w:val="24"/>
        </w:rPr>
        <w:t xml:space="preserve">Forlin, C., Sharma, U. and Loreman, T. (2014) 'Predictors of improved teaching efficacy following basic training for inclusion in Hong Kong', International Journal of Inclusive Education, 18(7), pp. 718-730.</w:t>
      </w:r>
    </w:p>
    <w:p>
      <w:pPr>
        <w:spacing w:after="160" w:before="0" w:line="360" w:lineRule="auto"/>
        <w:ind w:left="720" w:hanging="720"/>
        <w:jc w:val="both"/>
      </w:pPr>
      <w:r>
        <w:rPr>
          <w:rFonts w:ascii="Times New Roman" w:cs="Times New Roman" w:eastAsia="Times New Roman" w:hAnsi="Times New Roman"/>
          <w:sz w:val="24"/>
          <w:szCs w:val="24"/>
        </w:rPr>
        <w:t xml:space="preserve">Fraser, S. (2014) ‘Removing the hurdles: A brief highlight of inclusion challenges in Guyana’, Journal of the International Association of Special Education, 15(2), pp. 48–55.</w:t>
      </w:r>
    </w:p>
    <w:p>
      <w:pPr>
        <w:spacing w:after="160" w:before="0" w:line="360" w:lineRule="auto"/>
        <w:ind w:left="720" w:hanging="720"/>
        <w:jc w:val="both"/>
      </w:pPr>
      <w:r>
        <w:rPr>
          <w:rFonts w:ascii="Times New Roman" w:cs="Times New Roman" w:eastAsia="Times New Roman" w:hAnsi="Times New Roman"/>
          <w:sz w:val="24"/>
          <w:szCs w:val="24"/>
        </w:rPr>
        <w:t xml:space="preserve">Fullan, M. (2007) The new meaning of educational change. 4th edn. New York: Teachers College Press.</w:t>
      </w:r>
    </w:p>
    <w:p>
      <w:pPr>
        <w:spacing w:after="160" w:before="0" w:line="360" w:lineRule="auto"/>
        <w:ind w:left="720" w:hanging="720"/>
        <w:jc w:val="both"/>
      </w:pPr>
      <w:r>
        <w:rPr>
          <w:rFonts w:ascii="Times New Roman" w:cs="Times New Roman" w:eastAsia="Times New Roman" w:hAnsi="Times New Roman"/>
          <w:sz w:val="24"/>
          <w:szCs w:val="24"/>
        </w:rPr>
        <w:t xml:space="preserve">Guyana Council of Organisations for Persons with Disabilities (n.d.) About the Guyana Council of Organisations for Persons with Disabilities [Online]. Available at: https://gcopd.org.gy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Guyana, Parliament of (2010) Persons with Disabilities Act 2010 (Cap. 36:05). Georgetown: Government of Guyana.</w:t>
      </w:r>
    </w:p>
    <w:p>
      <w:pPr>
        <w:spacing w:after="160" w:before="0" w:line="360" w:lineRule="auto"/>
        <w:ind w:left="720" w:hanging="720"/>
        <w:jc w:val="both"/>
      </w:pPr>
      <w:r>
        <w:rPr>
          <w:rFonts w:ascii="Times New Roman" w:cs="Times New Roman" w:eastAsia="Times New Roman" w:hAnsi="Times New Roman"/>
          <w:sz w:val="24"/>
          <w:szCs w:val="24"/>
        </w:rPr>
        <w:t xml:space="preserve">Guyana, Parliament of (2014) Education Bill 2014. Georgetown: Government of Guyana.</w:t>
      </w:r>
    </w:p>
    <w:p>
      <w:pPr>
        <w:spacing w:after="160" w:before="0" w:line="360" w:lineRule="auto"/>
        <w:ind w:left="720" w:hanging="720"/>
        <w:jc w:val="both"/>
      </w:pPr>
      <w:r>
        <w:rPr>
          <w:rFonts w:ascii="Times New Roman" w:cs="Times New Roman" w:eastAsia="Times New Roman" w:hAnsi="Times New Roman"/>
          <w:sz w:val="24"/>
          <w:szCs w:val="24"/>
        </w:rPr>
        <w:t xml:space="preserve">Kozleski, E.B., Artiles, A.J., Fletcher, T. and Engelbrecht, P. (2014) 'Understanding the dialectics of the local and the global in education for all', Review of Research in Education, 38(1), pp. 1-29.</w:t>
      </w:r>
    </w:p>
    <w:p>
      <w:pPr>
        <w:spacing w:after="160" w:before="0" w:line="360" w:lineRule="auto"/>
        <w:ind w:left="720" w:hanging="720"/>
        <w:jc w:val="both"/>
      </w:pPr>
      <w:r>
        <w:rPr>
          <w:rFonts w:ascii="Times New Roman" w:cs="Times New Roman" w:eastAsia="Times New Roman" w:hAnsi="Times New Roman"/>
          <w:sz w:val="24"/>
          <w:szCs w:val="24"/>
        </w:rPr>
        <w:t xml:space="preserve">Lashley, L. (2023) ‘Stay in your lane experiences of children with Special Education Needs and/or Disabilities in two mainstream primary schools in Guyana’, International Journal of Inclusive Education, 27(8), pp. 921–971.</w:t>
      </w:r>
    </w:p>
    <w:p>
      <w:pPr>
        <w:spacing w:after="160" w:before="0" w:line="360" w:lineRule="auto"/>
        <w:ind w:left="720" w:hanging="720"/>
        <w:jc w:val="both"/>
      </w:pPr>
      <w:r>
        <w:rPr>
          <w:rFonts w:ascii="Times New Roman" w:cs="Times New Roman" w:eastAsia="Times New Roman" w:hAnsi="Times New Roman"/>
          <w:sz w:val="24"/>
          <w:szCs w:val="24"/>
        </w:rPr>
        <w:t xml:space="preserve">Lashley, L. (2025) ‘The curious gap in the experiences of children with exceptionalities in two mainstream primary schools in postcolonial Guyana’, International Journal of Inclusive Education, 29(6), pp. 935–957.</w:t>
      </w:r>
    </w:p>
    <w:p>
      <w:pPr>
        <w:spacing w:after="160" w:before="0" w:line="360" w:lineRule="auto"/>
        <w:ind w:left="720" w:hanging="720"/>
        <w:jc w:val="both"/>
      </w:pPr>
      <w:r>
        <w:rPr>
          <w:rFonts w:ascii="Times New Roman" w:cs="Times New Roman" w:eastAsia="Times New Roman" w:hAnsi="Times New Roman"/>
          <w:sz w:val="24"/>
          <w:szCs w:val="24"/>
        </w:rPr>
        <w:t xml:space="preserve">Lashley, L. (2024) ‘The inclusive education: A conceptualized reality or misapprehension in postcolonial Guyana’, IALS Journal, 16(1).</w:t>
      </w:r>
    </w:p>
    <w:p>
      <w:pPr>
        <w:spacing w:after="160" w:before="0" w:line="360" w:lineRule="auto"/>
        <w:ind w:left="720" w:hanging="720"/>
        <w:jc w:val="both"/>
      </w:pPr>
      <w:r>
        <w:rPr>
          <w:rFonts w:ascii="Times New Roman" w:cs="Times New Roman" w:eastAsia="Times New Roman" w:hAnsi="Times New Roman"/>
          <w:sz w:val="24"/>
          <w:szCs w:val="24"/>
        </w:rPr>
        <w:t xml:space="preserve">Lincoln, Y.S. and Guba, E.G. (1985) Naturalistic inquiry. Newbury Park: Sage Publications.</w:t>
      </w:r>
    </w:p>
    <w:p>
      <w:pPr>
        <w:spacing w:after="160" w:before="0" w:line="360" w:lineRule="auto"/>
        <w:ind w:left="720" w:hanging="720"/>
        <w:jc w:val="both"/>
      </w:pPr>
      <w:r>
        <w:rPr>
          <w:rFonts w:ascii="Times New Roman" w:cs="Times New Roman" w:eastAsia="Times New Roman" w:hAnsi="Times New Roman"/>
          <w:sz w:val="24"/>
          <w:szCs w:val="24"/>
        </w:rPr>
        <w:t xml:space="preserve">Lipsky, M. (2010) Street-level bureaucracy: Dilemmas of the individual in public services. 30th anniversary expanded edn. New York: Russell Sage Foundation.</w:t>
      </w:r>
    </w:p>
    <w:p>
      <w:pPr>
        <w:spacing w:after="160" w:before="0" w:line="360" w:lineRule="auto"/>
        <w:ind w:left="720" w:hanging="720"/>
        <w:jc w:val="both"/>
      </w:pPr>
      <w:r>
        <w:rPr>
          <w:rFonts w:ascii="Times New Roman" w:cs="Times New Roman" w:eastAsia="Times New Roman" w:hAnsi="Times New Roman"/>
          <w:sz w:val="24"/>
          <w:szCs w:val="24"/>
        </w:rPr>
        <w:t xml:space="preserve">Matland, R.E. (1995) ‘Synthesizing the implementation literature: The ambiguity-conflict model of policy implementation’, Journal of Public Administration Research and Theory, 5(2), pp. 145–174.</w:t>
      </w:r>
    </w:p>
    <w:p>
      <w:pPr>
        <w:spacing w:after="160" w:before="0" w:line="360" w:lineRule="auto"/>
        <w:ind w:left="720" w:hanging="720"/>
        <w:jc w:val="both"/>
      </w:pPr>
      <w:r>
        <w:rPr>
          <w:rFonts w:ascii="Times New Roman" w:cs="Times New Roman" w:eastAsia="Times New Roman" w:hAnsi="Times New Roman"/>
          <w:sz w:val="24"/>
          <w:szCs w:val="24"/>
        </w:rPr>
        <w:t xml:space="preserve">Miles, S. and Singal, N. (2010) 'The education for all and inclusive education debate', International Journal of Inclusive Education, 14(1), pp. 1-15.</w:t>
      </w:r>
    </w:p>
    <w:p>
      <w:pPr>
        <w:spacing w:after="160" w:before="0" w:line="360" w:lineRule="auto"/>
        <w:ind w:left="720" w:hanging="720"/>
        <w:jc w:val="both"/>
      </w:pPr>
      <w:r>
        <w:rPr>
          <w:rFonts w:ascii="Times New Roman" w:cs="Times New Roman" w:eastAsia="Times New Roman" w:hAnsi="Times New Roman"/>
          <w:sz w:val="24"/>
          <w:szCs w:val="24"/>
        </w:rPr>
        <w:t xml:space="preserve">Ministry of Education Guyana (2010) Draft Inclusion Policy for Special Educational Needs. Georgetown: Ministry of Education Guyana.</w:t>
      </w:r>
    </w:p>
    <w:p>
      <w:pPr>
        <w:spacing w:after="160" w:before="0" w:line="360" w:lineRule="auto"/>
        <w:ind w:left="720" w:hanging="720"/>
        <w:jc w:val="both"/>
      </w:pPr>
      <w:r>
        <w:rPr>
          <w:rFonts w:ascii="Times New Roman" w:cs="Times New Roman" w:eastAsia="Times New Roman" w:hAnsi="Times New Roman"/>
          <w:sz w:val="24"/>
          <w:szCs w:val="24"/>
        </w:rPr>
        <w:t xml:space="preserve">Ministry of Education Guyana (2021) Education Strategic Plan 2021-2025. Georgetown: Ministry of Education Guyana.</w:t>
      </w:r>
    </w:p>
    <w:p>
      <w:pPr>
        <w:spacing w:after="160" w:before="0" w:line="360" w:lineRule="auto"/>
        <w:ind w:left="720" w:hanging="720"/>
        <w:jc w:val="both"/>
      </w:pPr>
      <w:r>
        <w:rPr>
          <w:rFonts w:ascii="Times New Roman" w:cs="Times New Roman" w:eastAsia="Times New Roman" w:hAnsi="Times New Roman"/>
          <w:sz w:val="24"/>
          <w:szCs w:val="24"/>
        </w:rPr>
        <w:t>Ministry of Education Guyana (n.d.) Inclusive education initiatives in Guyana [Online]. Available at: https://education.gov.gy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Mitchell, D. (2015) 'Inclusive education is a multi-faceted concept', Prospects, 44(3), pp. 299-306.</w:t>
      </w:r>
    </w:p>
    <w:p>
      <w:pPr>
        <w:spacing w:after="160" w:before="0" w:line="360" w:lineRule="auto"/>
        <w:ind w:left="720" w:hanging="720"/>
        <w:jc w:val="both"/>
      </w:pPr>
      <w:r>
        <w:rPr>
          <w:rFonts w:ascii="Times New Roman" w:cs="Times New Roman" w:eastAsia="Times New Roman" w:hAnsi="Times New Roman"/>
          <w:sz w:val="24"/>
          <w:szCs w:val="24"/>
        </w:rPr>
        <w:t xml:space="preserve">Norwich, B. (2016) ‘Conceptualizing special educational needs using a biopsychosocial model in England: The prospects and challenges of using the International Classification of Functioning framework’, Frontiers in Education, 1, Article 5.</w:t>
      </w:r>
    </w:p>
    <w:p>
      <w:pPr>
        <w:spacing w:after="160" w:before="0" w:line="360" w:lineRule="auto"/>
        <w:ind w:left="720" w:hanging="720"/>
        <w:jc w:val="both"/>
      </w:pPr>
      <w:r>
        <w:rPr>
          <w:rFonts w:ascii="Times New Roman" w:cs="Times New Roman" w:eastAsia="Times New Roman" w:hAnsi="Times New Roman"/>
          <w:sz w:val="24"/>
          <w:szCs w:val="24"/>
        </w:rPr>
        <w:t xml:space="preserve">Oliver, M. (1990) The politics of disablement. London: Macmillan.</w:t>
      </w:r>
    </w:p>
    <w:p>
      <w:pPr>
        <w:spacing w:after="160" w:before="0" w:line="360" w:lineRule="auto"/>
        <w:ind w:left="720" w:hanging="720"/>
        <w:jc w:val="both"/>
      </w:pPr>
      <w:r>
        <w:rPr>
          <w:rFonts w:ascii="Times New Roman" w:cs="Times New Roman" w:eastAsia="Times New Roman" w:hAnsi="Times New Roman"/>
          <w:sz w:val="24"/>
          <w:szCs w:val="24"/>
        </w:rPr>
        <w:t xml:space="preserve">Opertti, R., Walker, Z. and Zhang, Y. (2014) 'Inclusive education: From policy to practice', Prospects, 44(1), pp. 149-169.</w:t>
      </w:r>
    </w:p>
    <w:p>
      <w:pPr>
        <w:spacing w:after="160" w:before="0" w:line="360" w:lineRule="auto"/>
        <w:ind w:left="720" w:hanging="720"/>
        <w:jc w:val="both"/>
      </w:pPr>
      <w:r>
        <w:rPr>
          <w:rFonts w:ascii="Times New Roman" w:cs="Times New Roman" w:eastAsia="Times New Roman" w:hAnsi="Times New Roman"/>
          <w:sz w:val="24"/>
          <w:szCs w:val="24"/>
        </w:rPr>
        <w:t xml:space="preserve">Peters, S.J. (2007) 'Education for all? A historical analysis of international inclusive education policy', Journal of Disability Policy Studies, 18(2), pp. 98-108.</w:t>
      </w:r>
    </w:p>
    <w:p>
      <w:pPr>
        <w:spacing w:after="160" w:before="0" w:line="360" w:lineRule="auto"/>
        <w:ind w:left="720" w:hanging="720"/>
        <w:jc w:val="both"/>
      </w:pPr>
      <w:r>
        <w:rPr>
          <w:rFonts w:ascii="Times New Roman" w:cs="Times New Roman" w:eastAsia="Times New Roman" w:hAnsi="Times New Roman"/>
          <w:sz w:val="24"/>
          <w:szCs w:val="24"/>
        </w:rPr>
        <w:t xml:space="preserve">Pressman, J.L. and Wildavsky, A. (1973) Implementation: How great expectations in Washington are dashed in Oakland. Berkeley: University of California Press.</w:t>
      </w:r>
    </w:p>
    <w:p>
      <w:pPr>
        <w:spacing w:after="160" w:before="0" w:line="360" w:lineRule="auto"/>
        <w:ind w:left="720" w:hanging="720"/>
        <w:jc w:val="both"/>
      </w:pPr>
      <w:r>
        <w:rPr>
          <w:rFonts w:ascii="Times New Roman" w:cs="Times New Roman" w:eastAsia="Times New Roman" w:hAnsi="Times New Roman"/>
          <w:sz w:val="24"/>
          <w:szCs w:val="24"/>
        </w:rPr>
        <w:t xml:space="preserve">Shakespeare, T. (2006) Disability rights and wrongs. London: Routledge.</w:t>
      </w:r>
    </w:p>
    <w:p>
      <w:pPr>
        <w:spacing w:after="160" w:before="0" w:line="360" w:lineRule="auto"/>
        <w:ind w:left="720" w:hanging="720"/>
        <w:jc w:val="both"/>
      </w:pPr>
      <w:r>
        <w:rPr>
          <w:rFonts w:ascii="Times New Roman" w:cs="Times New Roman" w:eastAsia="Times New Roman" w:hAnsi="Times New Roman"/>
          <w:sz w:val="24"/>
          <w:szCs w:val="24"/>
        </w:rPr>
        <w:t xml:space="preserve">Sharma, U., Forlin, C. and Loreman, T. (2008) 'Impact of training on pre-service teachers' attitudes and concerns about inclusive education', International Journal of Special Education, 23(2), pp. 16-23.</w:t>
      </w:r>
    </w:p>
    <w:p>
      <w:pPr>
        <w:spacing w:after="160" w:before="0" w:line="360" w:lineRule="auto"/>
        <w:ind w:left="720" w:hanging="720"/>
        <w:jc w:val="both"/>
      </w:pPr>
      <w:r>
        <w:rPr>
          <w:rFonts w:ascii="Times New Roman" w:cs="Times New Roman" w:eastAsia="Times New Roman" w:hAnsi="Times New Roman"/>
          <w:sz w:val="24"/>
          <w:szCs w:val="24"/>
        </w:rPr>
        <w:t xml:space="preserve">Shields, P.M., Rangarajan, N. and Casula, M. (2019) ‘It is a working hypothesis: Searching for truth in a post-truth world (Part 1)’, Sotsiologicheskie issledovaniya, (10), pp. 39–47.</w:t>
      </w:r>
    </w:p>
    <w:p>
      <w:pPr>
        <w:spacing w:after="160" w:before="0" w:line="360" w:lineRule="auto"/>
        <w:ind w:left="720" w:hanging="720"/>
        <w:jc w:val="both"/>
      </w:pPr>
      <w:r>
        <w:rPr>
          <w:rFonts w:ascii="Times New Roman" w:cs="Times New Roman" w:eastAsia="Times New Roman" w:hAnsi="Times New Roman"/>
          <w:sz w:val="24"/>
          <w:szCs w:val="24"/>
        </w:rPr>
        <w:t xml:space="preserve">Slee, R. (2011) The irregular school: Exclusion, schooling and inclusive education. London: Routledge.</w:t>
      </w:r>
    </w:p>
    <w:p>
      <w:pPr>
        <w:spacing w:after="160" w:before="0" w:line="360" w:lineRule="auto"/>
        <w:ind w:left="720" w:hanging="720"/>
        <w:jc w:val="both"/>
      </w:pPr>
      <w:r>
        <w:rPr>
          <w:rFonts w:ascii="Times New Roman" w:cs="Times New Roman" w:eastAsia="Times New Roman" w:hAnsi="Times New Roman"/>
          <w:sz w:val="24"/>
          <w:szCs w:val="24"/>
        </w:rPr>
        <w:t xml:space="preserve">Srivastava, M., de Boer, A.A. and Pijl, S.J. (2015) ‘Inclusive education in developing countries: A closer look at its implementation in the last 10 years’, Educational Review, 67(2), pp. 179–195.</w:t>
      </w:r>
    </w:p>
    <w:p>
      <w:pPr>
        <w:spacing w:after="160" w:before="0" w:line="360" w:lineRule="auto"/>
        <w:ind w:left="720" w:hanging="720"/>
        <w:jc w:val="both"/>
      </w:pPr>
      <w:r>
        <w:rPr>
          <w:rFonts w:ascii="Times New Roman" w:cs="Times New Roman" w:eastAsia="Times New Roman" w:hAnsi="Times New Roman"/>
          <w:sz w:val="24"/>
          <w:szCs w:val="24"/>
        </w:rPr>
        <w:t xml:space="preserve">UNESCO (1994) The Salamanca Statement and Framework for Action on Special Needs Education [Online]. Paris: UNESCO. Available at: https://unesdoc.unesco.org/ark:/48223/pf0000098427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UNESCO (2020) Global Education Monitoring Report 2020: Inclusion and education: All means all. Paris: UNESCO.</w:t>
      </w:r>
    </w:p>
    <w:p>
      <w:pPr>
        <w:spacing w:after="160" w:before="0" w:line="360" w:lineRule="auto"/>
        <w:ind w:left="720" w:hanging="720"/>
        <w:jc w:val="both"/>
      </w:pPr>
      <w:r>
        <w:rPr>
          <w:rFonts w:ascii="Times New Roman" w:cs="Times New Roman" w:eastAsia="Times New Roman" w:hAnsi="Times New Roman"/>
          <w:sz w:val="24"/>
          <w:szCs w:val="24"/>
        </w:rPr>
        <w:t xml:space="preserve">United Nations (2006) Convention on the Rights of Persons with Disabilities [Online]. New York: United Nations. Available at: https://www.un.org/disabilities/documents/convention/convoptprot-e.pdf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Walton, E. (2018) ‘Decolonising (through) inclusive education?’, Educational Research for Social Change, 7(special issue), pp. 31–45.</w:t>
      </w:r>
    </w:p>
    <w:p>
      <w:pPr>
        <w:spacing w:after="160" w:before="0" w:line="360" w:lineRule="auto"/>
        <w:ind w:left="720" w:hanging="720"/>
        <w:jc w:val="both"/>
      </w:pPr>
      <w:r>
        <w:rPr>
          <w:rFonts w:ascii="Times New Roman" w:cs="Times New Roman" w:eastAsia="Times New Roman" w:hAnsi="Times New Roman"/>
          <w:sz w:val="24"/>
          <w:szCs w:val="24"/>
        </w:rPr>
        <w:t>World Bank (2024) Disability inclusion in Latin America and the Caribbean: The situation in Guyana [Online]. Washington, DC: World Bank. Available at: https://documents1.worldbank.org/curated/en/099061024112031792/pdf/P17125615440a50681bb011e3cd00471543.pdf (Accessed: 1 April 2026).</w:t>
      </w:r>
    </w:p>
    <w:p>
      <w:pPr>
        <w:spacing w:after="160" w:before="0" w:line="360" w:lineRule="auto"/>
        <w:ind w:left="720" w:hanging="720"/>
        <w:jc w:val="both"/>
      </w:pPr>
      <w:r>
        <w:rPr>
          <w:rFonts w:ascii="Times New Roman" w:cs="Times New Roman" w:eastAsia="Times New Roman" w:hAnsi="Times New Roman"/>
          <w:sz w:val="24"/>
          <w:szCs w:val="24"/>
        </w:rPr>
        <w:t xml:space="preserve">World Health Organization (2001) International classification of functioning, disability and health (ICF) [Online]. Geneva: World Health Organization. Available at: https://www.who.int/standards/classifications/international-classification-of-functioning-disability-and-health (Accessed: 1 April 2026).</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APPENDIX A: KEY PROVISIONS OF THE DRAFT INCLUSION POLICY FOR SEN, GUYANA (2010)</w:t>
      </w:r>
    </w:p>
    <w:p>
      <w:pPr>
        <w:spacing w:after="160" w:before="0" w:line="360"/>
        <w:jc w:val="both"/>
      </w:pPr>
      <w:r>
        <w:rPr>
          <w:rFonts w:ascii="Times New Roman" w:cs="Times New Roman" w:eastAsia="Times New Roman" w:hAnsi="Times New Roman"/>
          <w:sz w:val="24"/>
          <w:szCs w:val="24"/>
        </w:rPr>
        <w:t xml:space="preserve">The following summary reproduces key quoted provisions from the Draft Inclusion Policy for Special Educational Needs (Ministry of Education Guyana, 2010), provided for reference in support of the document analysis in Chapter 4. Page references correspond to the original policy document.</w:t>
      </w:r>
    </w:p>
    <w:p>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Ultimate goal (p. 14): "The ultimate goal of the Ministry of Education is to ensure that all children in Guyana are in full time education."</w:t>
      </w:r>
    </w:p>
    <w:p>
      <w:pPr>
        <w:spacing w:after="160" w:before="0" w:line="360"/>
        <w:jc w:val="both"/>
      </w:pPr>
      <w:r>
        <w:rPr>
          <w:rFonts w:ascii="Times New Roman" w:cs="Times New Roman" w:eastAsia="Times New Roman" w:hAnsi="Times New Roman"/>
          <w:sz w:val="24"/>
          <w:szCs w:val="24"/>
        </w:rPr>
        <w:t xml:space="preserve">Placement principle (p. 32): "Wherever possible children should be educated in their local mainstream school."</w:t>
      </w:r>
    </w:p>
    <w:p>
      <w:pPr>
        <w:spacing w:after="160" w:before="0" w:line="360"/>
        <w:jc w:val="both"/>
      </w:pPr>
      <w:r>
        <w:rPr>
          <w:rFonts w:ascii="Times New Roman" w:cs="Times New Roman" w:eastAsia="Times New Roman" w:hAnsi="Times New Roman"/>
          <w:sz w:val="24"/>
          <w:szCs w:val="24"/>
        </w:rPr>
        <w:t xml:space="preserve">Curriculum differentiation (p. 19): "All children will follow the same curriculum regardless of any disability. The school will need to ensure that all teaching is well differentiated to meet the needs of all."</w:t>
      </w:r>
    </w:p>
    <w:p>
      <w:pPr>
        <w:spacing w:after="160" w:before="0" w:line="360"/>
        <w:jc w:val="both"/>
      </w:pPr>
      <w:r>
        <w:rPr>
          <w:rFonts w:ascii="Times New Roman" w:cs="Times New Roman" w:eastAsia="Times New Roman" w:hAnsi="Times New Roman"/>
          <w:sz w:val="24"/>
          <w:szCs w:val="24"/>
        </w:rPr>
        <w:t xml:space="preserve">Individual Education Plans (p. 24): "All students with a special need must have an Individual Education Plan outlining their needs and how they are being met."</w:t>
      </w:r>
    </w:p>
    <w:p>
      <w:pPr>
        <w:spacing w:after="160" w:before="0" w:line="360"/>
        <w:jc w:val="both"/>
      </w:pPr>
      <w:r>
        <w:rPr>
          <w:rFonts w:ascii="Times New Roman" w:cs="Times New Roman" w:eastAsia="Times New Roman" w:hAnsi="Times New Roman"/>
          <w:sz w:val="24"/>
          <w:szCs w:val="24"/>
        </w:rPr>
        <w:t xml:space="preserve">Monitoring requirement (p. 20): "The Ministry of Education must develop a system to monitor and evaluate the progress and development of the Policy, including clear targets in terms of dates and achievements. Short term and long term goals must be established and these need to be reviewed every six months."</w:t>
      </w:r>
    </w:p>
    <w:p>
      <w:pPr>
        <w:spacing w:after="160" w:before="0" w:line="360"/>
        <w:jc w:val="both"/>
      </w:pPr>
      <w:r>
        <w:rPr>
          <w:rFonts w:ascii="Times New Roman" w:cs="Times New Roman" w:eastAsia="Times New Roman" w:hAnsi="Times New Roman"/>
          <w:sz w:val="24"/>
          <w:szCs w:val="24"/>
        </w:rPr>
        <w:t xml:space="preserve">Parliamentary reporting (p. 20): "The Ministry of Education will report to Parliament annually on the breakdown of children with Special Needs in each region."</w:t>
      </w:r>
    </w:p>
    <w:p>
      <w:pPr>
        <w:spacing w:after="160" w:before="0" w:line="360"/>
        <w:jc w:val="both"/>
      </w:pPr>
      <w:r>
        <w:rPr>
          <w:rFonts w:ascii="Times New Roman" w:cs="Times New Roman" w:eastAsia="Times New Roman" w:hAnsi="Times New Roman"/>
          <w:sz w:val="24"/>
          <w:szCs w:val="24"/>
        </w:rPr>
        <w:t xml:space="preserve">Coordination deficit acknowledged (p. 13): "There is no evidence of coordination between the courses provided. It would appear that much of the good work is done in isolation."</w:t>
      </w:r>
    </w:p>
    <w:p>
      <w:pPr>
        <w:spacing w:after="160" w:before="0" w:line="360"/>
        <w:jc w:val="both"/>
      </w:pPr>
      <w:r>
        <w:rPr>
          <w:rFonts w:ascii="Times New Roman" w:cs="Times New Roman" w:eastAsia="Times New Roman" w:hAnsi="Times New Roman"/>
          <w:sz w:val="24"/>
          <w:szCs w:val="24"/>
        </w:rPr>
        <w:t xml:space="preserve">Training provisions (p. 22): "Training must continue at the Teachers' College and developed by the University of Guyana to ensure all newly qualified teachers have the necessary skills and knowledge to meet the needs of the population."</w:t>
      </w:r>
    </w:p>
    <w:p>
      <w:pPr>
        <w:spacing w:after="160" w:before="0" w:line="360"/>
        <w:jc w:val="both"/>
      </w:pPr>
      <w:r>
        <w:rPr>
          <w:rFonts w:ascii="Times New Roman" w:cs="Times New Roman" w:eastAsia="Times New Roman" w:hAnsi="Times New Roman"/>
          <w:sz w:val="24"/>
          <w:szCs w:val="24"/>
        </w:rPr>
        <w:t xml:space="preserve">Special school staffing (p. 33): "All teachers in a Special School must be trained in the particular specialism."</w:t>
      </w:r>
    </w:p>
    <w:p>
      <w:pPr>
        <w:spacing w:after="160" w:before="0" w:line="360"/>
        <w:jc w:val="both"/>
      </w:pPr>
      <w:r>
        <w:rPr>
          <w:rFonts w:ascii="Times New Roman" w:cs="Times New Roman" w:eastAsia="Times New Roman" w:hAnsi="Times New Roman"/>
          <w:sz w:val="24"/>
          <w:szCs w:val="24"/>
        </w:rPr>
        <w:t xml:space="preserve">Management hierarchy: The policy proposes a tiered SEN coordination structure from Minister of Education and Chief Education Officer at the apex, through DCEO, ACEO-SEN, National SEN Coordinator and National SEN Officer, to Regional SEN Coordinators and school-level SEN Coordinators.</w:t>
      </w:r>
    </w:p>
    <w:p>
      <w:pPr>
        <w:spacing w:after="160" w:before="0" w:line="360"/>
        <w:jc w:val="both"/>
      </w:pPr>
      <w:r>
        <w:rPr>
          <w:rFonts w:ascii="Times New Roman" w:cs="Times New Roman" w:eastAsia="Times New Roman" w:hAnsi="Times New Roman"/>
          <w:sz w:val="24"/>
          <w:szCs w:val="24"/>
        </w:rPr>
        <w:t xml:space="preserve">Specialised facilities (p. 12): Ten government-funded institutes/schools identified in 2010, including David Rose School for the Handicapped, St. Rose's High School for Visually Impaired, Sophia Special School, St. Barnabas Special School, New Amsterdam Special School, and others.</w:t>
      </w:r>
    </w:p>
    <w:p>
      <w:pPr>
        <w:spacing w:after="160" w:before="0" w:line="360"/>
        <w:jc w:val="both"/>
      </w:pPr>
      <w:r>
        <w:rPr>
          <w:rFonts w:ascii="Times New Roman" w:cs="Times New Roman" w:eastAsia="Times New Roman" w:hAnsi="Times New Roman"/>
          <w:sz w:val="24"/>
          <w:szCs w:val="24"/>
        </w:rPr>
        <w:t xml:space="preserve">Statistical context (Appendix C): The 2002 national census recorded 6.4% of the total population (approximately 48,419 individuals) as having some form of disability, of whom those under 15 totalled 5,842. The policy acknowledges "a high proportion of children with Special Needs are not exposed to any form of education."</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APPENDIX B: CORE DOCUMENTS ANALYSED</w:t>
      </w:r>
    </w:p>
    <w:p>
      <w:pPr>
        <w:spacing w:after="160" w:before="0" w:line="360"/>
        <w:jc w:val="both"/>
      </w:pPr>
      <w:r>
        <w:rPr>
          <w:rFonts w:ascii="Times New Roman" w:cs="Times New Roman" w:eastAsia="Times New Roman" w:hAnsi="Times New Roman"/>
          <w:sz w:val="24"/>
          <w:szCs w:val="24"/>
        </w:rPr>
        <w:t xml:space="preserve">This appendix provides a summary of the core documents analysed in the study, their provenance, and their relevance to the research questions. The corpus was selected purposively on the basis of direct relevance to the research questions and preference for official primary sources.</w:t>
      </w:r>
    </w:p>
    <w:p>
      <w:r>
        <w:rPr>
          <w:rFonts w:ascii="Times New Roman" w:cs="Times New Roman" w:eastAsia="Times New Roman" w:hAnsi="Times New Roman"/>
          <w:sz w:val="24"/>
          <w:szCs w:val="24"/>
        </w:rPr>
        <w:t xml:space="preserve"/>
      </w:r>
    </w:p>
    <w:p>
      <w:pPr>
        <w:numPr>
          <w:ilvl w:val="0"/>
          <w:numId w:val="12"/>
        </w:numPr>
        <w:spacing w:after="160" w:before="0" w:line="360"/>
        <w:jc w:val="both"/>
      </w:pPr>
      <w:r>
        <w:rPr>
          <w:rFonts w:ascii="Times New Roman" w:cs="Times New Roman" w:eastAsia="Times New Roman" w:hAnsi="Times New Roman"/>
          <w:sz w:val="24"/>
          <w:szCs w:val="24"/>
        </w:rPr>
        <w:t xml:space="preserve">Draft Inclusion Policy for Special Educational Needs (Ministry of Education Guyana, 2010): Principal document under close textual examination; provides the formal conceptual and policy basis for inclusive education in Guyana. Relevant to RQ1, RQ2, RQ3, RQ4.</w:t>
      </w:r>
    </w:p>
    <w:p>
      <w:pPr>
        <w:numPr>
          <w:ilvl w:val="0"/>
          <w:numId w:val="12"/>
        </w:numPr>
        <w:spacing w:after="160" w:before="0" w:line="360"/>
        <w:jc w:val="both"/>
      </w:pPr>
      <w:r>
        <w:rPr>
          <w:rFonts w:ascii="Times New Roman" w:cs="Times New Roman" w:eastAsia="Times New Roman" w:hAnsi="Times New Roman"/>
          <w:sz w:val="24"/>
          <w:szCs w:val="24"/>
        </w:rPr>
        <w:t xml:space="preserve">Education Strategic Plan 2021-2025 (Ministry of Education Guyana, 2021): Included to assess broader policy coherence and strategic context. Relevant to RQ2, RQ3, RQ4.</w:t>
      </w:r>
    </w:p>
    <w:p>
      <w:pPr>
        <w:numPr>
          <w:ilvl w:val="0"/>
          <w:numId w:val="12"/>
        </w:numPr>
        <w:spacing w:after="160" w:before="0" w:line="360"/>
        <w:jc w:val="both"/>
      </w:pPr>
      <w:r>
        <w:rPr>
          <w:rFonts w:ascii="Times New Roman" w:cs="Times New Roman" w:eastAsia="Times New Roman" w:hAnsi="Times New Roman"/>
          <w:sz w:val="24"/>
          <w:szCs w:val="24"/>
        </w:rPr>
        <w:t xml:space="preserve">Ministry of Education Guyana publicly available materials on inclusive education (n.d.): Included to identify evidence of implementation mechanisms. Relevant to RQ2, RQ3.</w:t>
      </w:r>
    </w:p>
    <w:p>
      <w:pPr>
        <w:numPr>
          <w:ilvl w:val="0"/>
          <w:numId w:val="12"/>
        </w:numPr>
        <w:spacing w:after="160" w:before="0" w:line="360"/>
        <w:jc w:val="both"/>
      </w:pPr>
      <w:r>
        <w:rPr>
          <w:rFonts w:ascii="Times New Roman" w:cs="Times New Roman" w:eastAsia="Times New Roman" w:hAnsi="Times New Roman"/>
          <w:sz w:val="24"/>
          <w:szCs w:val="24"/>
        </w:rPr>
        <w:t xml:space="preserve">Guyana Council of Organisations for Persons with Disabilities (n.d.): Included to provide documentary insight into civil society engagement. Relevant to RQ2, RQ3, RQ4.</w:t>
      </w:r>
    </w:p>
    <w:p>
      <w:pPr>
        <w:numPr>
          <w:ilvl w:val="0"/>
          <w:numId w:val="12"/>
        </w:numPr>
        <w:spacing w:after="160" w:before="0" w:line="360"/>
        <w:jc w:val="both"/>
      </w:pPr>
      <w:r>
        <w:rPr>
          <w:rFonts w:ascii="Times New Roman" w:cs="Times New Roman" w:eastAsia="Times New Roman" w:hAnsi="Times New Roman"/>
          <w:sz w:val="24"/>
          <w:szCs w:val="24"/>
        </w:rPr>
        <w:t xml:space="preserve">UNESCO Salamanca Statement and Framework for Action on Special Needs Education (UNESCO, 1994): Foundational international benchmark for assessing conceptual alignment. Relevant to RQ1.</w:t>
      </w:r>
    </w:p>
    <w:p>
      <w:pPr>
        <w:numPr>
          <w:ilvl w:val="0"/>
          <w:numId w:val="12"/>
        </w:numPr>
        <w:spacing w:after="160" w:before="0" w:line="360"/>
        <w:jc w:val="both"/>
      </w:pPr>
      <w:r>
        <w:rPr>
          <w:rFonts w:ascii="Times New Roman" w:cs="Times New Roman" w:eastAsia="Times New Roman" w:hAnsi="Times New Roman"/>
          <w:sz w:val="24"/>
          <w:szCs w:val="24"/>
        </w:rPr>
        <w:t xml:space="preserve">United Nations Convention on the Rights of Persons with Disabilities (United Nations, 2006): Central international rights-based framework for assessing policy alignment. Relevant to RQ1.</w:t>
      </w:r>
    </w:p>
    <w:p>
      <w:pPr>
        <w:numPr>
          <w:ilvl w:val="0"/>
          <w:numId w:val="12"/>
        </w:numPr>
        <w:spacing w:after="160" w:before="0" w:line="360"/>
        <w:jc w:val="both"/>
      </w:pPr>
      <w:r>
        <w:rPr>
          <w:rFonts w:ascii="Times New Roman" w:cs="Times New Roman" w:eastAsia="Times New Roman" w:hAnsi="Times New Roman"/>
          <w:sz w:val="24"/>
          <w:szCs w:val="24"/>
        </w:rPr>
        <w:t xml:space="preserve">General Comment No. 4 on Article 24: Right to Inclusive Education (Committee on the Rights of Persons with Disabilities, 2016): Contemporary international normative benchmark for evaluating inclusive education policy. Relevant to RQ1.
8. Persons with Disabilities Act 2010 (Parliament of Guyana): Enacted legislation creating binding legal obligations for inclusive education. Relevant to RQ2, RQ3.
9. Education Bill 2014 (Parliament of Guyana): Draft legislation specifying assessment procedures and institutional structures. Relevant to RQ2, RQ3.
10. World Bank Disability Inclusion Country Profile for Guyana (World Bank, 2024): International contextual data on disability prevalence and inclusion indicators. Relevant to RQ1, RQ3.
11. Selected peer-reviewed scholarly literature: Provides interpretive and theoretical context. Relevant to RQ1, RQ2, RQ3, RQ4.</w:t>
      </w:r>
    </w:p>
    <w:p>
      <w:r>
        <w:br w:type="page"/>
      </w:r>
    </w:p>
    <w:p>
      <w:pPr>
        <w:pStyle w:val="Heading1"/>
        <w:spacing w:after="240" w:before="480"/>
        <w:jc w:val="center"/>
      </w:pPr>
      <w:r>
        <w:rPr>
          <w:rFonts w:ascii="Times New Roman" w:cs="Times New Roman" w:eastAsia="Times New Roman" w:hAnsi="Times New Roman"/>
          <w:b/>
          <w:bCs/>
          <w:caps/>
          <w:sz w:val="28"/>
          <w:szCs w:val="28"/>
        </w:rPr>
        <w:t xml:space="preserve">APPENDIX C: STRUCTURED DOCUMENT ANALYSIS FRAMEWORK</w:t>
      </w:r>
    </w:p>
    <w:p>
      <w:pPr>
        <w:spacing w:after="160" w:before="0" w:line="360"/>
        <w:jc w:val="both"/>
      </w:pPr>
      <w:r>
        <w:rPr>
          <w:rFonts w:ascii="Times New Roman" w:cs="Times New Roman" w:eastAsia="Times New Roman" w:hAnsi="Times New Roman"/>
          <w:sz w:val="24"/>
          <w:szCs w:val="24"/>
        </w:rPr>
        <w:t xml:space="preserve">This appendix reproduces the structured document analysis framework used to guide the review of the core documentary corpus. The framework ensures consistency across documents and alignment between the analysis, the conceptual framework, and the research questions.</w:t>
      </w:r>
    </w:p>
    <w:p>
      <w:r>
        <w:rPr>
          <w:rFonts w:ascii="Times New Roman" w:cs="Times New Roman" w:eastAsia="Times New Roman" w:hAnsi="Times New Roman"/>
          <w:sz w:val="24"/>
          <w:szCs w:val="24"/>
        </w:rPr>
        <w:t xml:space="preserve"/>
      </w:r>
    </w:p>
    <w:p>
      <w:pPr>
        <w:numPr>
          <w:ilvl w:val="0"/>
          <w:numId w:val="13"/>
        </w:numPr>
        <w:spacing w:after="160" w:before="0" w:line="360"/>
        <w:jc w:val="both"/>
      </w:pPr>
      <w:r>
        <w:rPr>
          <w:rFonts w:ascii="Times New Roman" w:cs="Times New Roman" w:eastAsia="Times New Roman" w:hAnsi="Times New Roman"/>
          <w:sz w:val="24"/>
          <w:szCs w:val="24"/>
        </w:rPr>
        <w:t xml:space="preserve">Policy purpose and scope: What is the stated purpose, and what aspects of inclusive education does it address? (Relevance: establishes document function)</w:t>
      </w:r>
    </w:p>
    <w:p>
      <w:pPr>
        <w:numPr>
          <w:ilvl w:val="0"/>
          <w:numId w:val="13"/>
        </w:numPr>
        <w:spacing w:after="160" w:before="0" w:line="360"/>
        <w:jc w:val="both"/>
      </w:pPr>
      <w:r>
        <w:rPr>
          <w:rFonts w:ascii="Times New Roman" w:cs="Times New Roman" w:eastAsia="Times New Roman" w:hAnsi="Times New Roman"/>
          <w:sz w:val="24"/>
          <w:szCs w:val="24"/>
        </w:rPr>
        <w:t xml:space="preserve">Definition and conceptualisation of SEN/disability: How does the document define or frame special educational needs and disability? (Relevance: biopsychosocial model analysis)</w:t>
      </w:r>
    </w:p>
    <w:p>
      <w:pPr>
        <w:numPr>
          <w:ilvl w:val="0"/>
          <w:numId w:val="13"/>
        </w:numPr>
        <w:spacing w:after="160" w:before="0" w:line="360"/>
        <w:jc w:val="both"/>
      </w:pPr>
      <w:r>
        <w:rPr>
          <w:rFonts w:ascii="Times New Roman" w:cs="Times New Roman" w:eastAsia="Times New Roman" w:hAnsi="Times New Roman"/>
          <w:sz w:val="24"/>
          <w:szCs w:val="24"/>
        </w:rPr>
        <w:t xml:space="preserve">Inclusive education principles: What values, rights, or principles are articulated? (Relevance: RQ1)</w:t>
      </w:r>
    </w:p>
    <w:p>
      <w:pPr>
        <w:numPr>
          <w:ilvl w:val="0"/>
          <w:numId w:val="13"/>
        </w:numPr>
        <w:spacing w:after="160" w:before="0" w:line="360"/>
        <w:jc w:val="both"/>
      </w:pPr>
      <w:r>
        <w:rPr>
          <w:rFonts w:ascii="Times New Roman" w:cs="Times New Roman" w:eastAsia="Times New Roman" w:hAnsi="Times New Roman"/>
          <w:sz w:val="24"/>
          <w:szCs w:val="24"/>
        </w:rPr>
        <w:t xml:space="preserve">Relationship to international frameworks: Does the document reflect principles of the Salamanca Statement and CRPD? (Relevance: RQ1)</w:t>
      </w:r>
    </w:p>
    <w:p>
      <w:pPr>
        <w:numPr>
          <w:ilvl w:val="0"/>
          <w:numId w:val="13"/>
        </w:numPr>
        <w:spacing w:after="160" w:before="0" w:line="360"/>
        <w:jc w:val="both"/>
      </w:pPr>
      <w:r>
        <w:rPr>
          <w:rFonts w:ascii="Times New Roman" w:cs="Times New Roman" w:eastAsia="Times New Roman" w:hAnsi="Times New Roman"/>
          <w:sz w:val="24"/>
          <w:szCs w:val="24"/>
        </w:rPr>
        <w:t xml:space="preserve">Implementation mechanisms: What structures, roles, processes, or actions are proposed or evidenced? (Relevance: RQ2)</w:t>
      </w:r>
    </w:p>
    <w:p>
      <w:pPr>
        <w:numPr>
          <w:ilvl w:val="0"/>
          <w:numId w:val="13"/>
        </w:numPr>
        <w:spacing w:after="160" w:before="0" w:line="360"/>
        <w:jc w:val="both"/>
      </w:pPr>
      <w:r>
        <w:rPr>
          <w:rFonts w:ascii="Times New Roman" w:cs="Times New Roman" w:eastAsia="Times New Roman" w:hAnsi="Times New Roman"/>
          <w:sz w:val="24"/>
          <w:szCs w:val="24"/>
        </w:rPr>
        <w:t xml:space="preserve">Roles and responsibilities: Are specific institutional actors identified with clearly defined responsibilities? (Relevance: RQ2, RQ3)</w:t>
      </w:r>
    </w:p>
    <w:p>
      <w:pPr>
        <w:numPr>
          <w:ilvl w:val="0"/>
          <w:numId w:val="13"/>
        </w:numPr>
        <w:spacing w:after="160" w:before="0" w:line="360"/>
        <w:jc w:val="both"/>
      </w:pPr>
      <w:r>
        <w:rPr>
          <w:rFonts w:ascii="Times New Roman" w:cs="Times New Roman" w:eastAsia="Times New Roman" w:hAnsi="Times New Roman"/>
          <w:sz w:val="24"/>
          <w:szCs w:val="24"/>
        </w:rPr>
        <w:t xml:space="preserve">Teacher preparation and professional development: Does the document address teacher education or professional support? (Relevance: RQ2, RQ3)</w:t>
      </w:r>
    </w:p>
    <w:p>
      <w:pPr>
        <w:numPr>
          <w:ilvl w:val="0"/>
          <w:numId w:val="12"/>
        </w:numPr>
        <w:spacing w:after="160" w:before="0" w:line="360"/>
        <w:jc w:val="both"/>
      </w:pPr>
      <w:r>
        <w:rPr>
          <w:rFonts w:ascii="Times New Roman" w:cs="Times New Roman" w:eastAsia="Times New Roman" w:hAnsi="Times New Roman"/>
          <w:sz w:val="24"/>
          <w:szCs w:val="24"/>
        </w:rPr>
        <w:t xml:space="preserve">Disability-specific guidance: Does the document differentiate between categories of learner need or provide condition-specific guidance? (Relevance: RQ1, RQ3)</w:t>
      </w:r>
    </w:p>
    <w:p>
      <w:pPr>
        <w:numPr>
          <w:ilvl w:val="0"/>
          <w:numId w:val="12"/>
        </w:numPr>
        <w:spacing w:after="160" w:before="0" w:line="360"/>
        <w:jc w:val="both"/>
      </w:pPr>
      <w:r>
        <w:rPr>
          <w:rFonts w:ascii="Times New Roman" w:cs="Times New Roman" w:eastAsia="Times New Roman" w:hAnsi="Times New Roman"/>
          <w:sz w:val="24"/>
          <w:szCs w:val="24"/>
        </w:rPr>
        <w:t xml:space="preserve">Monitoring and accountability: Does the document specify indicators, reporting systems, review mechanisms, or accountability arrangements? (Relevance: RQ2, RQ3)</w:t>
      </w:r>
    </w:p>
    <w:p>
      <w:pPr>
        <w:numPr>
          <w:ilvl w:val="0"/>
          <w:numId w:val="12"/>
        </w:numPr>
        <w:spacing w:after="160" w:before="0" w:line="360"/>
        <w:jc w:val="both"/>
      </w:pPr>
      <w:r>
        <w:rPr>
          <w:rFonts w:ascii="Times New Roman" w:cs="Times New Roman" w:eastAsia="Times New Roman" w:hAnsi="Times New Roman"/>
          <w:sz w:val="24"/>
          <w:szCs w:val="24"/>
        </w:rPr>
        <w:t xml:space="preserve">Resource and institutional capacity implications: What assumptions does the document make about staffing, infrastructure, data systems, and finance? (Relevance: RQ2, RQ3)</w:t>
      </w:r>
    </w:p>
    <w:p>
      <w:pPr>
        <w:numPr>
          <w:ilvl w:val="0"/>
          <w:numId w:val="12"/>
        </w:numPr>
        <w:spacing w:after="160" w:before="0" w:line="360"/>
        <w:jc w:val="both"/>
      </w:pPr>
      <w:r>
        <w:rPr>
          <w:rFonts w:ascii="Times New Roman" w:cs="Times New Roman" w:eastAsia="Times New Roman" w:hAnsi="Times New Roman"/>
          <w:sz w:val="24"/>
          <w:szCs w:val="24"/>
        </w:rPr>
        <w:t xml:space="preserve">Policy coherence: How does the document relate to other national policy or planning instruments? (Relevance: RQ3)</w:t>
      </w:r>
    </w:p>
    <w:p>
      <w:pPr>
        <w:numPr>
          <w:ilvl w:val="0"/>
          <w:numId w:val="13"/>
        </w:numPr>
        <w:spacing w:after="160" w:before="0" w:line="360"/>
        <w:jc w:val="both"/>
      </w:pPr>
      <w:r>
        <w:rPr>
          <w:rFonts w:ascii="Times New Roman" w:cs="Times New Roman" w:eastAsia="Times New Roman" w:hAnsi="Times New Roman"/>
          <w:sz w:val="24"/>
          <w:szCs w:val="24"/>
        </w:rPr>
        <w:t xml:space="preserve">Policy limitations or silences: What important issues are absent, underdeveloped, or left unspecified? (Relevance: RQ3, RQ4)</w:t>
      </w:r>
    </w:p>
    <w:p>
      <w:pPr>
        <w:numPr>
          <w:ilvl w:val="0"/>
          <w:numId w:val="13"/>
        </w:numPr>
        <w:spacing w:after="160" w:before="0" w:line="360"/>
        <w:jc w:val="both"/>
      </w:pPr>
      <w:r>
        <w:rPr>
          <w:rFonts w:ascii="Times New Roman" w:cs="Times New Roman" w:eastAsia="Times New Roman" w:hAnsi="Times New Roman"/>
          <w:sz w:val="24"/>
          <w:szCs w:val="24"/>
        </w:rPr>
        <w:t xml:space="preserve">Implications for reform: What documentary weaknesses or gaps suggest areas for policy revision or strengthening? (Relevance: RQ4)</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
    <w:multiLevelType w:val="hybridMultilevel"/>
    <w:lvl w:ilvl="0">
      <w:start w:val="1"/>
      <w:numFmt w:val="decimal"/>
      <w:lvlText w:val="%1."/>
      <w:lvlJc w:val="left"/>
      <w:pPr>
        <w:ind w:left="720" w:hanging="360"/>
      </w:pPr>
      <w:rPr>
        <w:rFonts w:ascii="Times New Roman" w:hAnsi="Times New Roman"/>
        <w:sz w:val="24"/>
      </w:rPr>
    </w:lvl>
  </w:abstractNum>
  <w:num w:numId="1">
    <w:abstractNumId w:val="1"/>
    <w:lvlOverride w:ilvl="0">
      <w:startOverride w:val="1"/>
    </w:lvlOverride>
  </w:num>
  <w:num w:numId="10">
    <w:abstractNumId w:val="10"/>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2026-04-13T14:19:14.633Z</dcterms:created>
  <dcterms:modified xsi:type="dcterms:W3CDTF">2026-04-13T14:19:14.634Z</dcterms:modified>
</cp:coreProperties>
</file>

<file path=docProps/custom.xml><?xml version="1.0" encoding="utf-8"?>
<Properties xmlns="http://schemas.openxmlformats.org/officeDocument/2006/custom-properties" xmlns:vt="http://schemas.openxmlformats.org/officeDocument/2006/docPropsVTypes"/>
</file>