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b w:val="false"/>
          <w:bCs w:val="false"/>
          <w:i w:val="false"/>
          <w:iCs w:val="false"/>
          <w:sz w:val="22"/>
          <w:szCs w:val="22"/>
        </w:rPr>
        <w:t xml:space="preserve">This FRD covers what happens when a user uploads documents that don’t match what the workflow expects — a Due Diligence Summary run with only a memo, a Compliance Audit run with contracts, a Contract Risk Review on a scanned image PDF, and every other realistic mismatch a legal user might create. It documents what the platform shows the user at every stage (before the run, during the run, in the final report, and in the audit log), the protocol every operation follows, and the recovery paths the user has.</w:t>
      </w:r>
    </w:p>
    <w:p>
      <w:pPr>
        <w:spacing w:after="80" w:before="80"/>
      </w:pPr>
      <w:r>
        <w:rPr>
          <w:b w:val="false"/>
          <w:bCs w:val="false"/>
          <w:i w:val="false"/>
          <w:iCs w:val="false"/>
          <w:sz w:val="22"/>
          <w:szCs w:val="22"/>
        </w:rPr>
        <w:t xml:space="preserve">Audience: product managers, QA, and tech strategists. There is no code, no JavaScript, no HTML, no API contracts — only product behaviour.</w:t>
      </w:r>
    </w:p>
    <w:p>
      <w:pPr>
        <w:pStyle w:val="Heading2"/>
        <w:spacing w:after="140" w:before="320"/>
      </w:pPr>
      <w:r>
        <w:rPr>
          <w:rFonts w:ascii="Arial" w:cs="Arial" w:eastAsia="Arial" w:hAnsi="Arial"/>
          <w:b/>
          <w:bCs/>
          <w:color w:val="0A2463"/>
          <w:sz w:val="26"/>
          <w:szCs w:val="26"/>
        </w:rPr>
        <w:t xml:space="preserve">1. The Product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9A84C" w:sz="18"/>
              <w:bottom w:val="none" w:color="auto" w:sz="0"/>
              <w:right w:val="none" w:color="auto" w:sz="0"/>
            </w:tcBorders>
            <w:shd w:fill="FAF6EE" w:color="auto" w:val="clear"/>
            <w:tcMar>
              <w:top w:type="dxa" w:w="100"/>
              <w:left w:type="dxa" w:w="200"/>
              <w:bottom w:type="dxa" w:w="100"/>
              <w:right w:type="dxa" w:w="120"/>
            </w:tcMar>
          </w:tcPr>
          <w:p>
            <w:r>
              <w:rPr>
                <w:i/>
                <w:iCs/>
                <w:color w:val="37475A"/>
                <w:sz w:val="22"/>
                <w:szCs w:val="22"/>
              </w:rPr>
              <w:t xml:space="preserve">“If you upload the wrong document for a workflow, you will not get a fabricated answer. You will get an honest report that tells you exactly what was missing and what was possible.”</w:t>
            </w:r>
          </w:p>
        </w:tc>
      </w:tr>
    </w:tbl>
    <w:p>
      <w:pPr>
        <w:spacing w:after="80" w:before="80"/>
      </w:pPr>
      <w:r>
        <w:rPr>
          <w:b w:val="false"/>
          <w:bCs w:val="false"/>
          <w:i w:val="false"/>
          <w:iCs w:val="false"/>
          <w:sz w:val="22"/>
          <w:szCs w:val="22"/>
        </w:rPr>
        <w:t xml:space="preserve">This is the platform’s core integrity contract with attorneys. Hallucinated findings on legal documents are unacceptable in a way they are not in a general-purpose chatbot — a fabricated case citation in a Due Diligence Summary is a billable-hour mistake. Every part of the incorrect-document handling story exists to enforce this promise.</w:t>
      </w:r>
    </w:p>
    <w:p>
      <w:pPr>
        <w:pStyle w:val="Heading2"/>
        <w:spacing w:after="140" w:before="320"/>
      </w:pPr>
      <w:r>
        <w:rPr>
          <w:rFonts w:ascii="Arial" w:cs="Arial" w:eastAsia="Arial" w:hAnsi="Arial"/>
          <w:b/>
          <w:bCs/>
          <w:color w:val="0A2463"/>
          <w:sz w:val="26"/>
          <w:szCs w:val="26"/>
        </w:rPr>
        <w:t xml:space="preserve">2. Taxonomy of “Incorrect” Documents</w:t>
      </w:r>
    </w:p>
    <w:p>
      <w:pPr>
        <w:spacing w:after="80" w:before="80"/>
      </w:pPr>
      <w:r>
        <w:rPr>
          <w:b w:val="false"/>
          <w:bCs w:val="false"/>
          <w:i w:val="false"/>
          <w:iCs w:val="false"/>
          <w:sz w:val="22"/>
          <w:szCs w:val="22"/>
        </w:rPr>
        <w:t xml:space="preserve">Not all mismatches are equal. The platform distinguishes nine kinds of incorrect-document scenarios, each with its own behaviour. Knowing which category a real-world case falls into is the fastest way to predict what the user will see.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000"/>
      </w:tblGrid>
      <w:tr>
        <w:trPr>
          <w:tblHeader/>
        </w:trPr>
        <w:tc>
          <w:tcPr>
            <w:tcW w:type="dxa" w:w="1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t>
            </w:r>
          </w:p>
        </w:tc>
        <w:tc>
          <w:tcPr>
            <w:tcW w:type="dxa" w:w="23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Category</w:t>
            </w:r>
          </w:p>
        </w:tc>
        <w:tc>
          <w:tcPr>
            <w:tcW w:type="dxa" w:w="60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Description</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1</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Completely wrong type</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uploads a document type the workflow has no use for. Example: Due Diligence Summary run on a single memo, or Compliance Audit run on a contract.</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2</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Right type, wrong content</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 type matches the workflow’s expectations but the specific content doesn’t. Example: Contract Risk Review run on a vendor receipt that is technically a contract but has nothing to review.</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3</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Partial set</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Some of the expected document types are present and some are missing. Example: Due Diligence Summary run with the agreements but no financial statements or board minutes.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4</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 extraction</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 was uploaded successfully but its text could not be extracted. Example: scanned image PDF with no OCR layer; encrypted PDF; corrupted file.</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5</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Out-of-scope content</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 is a legal document but the workflow has nothing legitimate to say about it. Example: Compliance Audit run on a meeting agenda.</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Mixed batch</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uploads a mix of right and wrong documents. Example: Contract Risk Review with one contract + one financial statement + one email thread.</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7</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Too many documents</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uploads more documents than the workflow can usefully process. Example: 50 documents into a workflow that’s meant to compare 2–3 contracts.</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8</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Sensitive identifiers</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Documents contain PII (SSNs, bar numbers, payment card numbers) the platform must not echo into outputs. Example: a contract with a Social Security Number in a personal-guarantor clause.</w:t>
            </w:r>
          </w:p>
        </w:tc>
      </w:tr>
      <w:tr>
        <w:trPr>
          <w:tblHeader w:val="false"/>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9</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Non-English content</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Documents are in a language other than English at launch. Example: a Spanish-language contract uploaded to Contract Risk Review.</w:t>
            </w:r>
          </w:p>
        </w:tc>
      </w:tr>
    </w:tbl>
    <w:p>
      <w:pPr>
        <w:pStyle w:val="Heading2"/>
        <w:spacing w:after="140" w:before="320"/>
      </w:pPr>
      <w:r>
        <w:rPr>
          <w:rFonts w:ascii="Arial" w:cs="Arial" w:eastAsia="Arial" w:hAnsi="Arial"/>
          <w:b/>
          <w:bCs/>
          <w:color w:val="0A2463"/>
          <w:sz w:val="26"/>
          <w:szCs w:val="26"/>
        </w:rPr>
        <w:t xml:space="preserve">3. Where the Platform Catches Mismatches</w:t>
      </w:r>
    </w:p>
    <w:p>
      <w:pPr>
        <w:spacing w:after="80" w:before="80"/>
      </w:pPr>
      <w:r>
        <w:rPr>
          <w:b w:val="false"/>
          <w:bCs w:val="false"/>
          <w:i w:val="false"/>
          <w:iCs w:val="false"/>
          <w:sz w:val="22"/>
          <w:szCs w:val="22"/>
        </w:rPr>
        <w:t xml:space="preserve">There are three sequential stages where mismatch handling kicks in. The earlier the catch, the better the user’s recovery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Stage</w:t>
            </w:r>
          </w:p>
        </w:tc>
        <w:tc>
          <w:tcPr>
            <w:tcW w:type="dxa" w:w="25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Surface</w:t>
            </w:r>
          </w:p>
        </w:tc>
        <w:tc>
          <w:tcPr>
            <w:tcW w:type="dxa" w:w="51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it does about mismatch</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Stage 1 — Pre-flight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Pre-Run Modal</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Detects upload-level problems before the run starts (size, format, extraction failure, optional document-type classification). The user can fix and re-upload before paying for compute.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Stage 2 — Per-step</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operation while the run executes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operation’s system prompt forces graceful degradation. If the document doesn’t cover what the step needs, the step says so explicitly and produces only the partial analysis it can support.</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Stage 3 — Report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Final Workflow Report + Audit Log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report’s header paragraph honestly summarises what was missing or limited. The audit log carries the per-step degradation messages so the user can drill in.</w:t>
            </w:r>
          </w:p>
        </w:tc>
      </w:tr>
    </w:tbl>
    <w:p>
      <w:pPr>
        <w:spacing w:after="80" w:before="80"/>
      </w:pPr>
      <w:r>
        <w:rPr>
          <w:b w:val="false"/>
          <w:bCs w:val="false"/>
          <w:i w:val="false"/>
          <w:iCs w:val="false"/>
          <w:sz w:val="22"/>
          <w:szCs w:val="22"/>
        </w:rPr>
        <w:t xml:space="preserve">The recovery path scales with how early the catch happens: a Stage 1 catch is a re-upload before any work is done; a Stage 2 catch is an honest mid-run report the user can act on; a Stage 3 catch is a clean final-report disclaimer that prevents the user from acting on a fabricated finding.</w:t>
      </w:r>
    </w:p>
    <w:p>
      <w:pPr>
        <w:pStyle w:val="Heading2"/>
        <w:spacing w:after="140" w:before="320"/>
      </w:pPr>
      <w:r>
        <w:rPr>
          <w:rFonts w:ascii="Arial" w:cs="Arial" w:eastAsia="Arial" w:hAnsi="Arial"/>
          <w:b/>
          <w:bCs/>
          <w:color w:val="0A2463"/>
          <w:sz w:val="26"/>
          <w:szCs w:val="26"/>
        </w:rPr>
        <w:t xml:space="preserve">4. Stage 1 — Pre-flight (Pre-Run Modal)</w:t>
      </w:r>
    </w:p>
    <w:p>
      <w:pPr>
        <w:pStyle w:val="Heading4"/>
        <w:spacing w:after="140" w:before="220"/>
      </w:pPr>
      <w:r>
        <w:rPr>
          <w:rFonts w:ascii="Arial" w:cs="Arial" w:eastAsia="Arial" w:hAnsi="Arial"/>
          <w:b/>
          <w:bCs/>
          <w:color w:val="0F2E59"/>
          <w:sz w:val="20"/>
          <w:szCs w:val="20"/>
        </w:rPr>
        <w:t xml:space="preserve">What’s caught here</w:t>
      </w:r>
    </w:p>
    <w:p>
      <w:pPr>
        <w:pStyle w:val="ListParagraph"/>
        <w:numPr>
          <w:ilvl w:val="0"/>
          <w:numId w:val="2"/>
        </w:numPr>
        <w:spacing w:after="80" w:before="80"/>
      </w:pPr>
      <w:r>
        <w:rPr>
          <w:b w:val="false"/>
          <w:bCs w:val="false"/>
          <w:i w:val="false"/>
          <w:iCs w:val="false"/>
          <w:sz w:val="22"/>
          <w:szCs w:val="22"/>
        </w:rPr>
        <w:t xml:space="preserve">Format mismatch — file extensions outside the supported set (PDF, DOCX, XLSX, TXT) are rejected with an inline error before the run.</w:t>
      </w:r>
    </w:p>
    <w:p>
      <w:pPr>
        <w:pStyle w:val="ListParagraph"/>
        <w:numPr>
          <w:ilvl w:val="0"/>
          <w:numId w:val="2"/>
        </w:numPr>
        <w:spacing w:after="80" w:before="80"/>
      </w:pPr>
      <w:r>
        <w:rPr>
          <w:b w:val="false"/>
          <w:bCs w:val="false"/>
          <w:i w:val="false"/>
          <w:iCs w:val="false"/>
          <w:sz w:val="22"/>
          <w:szCs w:val="22"/>
        </w:rPr>
        <w:t xml:space="preserve">Size limit — individual files over 100 MB are rejected with an inline size error.</w:t>
      </w:r>
    </w:p>
    <w:p>
      <w:pPr>
        <w:pStyle w:val="ListParagraph"/>
        <w:numPr>
          <w:ilvl w:val="0"/>
          <w:numId w:val="2"/>
        </w:numPr>
        <w:spacing w:after="80" w:before="80"/>
      </w:pPr>
      <w:r>
        <w:rPr>
          <w:b w:val="false"/>
          <w:bCs w:val="false"/>
          <w:i w:val="false"/>
          <w:iCs w:val="false"/>
          <w:sz w:val="22"/>
          <w:szCs w:val="22"/>
        </w:rPr>
        <w:t xml:space="preserve">Extraction failure — documents that cannot be text-extracted (scanned image PDF without OCR, encrypted PDF, corrupted file) are added to the upload list with a Failed status; user can remove and re-upload.</w:t>
      </w:r>
    </w:p>
    <w:p>
      <w:pPr>
        <w:pStyle w:val="ListParagraph"/>
        <w:numPr>
          <w:ilvl w:val="0"/>
          <w:numId w:val="2"/>
        </w:numPr>
        <w:spacing w:after="80" w:before="80"/>
      </w:pPr>
      <w:r>
        <w:rPr>
          <w:b w:val="false"/>
          <w:bCs w:val="false"/>
          <w:i w:val="false"/>
          <w:iCs w:val="false"/>
          <w:sz w:val="22"/>
          <w:szCs w:val="22"/>
        </w:rPr>
        <w:t xml:space="preserve">Optional document-type classification — a lightweight pre-flight pass that looks at the first ~600 characters of each ready document and classifies it (“contract”, “NDA”, “memo”, “financial statement”, etc.). Surfaces a small detected-type label per upload.</w:t>
      </w:r>
    </w:p>
    <w:p>
      <w:pPr>
        <w:pStyle w:val="Heading4"/>
        <w:spacing w:after="140" w:before="220"/>
      </w:pPr>
      <w:r>
        <w:rPr>
          <w:rFonts w:ascii="Arial" w:cs="Arial" w:eastAsia="Arial" w:hAnsi="Arial"/>
          <w:b/>
          <w:bCs/>
          <w:color w:val="0F2E59"/>
          <w:sz w:val="20"/>
          <w:szCs w:val="20"/>
        </w:rPr>
        <w:t xml:space="preserve">What the user sees</w:t>
      </w:r>
    </w:p>
    <w:p>
      <w:pPr>
        <w:pStyle w:val="ListParagraph"/>
        <w:numPr>
          <w:ilvl w:val="0"/>
          <w:numId w:val="2"/>
        </w:numPr>
        <w:spacing w:after="80" w:before="80"/>
      </w:pPr>
      <w:r>
        <w:rPr>
          <w:b w:val="false"/>
          <w:bCs w:val="false"/>
          <w:i w:val="false"/>
          <w:iCs w:val="false"/>
          <w:sz w:val="22"/>
          <w:szCs w:val="22"/>
        </w:rPr>
        <w:t xml:space="preserve">Per-row badges on every uploaded document: Processing (during extraction), Ready (success), Failed (extraction or size or format problem).</w:t>
      </w:r>
    </w:p>
    <w:p>
      <w:pPr>
        <w:pStyle w:val="ListParagraph"/>
        <w:numPr>
          <w:ilvl w:val="0"/>
          <w:numId w:val="2"/>
        </w:numPr>
        <w:spacing w:after="80" w:before="80"/>
      </w:pPr>
      <w:r>
        <w:rPr>
          <w:b w:val="false"/>
          <w:bCs w:val="false"/>
          <w:i w:val="false"/>
          <w:iCs w:val="false"/>
          <w:sz w:val="22"/>
          <w:szCs w:val="22"/>
        </w:rPr>
        <w:t xml:space="preserve">When a Failed row exists alongside Ready rows, Run Workflow stays enabled — the user can proceed with a partial set and the failed file will appear in the report’s partial-failure note.</w:t>
      </w:r>
    </w:p>
    <w:p>
      <w:pPr>
        <w:pStyle w:val="ListParagraph"/>
        <w:numPr>
          <w:ilvl w:val="0"/>
          <w:numId w:val="2"/>
        </w:numPr>
        <w:spacing w:after="80" w:before="80"/>
      </w:pPr>
      <w:r>
        <w:rPr>
          <w:b w:val="false"/>
          <w:bCs w:val="false"/>
          <w:i w:val="false"/>
          <w:iCs w:val="false"/>
          <w:sz w:val="22"/>
          <w:szCs w:val="22"/>
        </w:rPr>
        <w:t xml:space="preserve">When every uploaded file is Failed, Run Workflow is disabled with a tooltip telling the user to upload at least one supported document.</w:t>
      </w:r>
    </w:p>
    <w:p>
      <w:pPr>
        <w:pStyle w:val="ListParagraph"/>
        <w:numPr>
          <w:ilvl w:val="0"/>
          <w:numId w:val="2"/>
        </w:numPr>
        <w:spacing w:after="80" w:before="80"/>
      </w:pPr>
      <w:r>
        <w:rPr>
          <w:b w:val="false"/>
          <w:bCs w:val="false"/>
          <w:i w:val="false"/>
          <w:iCs w:val="false"/>
          <w:sz w:val="22"/>
          <w:szCs w:val="22"/>
        </w:rPr>
        <w:t xml:space="preserve">When the optional classifier runs, each Ready row gains a small detected-type label so the user can spot a mismatch at a glance.</w:t>
      </w:r>
    </w:p>
    <w:p>
      <w:pPr>
        <w:pStyle w:val="ListParagraph"/>
        <w:numPr>
          <w:ilvl w:val="0"/>
          <w:numId w:val="2"/>
        </w:numPr>
        <w:spacing w:after="80" w:before="80"/>
      </w:pPr>
      <w:r>
        <w:rPr>
          <w:b w:val="false"/>
          <w:bCs w:val="false"/>
          <w:i w:val="false"/>
          <w:iCs w:val="false"/>
          <w:sz w:val="22"/>
          <w:szCs w:val="22"/>
        </w:rPr>
        <w:t xml:space="preserve">An informational banner at the top of the modal restates the knowledge source for this run (Workspace + Global KB or Global KB only).</w:t>
      </w:r>
    </w:p>
    <w:p>
      <w:pPr>
        <w:pStyle w:val="ListParagraph"/>
        <w:numPr>
          <w:ilvl w:val="0"/>
          <w:numId w:val="2"/>
        </w:numPr>
        <w:spacing w:after="80" w:before="80"/>
      </w:pPr>
      <w:r>
        <w:rPr>
          <w:b w:val="false"/>
          <w:bCs w:val="false"/>
          <w:i w:val="false"/>
          <w:iCs w:val="false"/>
          <w:sz w:val="22"/>
          <w:szCs w:val="22"/>
        </w:rPr>
        <w:t xml:space="preserve">A second yellow sibling banner appears when the user is inside a workspace that has zero documents, explaining the run will fall back to Global KB.</w:t>
      </w:r>
    </w:p>
    <w:p>
      <w:pPr>
        <w:pStyle w:val="Heading4"/>
        <w:spacing w:after="140" w:before="220"/>
      </w:pPr>
      <w:r>
        <w:rPr>
          <w:rFonts w:ascii="Arial" w:cs="Arial" w:eastAsia="Arial" w:hAnsi="Arial"/>
          <w:b/>
          <w:bCs/>
          <w:color w:val="0F2E59"/>
          <w:sz w:val="20"/>
          <w:szCs w:val="20"/>
        </w:rPr>
        <w:t xml:space="preserve">What’s NOT caught here</w:t>
      </w:r>
    </w:p>
    <w:p>
      <w:pPr>
        <w:pStyle w:val="ListParagraph"/>
        <w:numPr>
          <w:ilvl w:val="0"/>
          <w:numId w:val="2"/>
        </w:numPr>
        <w:spacing w:after="80" w:before="80"/>
      </w:pPr>
      <w:r>
        <w:rPr>
          <w:b w:val="false"/>
          <w:bCs w:val="false"/>
          <w:i w:val="false"/>
          <w:iCs w:val="false"/>
          <w:sz w:val="22"/>
          <w:szCs w:val="22"/>
        </w:rPr>
        <w:t xml:space="preserve">The Pre-Run Modal does not block runs based on workflow-vs-document semantics. A user can upload a memo and run Due Diligence Summary; the system will allow it and let Stage 2 surface the mismatch.</w:t>
      </w:r>
    </w:p>
    <w:p>
      <w:pPr>
        <w:pStyle w:val="ListParagraph"/>
        <w:numPr>
          <w:ilvl w:val="0"/>
          <w:numId w:val="2"/>
        </w:numPr>
        <w:spacing w:after="80" w:before="80"/>
      </w:pPr>
      <w:r>
        <w:rPr>
          <w:b w:val="false"/>
          <w:bCs w:val="false"/>
          <w:i w:val="false"/>
          <w:iCs w:val="false"/>
          <w:sz w:val="22"/>
          <w:szCs w:val="22"/>
        </w:rPr>
        <w:t xml:space="preserve">The classifier is advisory — it never blocks the run. This is intentional: it is not the platform’s job to decide for the user what counts as the “right” document for a workflow.</w:t>
      </w:r>
    </w:p>
    <w:p>
      <w:pPr>
        <w:pStyle w:val="ListParagraph"/>
        <w:numPr>
          <w:ilvl w:val="0"/>
          <w:numId w:val="2"/>
        </w:numPr>
        <w:spacing w:after="80" w:before="80"/>
      </w:pPr>
      <w:r>
        <w:rPr>
          <w:b w:val="false"/>
          <w:bCs w:val="false"/>
          <w:i w:val="false"/>
          <w:iCs w:val="false"/>
          <w:sz w:val="22"/>
          <w:szCs w:val="22"/>
        </w:rPr>
        <w:t xml:space="preserve">Documents that extract successfully but contain content the operation has no use for (e.g., a vendor receipt for Contract Risk Review) are not flagged here — Stage 2 catches them.</w:t>
      </w:r>
    </w:p>
    <w:p>
      <w:pPr>
        <w:pStyle w:val="Heading4"/>
        <w:spacing w:after="140" w:before="220"/>
      </w:pPr>
      <w:r>
        <w:rPr>
          <w:rFonts w:ascii="Arial" w:cs="Arial" w:eastAsia="Arial" w:hAnsi="Arial"/>
          <w:b/>
          <w:bCs/>
          <w:color w:val="0F2E59"/>
          <w:sz w:val="20"/>
          <w:szCs w:val="20"/>
        </w:rPr>
        <w:t xml:space="preserve">Pre-flight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1100"/>
        <w:gridCol w:w="220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51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Files outside the supported format set must be added to the upload list with a Failed status and a tooltip stating “Only PDF, DOCX, XLSX, and TXT are supported”. They must not be sent to the operations.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Files over 100 MB must be added to the upload list with a Failed status and a tooltip stating “Files over 100 MB aren’t supported”.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FR-PF.03</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Files whose text extraction fails must be added with Failed status and remain visible in the upload list so the user can remove them.</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Workflow must be disabled when no upload has reached Ready; the tooltip must explain why.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Workflow must remain enabled when at least one upload is Ready, even if other uploads are Failed.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Failed files are recorded for the report’s partial-failure note.</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FR-PF.06</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the optional classifier runs successfully, each Ready row may display a small detected-type label. Classification failures must not block the modal.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FR-PF.07</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classifier must never refuse a run based on detected type. It is advisory only.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the user is inside a workspace with zero documents, a yellow sibling warning must appear under the knowledge source banner.</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FR-PF.09</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Closing the modal with files Processing must cancel extraction without starting a run.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FR-PF.10</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Files containing sensitive identifiers (SSN, EIN, bar numbers, payment card numbers) must be passed to the operations through the platform’s redaction layer; the raw identifiers must not appear in operation outputs.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Redaction is upstream of the operations.</w:t>
            </w:r>
          </w:p>
        </w:tc>
      </w:tr>
    </w:tbl>
    <w:p>
      <w:pPr>
        <w:pStyle w:val="Heading2"/>
        <w:spacing w:after="140" w:before="320"/>
      </w:pPr>
      <w:r>
        <w:rPr>
          <w:rFonts w:ascii="Arial" w:cs="Arial" w:eastAsia="Arial" w:hAnsi="Arial"/>
          <w:b/>
          <w:bCs/>
          <w:color w:val="0A2463"/>
          <w:sz w:val="26"/>
          <w:szCs w:val="26"/>
        </w:rPr>
        <w:t xml:space="preserve">5. Stage 2 — Per-step Operation Behaviour</w:t>
      </w:r>
    </w:p>
    <w:p>
      <w:pPr>
        <w:spacing w:after="80" w:before="80"/>
      </w:pPr>
      <w:r>
        <w:rPr>
          <w:b w:val="false"/>
          <w:bCs w:val="false"/>
          <w:i w:val="false"/>
          <w:iCs w:val="false"/>
          <w:sz w:val="22"/>
          <w:szCs w:val="22"/>
        </w:rPr>
        <w:t xml:space="preserve">Every operation’s system prompt carries the same anti-hallucination ruleset. The symptoms of “incorrect document” differ by operation but the protocol is identical: don’t fabricate, say what’s missing, do what’s possible.</w:t>
      </w:r>
    </w:p>
    <w:p>
      <w:pPr>
        <w:pStyle w:val="Heading4"/>
        <w:spacing w:after="140" w:before="220"/>
      </w:pPr>
      <w:r>
        <w:rPr>
          <w:rFonts w:ascii="Arial" w:cs="Arial" w:eastAsia="Arial" w:hAnsi="Arial"/>
          <w:b/>
          <w:bCs/>
          <w:color w:val="0F2E59"/>
          <w:sz w:val="20"/>
          <w:szCs w:val="20"/>
        </w:rPr>
        <w:t xml:space="preserve">The graceful-degradation protocol</w:t>
      </w:r>
    </w:p>
    <w:p>
      <w:pPr>
        <w:spacing w:after="80" w:before="80"/>
      </w:pPr>
      <w:r>
        <w:rPr>
          <w:b w:val="false"/>
          <w:bCs w:val="false"/>
          <w:i w:val="false"/>
          <w:iCs w:val="false"/>
          <w:sz w:val="22"/>
          <w:szCs w:val="22"/>
        </w:rPr>
        <w:t xml:space="preserve">When the supplied documents do not contain what the step needs, the step’s output begins with the literal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C9A84C" w:sz="18"/>
              <w:bottom w:val="none" w:color="auto" w:sz="0"/>
              <w:right w:val="none" w:color="auto" w:sz="0"/>
            </w:tcBorders>
            <w:shd w:fill="FAF6EE" w:color="auto" w:val="clear"/>
            <w:tcMar>
              <w:top w:type="dxa" w:w="100"/>
              <w:left w:type="dxa" w:w="200"/>
              <w:bottom w:type="dxa" w:w="100"/>
              <w:right w:type="dxa" w:w="120"/>
            </w:tcMar>
          </w:tcPr>
          <w:p>
            <w:r>
              <w:rPr>
                <w:i/>
                <w:iCs/>
                <w:color w:val="37475A"/>
                <w:sz w:val="22"/>
                <w:szCs w:val="22"/>
              </w:rPr>
              <w:t xml:space="preserve">Not covered by supplied documents.</w:t>
            </w:r>
          </w:p>
        </w:tc>
      </w:tr>
    </w:tbl>
    <w:p>
      <w:pPr>
        <w:spacing w:after="80" w:before="80"/>
      </w:pPr>
      <w:r>
        <w:rPr>
          <w:b w:val="false"/>
          <w:bCs w:val="false"/>
          <w:i w:val="false"/>
          <w:iCs w:val="false"/>
          <w:sz w:val="22"/>
          <w:szCs w:val="22"/>
        </w:rPr>
        <w:t xml:space="preserve">… followed by a one-sentence reason, then whatever partial analysis is possible from what was supplied. This is enforced at the system-prompt level for every operation.</w:t>
      </w:r>
    </w:p>
    <w:p>
      <w:pPr>
        <w:pStyle w:val="Heading4"/>
        <w:spacing w:after="140" w:before="220"/>
      </w:pPr>
      <w:r>
        <w:rPr>
          <w:rFonts w:ascii="Arial" w:cs="Arial" w:eastAsia="Arial" w:hAnsi="Arial"/>
          <w:b/>
          <w:bCs/>
          <w:color w:val="0F2E59"/>
          <w:sz w:val="20"/>
          <w:szCs w:val="20"/>
        </w:rPr>
        <w:t xml:space="preserve">Per-operation behaviour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Operation</w:t>
            </w:r>
          </w:p>
        </w:tc>
        <w:tc>
          <w:tcPr>
            <w:tcW w:type="dxa" w:w="72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this operation does on a mismatched document</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Classifies the document as “other” rather than guess a type. Lists whatever structure is present. If the document is unreadable (empty extraction), the section says “Not covered by supplied documents — this file appears to contain no readable text”.</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document has no contractual clauses (e.g., a memo, a court filing, a financial statement), the step states that plainly and ends. It does not invent clauses to fit the workflow’s expected shape.</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neither a reference document is attached nor the document type has a confident market baseline, the step leads with the limitation: “No reference standard is available for this document type. The following observations are based on internal consistency only.”</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Precedents</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documents and instruction together don’t imply a clear legal question, the step asks for a sharper question and ends. If a citation is uncertain, the step states the principle and adds “citation to verify” explicitly rather than fabricating.</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Compliance Check</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documents aren’t policy-shaped, the step declines to perform a compliance check and explains why. Controls without evidence are NEVER marked compliant; they are listed as gaps with severity.</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Update Knowledge Base</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Persists nothing if there is nothing persistable. Output reads: “Nothing persistable was identified in the prior steps. KB unchanged.”</w:t>
            </w:r>
          </w:p>
        </w:tc>
      </w:tr>
      <w:tr>
        <w:trPr>
          <w:tblHeader w:val="false"/>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every prior step said “Not covered by supplied documents”, the report produces a no-deliverable note rather than fabricating a summary.</w:t>
            </w:r>
          </w:p>
        </w:tc>
      </w:tr>
    </w:tbl>
    <w:p>
      <w:pPr>
        <w:pStyle w:val="Heading4"/>
        <w:spacing w:after="140" w:before="220"/>
      </w:pPr>
      <w:r>
        <w:rPr>
          <w:rFonts w:ascii="Arial" w:cs="Arial" w:eastAsia="Arial" w:hAnsi="Arial"/>
          <w:b/>
          <w:bCs/>
          <w:color w:val="0F2E59"/>
          <w:sz w:val="20"/>
          <w:szCs w:val="20"/>
        </w:rPr>
        <w:t xml:space="preserve">Per-step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1100"/>
        <w:gridCol w:w="220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51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Every operation’s system prompt must carry the shared anti-hallucination ruleset (no fabrication; “Not covered by supplied documents” protocol).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Single source of truth for the rule wording.</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 step encounters mismatched documents, its output must begin with the literal sentence “Not covered by supplied documents.” followed by a one-sentence reason.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FR-PS.03</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After the “Not covered” opening, the step must produce whatever partial analysis is possible from what WAS supplied. The step is not allowed to skip producing anything.</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 output is treated as a failure, not as a graceful skip.</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 operation must NEVER fabricate facts, citations, case names, statute numbers, regulatory sections, or clauses that aren’t in the supplied documents or prior step outputs.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Most important integrity rule in the platform.</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Compliance Check operation must NEVER mark a control as compliant when the supplied documents do not contain evidence for that control.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 integrity rule for this operation.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FR-PS.06</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Research Precedents operation must NEVER invent a case name or citation. When uncertain, it must produce the principle without the citation and append “citation to verify”.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P0 integrity rule for this operation.</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FR-PS.07</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a step produces an empty response from the AI, the step is marked Failed (not Skipped) so the user can retry it.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the user supplies only documents that the workflow doesn’t expect, the run is allowed to proceed; degradation happens at every step rather than refusing the whole run.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Refusing the run would conflict with the user’s right to attempt anyway.</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FR-PS.09</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step’s output is preserved on the run record exactly as the AI returned it (subject to the platform’s redaction layer). The platform never re-writes a step’s output to mask a mismatch.</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Audit integrity.</w:t>
            </w:r>
          </w:p>
        </w:tc>
      </w:tr>
    </w:tbl>
    <w:p>
      <w:pPr>
        <w:pStyle w:val="Heading2"/>
        <w:spacing w:after="140" w:before="320"/>
      </w:pPr>
      <w:r>
        <w:rPr>
          <w:rFonts w:ascii="Arial" w:cs="Arial" w:eastAsia="Arial" w:hAnsi="Arial"/>
          <w:b/>
          <w:bCs/>
          <w:color w:val="0A2463"/>
          <w:sz w:val="26"/>
          <w:szCs w:val="26"/>
        </w:rPr>
        <w:t xml:space="preserve">6. Stage 3 — Final Report Honesty</w:t>
      </w:r>
    </w:p>
    <w:p>
      <w:pPr>
        <w:spacing w:after="80" w:before="80"/>
      </w:pPr>
      <w:r>
        <w:rPr>
          <w:b w:val="false"/>
          <w:bCs w:val="false"/>
          <w:i w:val="false"/>
          <w:iCs w:val="false"/>
          <w:sz w:val="22"/>
          <w:szCs w:val="22"/>
        </w:rPr>
        <w:t xml:space="preserve">The Workflow Report is the user’s deliverable. When some or all uploads were mismatched, the report’s job is to surface that honestly so the user does not present a fabricated finding to a partner or a client.</w:t>
      </w:r>
    </w:p>
    <w:p>
      <w:pPr>
        <w:pStyle w:val="Heading4"/>
        <w:spacing w:after="140" w:before="220"/>
      </w:pPr>
      <w:r>
        <w:rPr>
          <w:rFonts w:ascii="Arial" w:cs="Arial" w:eastAsia="Arial" w:hAnsi="Arial"/>
          <w:b/>
          <w:bCs/>
          <w:color w:val="0F2E59"/>
          <w:sz w:val="20"/>
          <w:szCs w:val="20"/>
        </w:rPr>
        <w:t xml:space="preserve">How the report surfaces mismatches</w:t>
      </w:r>
    </w:p>
    <w:p>
      <w:pPr>
        <w:pStyle w:val="ListParagraph"/>
        <w:numPr>
          <w:ilvl w:val="0"/>
          <w:numId w:val="2"/>
        </w:numPr>
        <w:spacing w:after="80" w:before="80"/>
      </w:pPr>
      <w:r>
        <w:rPr>
          <w:b w:val="false"/>
          <w:bCs w:val="false"/>
          <w:i w:val="false"/>
          <w:iCs w:val="false"/>
          <w:sz w:val="22"/>
          <w:szCs w:val="22"/>
        </w:rPr>
        <w:t xml:space="preserve">Header paragraph in the executive summary names what was analysed and, if anything was missing or limited, says so in one sentence. Example: “This Due Diligence Summary was attempted on a single memo; the workflow normally analyses a deal room with agreements, financial statements, and board minutes. With only a memo supplied, no findings could be produced.”</w:t>
      </w:r>
    </w:p>
    <w:p>
      <w:pPr>
        <w:pStyle w:val="ListParagraph"/>
        <w:numPr>
          <w:ilvl w:val="0"/>
          <w:numId w:val="2"/>
        </w:numPr>
        <w:spacing w:after="80" w:before="80"/>
      </w:pPr>
      <w:r>
        <w:rPr>
          <w:b w:val="false"/>
          <w:bCs w:val="false"/>
          <w:i w:val="false"/>
          <w:iCs w:val="false"/>
          <w:sz w:val="22"/>
          <w:szCs w:val="22"/>
        </w:rPr>
        <w:t xml:space="preserve">Meta caption under the title shows document counts: “2 documents analysed · 1 could not be read”. The failed-doc count is part of the caption itself.</w:t>
      </w:r>
    </w:p>
    <w:p>
      <w:pPr>
        <w:pStyle w:val="ListParagraph"/>
        <w:numPr>
          <w:ilvl w:val="0"/>
          <w:numId w:val="2"/>
        </w:numPr>
        <w:spacing w:after="80" w:before="80"/>
      </w:pPr>
      <w:r>
        <w:rPr>
          <w:b w:val="false"/>
          <w:bCs w:val="false"/>
          <w:i w:val="false"/>
          <w:iCs w:val="false"/>
          <w:sz w:val="22"/>
          <w:szCs w:val="22"/>
        </w:rPr>
        <w:t xml:space="preserve">Gentle warning note directly under the meta caption when any uploads failed to parse: small icon + one-sentence explanation (“1 document could not be parsed and was excluded from this analysis”).</w:t>
      </w:r>
    </w:p>
    <w:p>
      <w:pPr>
        <w:pStyle w:val="ListParagraph"/>
        <w:numPr>
          <w:ilvl w:val="0"/>
          <w:numId w:val="2"/>
        </w:numPr>
        <w:spacing w:after="80" w:before="80"/>
      </w:pPr>
      <w:r>
        <w:rPr>
          <w:b w:val="false"/>
          <w:bCs w:val="false"/>
          <w:i w:val="false"/>
          <w:iCs w:val="false"/>
          <w:sz w:val="22"/>
          <w:szCs w:val="22"/>
        </w:rPr>
        <w:t xml:space="preserve">Risk rating in the executive summary is based on what the prior steps actually produced. If those steps degraded gracefully and have low confidence, the risk rating section reflects the uncertainty rather than picking a confident grade.</w:t>
      </w:r>
    </w:p>
    <w:p>
      <w:pPr>
        <w:pStyle w:val="ListParagraph"/>
        <w:numPr>
          <w:ilvl w:val="0"/>
          <w:numId w:val="2"/>
        </w:numPr>
        <w:spacing w:after="80" w:before="80"/>
      </w:pPr>
      <w:r>
        <w:rPr>
          <w:b w:val="false"/>
          <w:bCs w:val="false"/>
          <w:i w:val="false"/>
          <w:iCs w:val="false"/>
          <w:sz w:val="22"/>
          <w:szCs w:val="22"/>
        </w:rPr>
        <w:t xml:space="preserve">Recommended actions may include “Re-run with X document type to complete the analysis” when the upstream steps clearly indicated a mismatch.</w:t>
      </w:r>
    </w:p>
    <w:p>
      <w:pPr>
        <w:pStyle w:val="ListParagraph"/>
        <w:numPr>
          <w:ilvl w:val="0"/>
          <w:numId w:val="2"/>
        </w:numPr>
        <w:spacing w:after="80" w:before="80"/>
      </w:pPr>
      <w:r>
        <w:rPr>
          <w:b w:val="false"/>
          <w:bCs w:val="false"/>
          <w:i w:val="false"/>
          <w:iCs w:val="false"/>
          <w:sz w:val="22"/>
          <w:szCs w:val="22"/>
        </w:rPr>
        <w:t xml:space="preserve">Audit log carries the per-step “Not covered by supplied documents” messages verbatim. Users who want to drill in can see exactly which steps degraded and why.</w:t>
      </w:r>
    </w:p>
    <w:p>
      <w:pPr>
        <w:pStyle w:val="Heading4"/>
        <w:spacing w:after="140" w:before="220"/>
      </w:pPr>
      <w:r>
        <w:rPr>
          <w:rFonts w:ascii="Arial" w:cs="Arial" w:eastAsia="Arial" w:hAnsi="Arial"/>
          <w:b/>
          <w:bCs/>
          <w:color w:val="0F2E59"/>
          <w:sz w:val="20"/>
          <w:szCs w:val="20"/>
        </w:rPr>
        <w:t xml:space="preserve">The no-deliverable case</w:t>
      </w:r>
    </w:p>
    <w:p>
      <w:pPr>
        <w:spacing w:after="80" w:before="80"/>
      </w:pPr>
      <w:r>
        <w:rPr>
          <w:b w:val="false"/>
          <w:bCs w:val="false"/>
          <w:i w:val="false"/>
          <w:iCs w:val="false"/>
          <w:sz w:val="22"/>
          <w:szCs w:val="22"/>
        </w:rPr>
        <w:t xml:space="preserve">When every prior step ended with “Not covered by supplied documents”, the Generate Report step produces a short no-deliverable output rather than synthesising a fabricated summary. The report card surfaces this state with:</w:t>
      </w:r>
    </w:p>
    <w:p>
      <w:pPr>
        <w:pStyle w:val="ListParagraph"/>
        <w:numPr>
          <w:ilvl w:val="0"/>
          <w:numId w:val="2"/>
        </w:numPr>
        <w:spacing w:after="80" w:before="80"/>
      </w:pPr>
      <w:r>
        <w:rPr>
          <w:b w:val="false"/>
          <w:bCs w:val="false"/>
          <w:i w:val="false"/>
          <w:iCs w:val="false"/>
          <w:sz w:val="22"/>
          <w:szCs w:val="22"/>
        </w:rPr>
        <w:t xml:space="preserve">A header paragraph that explicitly says no findings could be produced and what kind of documents would be needed.</w:t>
      </w:r>
    </w:p>
    <w:p>
      <w:pPr>
        <w:pStyle w:val="ListParagraph"/>
        <w:numPr>
          <w:ilvl w:val="0"/>
          <w:numId w:val="2"/>
        </w:numPr>
        <w:spacing w:after="80" w:before="80"/>
      </w:pPr>
      <w:r>
        <w:rPr>
          <w:b w:val="false"/>
          <w:bCs w:val="false"/>
          <w:i w:val="false"/>
          <w:iCs w:val="false"/>
          <w:sz w:val="22"/>
          <w:szCs w:val="22"/>
        </w:rPr>
        <w:t xml:space="preserve">No Key findings section.</w:t>
      </w:r>
    </w:p>
    <w:p>
      <w:pPr>
        <w:pStyle w:val="ListParagraph"/>
        <w:numPr>
          <w:ilvl w:val="0"/>
          <w:numId w:val="2"/>
        </w:numPr>
        <w:spacing w:after="80" w:before="80"/>
      </w:pPr>
      <w:r>
        <w:rPr>
          <w:b w:val="false"/>
          <w:bCs w:val="false"/>
          <w:i w:val="false"/>
          <w:iCs w:val="false"/>
          <w:sz w:val="22"/>
          <w:szCs w:val="22"/>
        </w:rPr>
        <w:t xml:space="preserve">No Risk rating section (no rating is honest when no analysis was possible).</w:t>
      </w:r>
    </w:p>
    <w:p>
      <w:pPr>
        <w:pStyle w:val="ListParagraph"/>
        <w:numPr>
          <w:ilvl w:val="0"/>
          <w:numId w:val="2"/>
        </w:numPr>
        <w:spacing w:after="80" w:before="80"/>
      </w:pPr>
      <w:r>
        <w:rPr>
          <w:b w:val="false"/>
          <w:bCs w:val="false"/>
          <w:i w:val="false"/>
          <w:iCs w:val="false"/>
          <w:sz w:val="22"/>
          <w:szCs w:val="22"/>
        </w:rPr>
        <w:t xml:space="preserve">A single Recommended action: re-run with the appropriate documents.</w:t>
      </w:r>
    </w:p>
    <w:p>
      <w:pPr>
        <w:pStyle w:val="ListParagraph"/>
        <w:numPr>
          <w:ilvl w:val="0"/>
          <w:numId w:val="2"/>
        </w:numPr>
        <w:spacing w:after="80" w:before="80"/>
      </w:pPr>
      <w:r>
        <w:rPr>
          <w:b w:val="false"/>
          <w:bCs w:val="false"/>
          <w:i w:val="false"/>
          <w:iCs w:val="false"/>
          <w:sz w:val="22"/>
          <w:szCs w:val="22"/>
        </w:rPr>
        <w:t xml:space="preserve">The audit log remains fully accessible so the user can see what each step found (which is mostly nothing).</w:t>
      </w:r>
    </w:p>
    <w:p>
      <w:pPr>
        <w:pStyle w:val="Heading4"/>
        <w:spacing w:after="140" w:before="220"/>
      </w:pPr>
      <w:r>
        <w:rPr>
          <w:rFonts w:ascii="Arial" w:cs="Arial" w:eastAsia="Arial" w:hAnsi="Arial"/>
          <w:b/>
          <w:bCs/>
          <w:color w:val="0F2E59"/>
          <w:sz w:val="20"/>
          <w:szCs w:val="20"/>
        </w:rPr>
        <w:t xml:space="preserve">Stage 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1100"/>
        <w:gridCol w:w="2200"/>
      </w:tblGrid>
      <w:tr>
        <w:trPr>
          <w:tblHeader/>
        </w:trPr>
        <w:tc>
          <w:tcPr>
            <w:tcW w:type="dxa" w:w="9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FR ID</w:t>
            </w:r>
          </w:p>
        </w:tc>
        <w:tc>
          <w:tcPr>
            <w:tcW w:type="dxa" w:w="51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Requirement</w:t>
            </w:r>
          </w:p>
        </w:tc>
        <w:tc>
          <w:tcPr>
            <w:tcW w:type="dxa" w:w="11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Priority</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Notes</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FR-RP.01</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any prior step degraded due to incorrect documents, the report’s header paragraph must surface that fact in one sentence.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FR-RP.02</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any uploads failed extraction, the meta caption must show the count (“1 could not be read”) and a gentle warning note must appear below the caption.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FR-RP.03</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Risk rating must reflect the actual evidence base. The report must NOT manufacture a confident risk rating from degraded steps.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FR-RP.04</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When every prior step ended with “Not covered by supplied documents”, the report must produce a no-deliverable output that explicitly says no findings could be produced.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FR-RP.05</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audit log must surface the per-step degradation messages verbatim so the user can drill into which steps degraded and why.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FR-RP.06</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Even when the report is a no-deliverable note, View audit log and Download PDF must remain functional.</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Users may need the audit log as proof of what was attempted.</w:t>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FR-RP.07</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The report must never label a no-deliverable run as Complete-with-findings. Either the run produced findings or it did not; the report’s rating section must reflect that truthfully.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Must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r>
        <w:trPr>
          <w:tblHeader w:val="false"/>
        </w:trP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FR-RP.08</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If the user re-runs the workflow with corrected documents, the prior degraded report remains visible in the Run Panel for the duration of the session so the user can compare.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Should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
            </w:r>
          </w:p>
        </w:tc>
      </w:tr>
    </w:tbl>
    <w:p>
      <w:pPr>
        <w:pStyle w:val="Heading1"/>
        <w:spacing w:after="220" w:before="400"/>
      </w:pPr>
      <w:r>
        <w:rPr>
          <w:rFonts w:ascii="Arial" w:cs="Arial" w:eastAsia="Arial" w:hAnsi="Arial"/>
          <w:b/>
          <w:bCs/>
          <w:color w:val="0A2463"/>
          <w:sz w:val="32"/>
          <w:szCs w:val="32"/>
        </w:rPr>
        <w:t xml:space="preserve">7. Worked Scenarios — Real Mismatches</w:t>
      </w:r>
    </w:p>
    <w:p>
      <w:pPr>
        <w:spacing w:after="80" w:before="80"/>
      </w:pPr>
      <w:r>
        <w:rPr>
          <w:b w:val="false"/>
          <w:bCs w:val="false"/>
          <w:i w:val="false"/>
          <w:iCs w:val="false"/>
          <w:sz w:val="22"/>
          <w:szCs w:val="22"/>
        </w:rPr>
        <w:t xml:space="preserve">These are end-to-end walkthroughs covering the nine taxonomy categories. Each shows what the user uploaded, what each stage shows them, and what they receive at the end.</w:t>
      </w:r>
    </w:p>
    <w:p>
      <w:pPr>
        <w:pStyle w:val="Heading2"/>
        <w:spacing w:after="140" w:before="320"/>
      </w:pPr>
      <w:r>
        <w:rPr>
          <w:rFonts w:ascii="Arial" w:cs="Arial" w:eastAsia="Arial" w:hAnsi="Arial"/>
          <w:b/>
          <w:bCs/>
          <w:color w:val="0A2463"/>
          <w:sz w:val="26"/>
          <w:szCs w:val="26"/>
        </w:rPr>
        <w:t xml:space="preserve">Scenario 1: Completely wrong type — Due Diligence on a single memo</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opens Due Diligence Summary (Read Documents → Analyse Clauses → Research Precedents → Update Knowledge Base → Generate Report) and uploads one one-page memo summarising a deal opportunity.</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The memo extracts cleanly as a Ready row. If the optional classifier runs, it labels the row “memo”. The Run Workflow button enables. No banner blocks the run — the user is allowed to proceed even though the workflow normally expects a deal room.</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One per-document section; document type = memo; structure overview is the memo’s headings; key facts are the few names and dates that appear in the memo.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covered by supplied documents — a memo does not contain contractual clauses. This step is limited to noting that no clause-level analysis is possible.” Step ends.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Precedents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Inferable legal question is too thin to ground research. Step asks for a sharper question and produces no statutes or cases.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Update Knowledge Base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“Nothing persistable was identified in the prior steps. KB unchanged.”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Produces a short no-deliverable note explaining that the workflow could not produce findings on a single memo.</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Title and meta caption render normally. Header paragraph reads: “This Due Diligence Summary was attempted on a single memo; the workflow normally analyses a deal room with agreements, financial statements, and board minutes. With only a memo supplied, no findings could be produced.” No Key findings, Risk rating, or Recommended actions sections are populated. View audit log and Download PDF remain available.</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opens a fresh chat (so the run starts a clean Pre-Run Modal), uploads the actual deal room (agreements + financial statements + board minutes), and re-runs Due Diligence Summary. The earlier degraded report remains in the Run Panel for the rest of the session as a record of the prior attempt.</w:t>
      </w:r>
    </w:p>
    <w:p>
      <w:pPr>
        <w:pStyle w:val="Heading2"/>
        <w:spacing w:after="140" w:before="320"/>
      </w:pPr>
      <w:r>
        <w:rPr>
          <w:rFonts w:ascii="Arial" w:cs="Arial" w:eastAsia="Arial" w:hAnsi="Arial"/>
          <w:b/>
          <w:bCs/>
          <w:color w:val="0A2463"/>
          <w:sz w:val="26"/>
          <w:szCs w:val="26"/>
        </w:rPr>
        <w:t xml:space="preserve">Scenario 2: Right type, wrong content — Contract Risk Review on a vendor receipt</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a one-page vendor receipt (technically a contract under some definitions) into Contract Risk Review.</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Receipt extracts cleanly. Classifier may label it “contract” or “other” depending on its structure. Run enables.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One section; document type may be “contract” or “other”; structure overview shows the few headings present (Date, Items, Total, Signature line).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Step finds no material clauses to analyse. Output may say “This document contains transactional fields but no substantive clauses suitable for risk review.” Ends.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covered by supplied documents — the supplied document does not contain reviewable clauses to compare against a standard contract.”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notes the workflow expected a substantive contract; produces a short note rather than a fabricated risk profile.</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Risk rating is not produced. Recommended actions includes one item: “Re-run with a substantive contract (e.g., MSA, NDA, lease) for a meaningful risk review.”</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uploads the actual MSA they meant to review and starts a new run.</w:t>
      </w:r>
    </w:p>
    <w:p>
      <w:pPr>
        <w:pStyle w:val="Heading2"/>
        <w:spacing w:after="140" w:before="320"/>
      </w:pPr>
      <w:r>
        <w:rPr>
          <w:rFonts w:ascii="Arial" w:cs="Arial" w:eastAsia="Arial" w:hAnsi="Arial"/>
          <w:b/>
          <w:bCs/>
          <w:color w:val="0A2463"/>
          <w:sz w:val="26"/>
          <w:szCs w:val="26"/>
        </w:rPr>
        <w:t xml:space="preserve">Scenario 3: Partial set — Due Diligence with agreements but no financial statements</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three executed agreements but no financial statements and no board minutes into Due Diligence Summary.</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All three documents extract cleanly. Classifier labels each as “agreement” or “contract”. Run enables.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Three per-document sections, each with type, parties, dates, and structure populated.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Substantive clause-by-clause output for each agreement; risk levels assigned.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Precedents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Statutes and cases tied to the subject matter of the agreements.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Update Knowledge Base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Persists the parties, definitions, and relationships found in the agreements.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“This Due Diligence Summary was based on the supplied agreements only. Financial statements and board minutes were not provided; the financial-condition and governance-history sections of the report are therefore omitted.” Findings, risk rating, and recommended actions are produced for the agreement-related portion.</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The summary is real and useful for what was supplied. The header paragraph explicitly limits the scope. Recommended actions includes: “Re-run with financial statements and board minutes to complete the financial-condition and governance-history sections.”</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can either (a) accept the partial summary as their deliverable, or (b) re-run with the missing document types added.</w:t>
      </w:r>
    </w:p>
    <w:p>
      <w:pPr>
        <w:pStyle w:val="Heading2"/>
        <w:spacing w:after="140" w:before="320"/>
      </w:pPr>
      <w:r>
        <w:rPr>
          <w:rFonts w:ascii="Arial" w:cs="Arial" w:eastAsia="Arial" w:hAnsi="Arial"/>
          <w:b/>
          <w:bCs/>
          <w:color w:val="0A2463"/>
          <w:sz w:val="26"/>
          <w:szCs w:val="26"/>
        </w:rPr>
        <w:t xml:space="preserve">Scenario 4: Empty extraction — scanned image PDF</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a 30-page scanned image PDF (no OCR layer) into Contract Risk Review.</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Extraction yields almost no text. The Pre-Run Modal marks the row as Ready (because some text — e.g., the metadata — was extracted) with a warning tooltip on hover: “Limited text was extracted — consider OCR.” If extraction yields zero text, the row is marked Failed and Run Workflow stays disabled until another document is added.</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Section reads: “Not covered by supplied documents — this file appears to contain no readable text. It may be a scanned image without OCR.”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covered by supplied documents.”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covered by supplied documents.”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No-deliverable note explaining the upload could not be read.</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Header paragraph: “The supplied document could not be parsed (no readable text was extracted). No findings are possible without an OCR’d or text-based version.” Recommended action: “OCR the document and re-run.”</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OCRs the PDF outside the platform (or uses a separate tool) and re-uploads the OCR’d version.</w:t>
      </w:r>
    </w:p>
    <w:p>
      <w:pPr>
        <w:pStyle w:val="Heading2"/>
        <w:spacing w:after="140" w:before="320"/>
      </w:pPr>
      <w:r>
        <w:rPr>
          <w:rFonts w:ascii="Arial" w:cs="Arial" w:eastAsia="Arial" w:hAnsi="Arial"/>
          <w:b/>
          <w:bCs/>
          <w:color w:val="0A2463"/>
          <w:sz w:val="26"/>
          <w:szCs w:val="26"/>
        </w:rPr>
        <w:t xml:space="preserve">Scenario 5: Out-of-scope content — Compliance Audit on a meeting agenda</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a one-page meeting agenda into a Compliance Audit workflow that expects a SOC 2 evidence base.</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Agenda extracts cleanly. Classifier labels it “memo” or “other”. Run enables.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Section produced; type = other; structure overview shows the agenda headings.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Compliance Check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“Not covered by supplied documents — this evidence base is not policy-shaped. A SOC 2 compliance check requires policy documents, control procedures, and audit trails. The supplied document is a meeting agenda. No control evaluation is possible from this evidence.”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No-deliverable note explaining the evidence base mismatch.</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Header paragraph names the mismatch. Recommended action: “Re-run with policy and procedure documents (e.g., information security policy, access control procedure, change management procedure).”</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uploads actual policies and re-runs.</w:t>
      </w:r>
    </w:p>
    <w:p>
      <w:pPr>
        <w:pStyle w:val="Heading2"/>
        <w:spacing w:after="140" w:before="320"/>
      </w:pPr>
      <w:r>
        <w:rPr>
          <w:rFonts w:ascii="Arial" w:cs="Arial" w:eastAsia="Arial" w:hAnsi="Arial"/>
          <w:b/>
          <w:bCs/>
          <w:color w:val="0A2463"/>
          <w:sz w:val="26"/>
          <w:szCs w:val="26"/>
        </w:rPr>
        <w:t xml:space="preserve">Scenario 6: Mixed batch — Contract Risk Review with a contract + a financial statement + an email</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three files into Contract Risk Review: a 12-page MSA, a quarterly financial statement, and a one-page client email.</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All three extract cleanly. Classifier labels them appropriately. Run enables.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Three per-document sections; each section’s type is correctly classified (contract, financial statement, email).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Substantive clause output for the MSA. For the financial statement and email, sections say “Not covered by supplied documents — this document type does not contain contractual clauses.”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Comparison performed only against the MSA; the financial statement and email are excluded with a one-line note in the executive comment.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“This Contract Risk Review was based on the supplied MSA. The financial statement and email were uploaded but did not contain reviewable clauses; they are excluded from the findings.” Findings cover the MSA only.</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Real, useful Contract Risk Review of the MSA. The header paragraph and audit log both surface that two of the three uploaded documents were not used. Recommended actions are scoped to the MSA.</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If the user did intend to review only the MSA, no recovery is needed. If they meant to review multiple contracts, they re-run with the additional contracts added (and can keep the financial statement out next time).</w:t>
      </w:r>
    </w:p>
    <w:p>
      <w:pPr>
        <w:pStyle w:val="Heading2"/>
        <w:spacing w:after="140" w:before="320"/>
      </w:pPr>
      <w:r>
        <w:rPr>
          <w:rFonts w:ascii="Arial" w:cs="Arial" w:eastAsia="Arial" w:hAnsi="Arial"/>
          <w:b/>
          <w:bCs/>
          <w:color w:val="0A2463"/>
          <w:sz w:val="26"/>
          <w:szCs w:val="26"/>
        </w:rPr>
        <w:t xml:space="preserve">Scenario 7: Too many documents — 50 contracts into a workflow meant for 2–3</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50 contracts into Compare Against Standard.</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All 50 extract; the upload list scrolls within the modal. Run enables.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50 per-document sections produced. Each section is brief (the per-doc text cap of ~8,000 characters truncates long contracts; a marker notes the abbreviation). The closing line reads “Documents processed: 50.”</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is a clause-by-clause breakdown that becomes very long; the model may consolidate clauses across similar documents to fit the response budget.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Comparison table is capped at 6–12 material differences across the entire batch (the cap is per table, not per document). Executive comment notes the high document count and that not every individual delta could be surfaced.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Synthesises a high-level summary. Header paragraph notes “50 documents analysed; the report consolidates findings across the set rather than summarising each individually.”</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Coherent high-level report; deeper per-document detail lives in the audit log. Recommended action may include: “For per-document granularity, run the workflow on smaller batches.”</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User re-runs in batches of 5–10 contracts for per-document granularity, or accepts the consolidated summary if a batch view is what they wanted.</w:t>
      </w:r>
    </w:p>
    <w:p>
      <w:pPr>
        <w:pStyle w:val="Heading2"/>
        <w:spacing w:after="140" w:before="320"/>
      </w:pPr>
      <w:r>
        <w:rPr>
          <w:rFonts w:ascii="Arial" w:cs="Arial" w:eastAsia="Arial" w:hAnsi="Arial"/>
          <w:b/>
          <w:bCs/>
          <w:color w:val="0A2463"/>
          <w:sz w:val="26"/>
          <w:szCs w:val="26"/>
        </w:rPr>
        <w:t xml:space="preserve">Scenario 8: Sensitive identifiers — contract with a Social Security Number</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a personal-guarantor contract that contains a Social Security Number in a guarantor section.</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Contract extracts cleanly. The platform’s redaction layer (upstream of the operations) detects the SSN and replaces it with a redaction marker before the text is passed to any AI step.</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Section produced; the structure overview names the Personal Guarantor section but does not echo the SSN — it appears as a redacted marker.</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Personal Guarantor clause is identified and assessed; the SSN itself is never echoed back.</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Standard comparison performed; redacted markers persist throughout the output.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Findings reference the Personal Guarantor clause; the SSN itself never appears in the report.</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Real, useful Contract Risk Review with no sensitive identifiers leaked into the deliverable. The audit log confirms that redaction was applied at the storage boundary.</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No recovery needed; redaction is automatic.</w:t>
      </w:r>
    </w:p>
    <w:p>
      <w:pPr>
        <w:pStyle w:val="Heading2"/>
        <w:spacing w:after="140" w:before="320"/>
      </w:pPr>
      <w:r>
        <w:rPr>
          <w:rFonts w:ascii="Arial" w:cs="Arial" w:eastAsia="Arial" w:hAnsi="Arial"/>
          <w:b/>
          <w:bCs/>
          <w:color w:val="0A2463"/>
          <w:sz w:val="26"/>
          <w:szCs w:val="26"/>
        </w:rPr>
        <w:t xml:space="preserve">Scenario 9: Non-English content — Spanish-language contract</w:t>
      </w:r>
    </w:p>
    <w:p>
      <w:pPr>
        <w:pStyle w:val="Heading4"/>
        <w:spacing w:after="140" w:before="220"/>
      </w:pPr>
      <w:r>
        <w:rPr>
          <w:rFonts w:ascii="Arial" w:cs="Arial" w:eastAsia="Arial" w:hAnsi="Arial"/>
          <w:b/>
          <w:bCs/>
          <w:color w:val="0F2E59"/>
          <w:sz w:val="20"/>
          <w:szCs w:val="20"/>
        </w:rPr>
        <w:t xml:space="preserve">Setup</w:t>
      </w:r>
    </w:p>
    <w:p>
      <w:pPr>
        <w:spacing w:after="80" w:before="80"/>
      </w:pPr>
      <w:r>
        <w:rPr>
          <w:b w:val="false"/>
          <w:bCs w:val="false"/>
          <w:i w:val="false"/>
          <w:iCs w:val="false"/>
          <w:sz w:val="22"/>
          <w:szCs w:val="22"/>
        </w:rPr>
        <w:t xml:space="preserve">User uploads a Spanish-language contract into Contract Risk Review.</w:t>
      </w:r>
    </w:p>
    <w:p>
      <w:pPr>
        <w:pStyle w:val="Heading4"/>
        <w:spacing w:after="140" w:before="220"/>
      </w:pPr>
      <w:r>
        <w:rPr>
          <w:rFonts w:ascii="Arial" w:cs="Arial" w:eastAsia="Arial" w:hAnsi="Arial"/>
          <w:b/>
          <w:bCs/>
          <w:color w:val="0F2E59"/>
          <w:sz w:val="20"/>
          <w:szCs w:val="20"/>
        </w:rPr>
        <w:t xml:space="preserve">Stage 1 — Pre-Run Modal</w:t>
      </w:r>
    </w:p>
    <w:p>
      <w:pPr>
        <w:spacing w:after="80" w:before="80"/>
      </w:pPr>
      <w:r>
        <w:rPr>
          <w:b w:val="false"/>
          <w:bCs w:val="false"/>
          <w:i w:val="false"/>
          <w:iCs w:val="false"/>
          <w:sz w:val="22"/>
          <w:szCs w:val="22"/>
        </w:rPr>
        <w:t xml:space="preserve">Document extracts cleanly. Classifier may flag it as “contract” or “other” depending on its structure. Run enables — the platform does not block non-English uploads.</w:t>
      </w:r>
    </w:p>
    <w:p>
      <w:pPr>
        <w:pStyle w:val="Heading4"/>
        <w:spacing w:after="140" w:before="220"/>
      </w:pPr>
      <w:r>
        <w:rPr>
          <w:rFonts w:ascii="Arial" w:cs="Arial" w:eastAsia="Arial" w:hAnsi="Arial"/>
          <w:b/>
          <w:bCs/>
          <w:color w:val="0F2E59"/>
          <w:sz w:val="20"/>
          <w:szCs w:val="20"/>
        </w:rPr>
        <w:t xml:space="preserve">Stage 2 — Per-step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Step</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What the user sees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Section produced. If the AI can confidently classify the contract type from the Spanish text, it does so; otherwise it marks it “other” and surfaces the headings as they appear in Spanish.</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AI may produce a partial clause analysis in English even from a Spanish source. Section may include a one-line note that the document is non-English and that the analysis should be reviewed by a Spanish-speaking attorney.</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notes the source language and recommends review by a Spanish-speaking attorney.</w:t>
            </w:r>
          </w:p>
        </w:tc>
      </w:tr>
    </w:tbl>
    <w:p>
      <w:pPr>
        <w:pStyle w:val="Heading4"/>
        <w:spacing w:after="140" w:before="220"/>
      </w:pPr>
      <w:r>
        <w:rPr>
          <w:rFonts w:ascii="Arial" w:cs="Arial" w:eastAsia="Arial" w:hAnsi="Arial"/>
          <w:b/>
          <w:bCs/>
          <w:color w:val="0F2E59"/>
          <w:sz w:val="20"/>
          <w:szCs w:val="20"/>
        </w:rPr>
        <w:t xml:space="preserve">Stage 3 — Final report</w:t>
      </w:r>
    </w:p>
    <w:p>
      <w:pPr>
        <w:spacing w:after="80" w:before="80"/>
      </w:pPr>
      <w:r>
        <w:rPr>
          <w:b w:val="false"/>
          <w:bCs w:val="false"/>
          <w:i w:val="false"/>
          <w:iCs w:val="false"/>
          <w:sz w:val="22"/>
          <w:szCs w:val="22"/>
        </w:rPr>
        <w:t xml:space="preserve">Output is provided but is explicitly hedged. The user is told the analysis is not as confident as it would be for an English-language source. Recommended action: “Have a Spanish-speaking attorney verify the findings before relying on them.”</w:t>
      </w:r>
    </w:p>
    <w:p>
      <w:pPr>
        <w:pStyle w:val="Heading4"/>
        <w:spacing w:after="140" w:before="220"/>
      </w:pPr>
      <w:r>
        <w:rPr>
          <w:rFonts w:ascii="Arial" w:cs="Arial" w:eastAsia="Arial" w:hAnsi="Arial"/>
          <w:b/>
          <w:bCs/>
          <w:color w:val="0F2E59"/>
          <w:sz w:val="20"/>
          <w:szCs w:val="20"/>
        </w:rPr>
        <w:t xml:space="preserve">Recovery path</w:t>
      </w:r>
    </w:p>
    <w:p>
      <w:pPr>
        <w:spacing w:after="80" w:before="80"/>
      </w:pPr>
      <w:r>
        <w:rPr>
          <w:b w:val="false"/>
          <w:bCs w:val="false"/>
          <w:i w:val="false"/>
          <w:iCs w:val="false"/>
          <w:sz w:val="22"/>
          <w:szCs w:val="22"/>
        </w:rPr>
        <w:t xml:space="preserve">If the user wanted English-only handling, they translate the document and re-run. Otherwise they accept the hedged output and pursue the recommended verification.</w:t>
      </w:r>
    </w:p>
    <w:p>
      <w:pPr>
        <w:pStyle w:val="Heading1"/>
        <w:spacing w:after="220" w:before="400"/>
      </w:pPr>
      <w:r>
        <w:rPr>
          <w:rFonts w:ascii="Arial" w:cs="Arial" w:eastAsia="Arial" w:hAnsi="Arial"/>
          <w:b/>
          <w:bCs/>
          <w:color w:val="0A2463"/>
          <w:sz w:val="32"/>
          <w:szCs w:val="32"/>
        </w:rPr>
        <w:t xml:space="preserve">8. Recovery Patterns</w:t>
      </w:r>
    </w:p>
    <w:p>
      <w:pPr>
        <w:spacing w:after="80" w:before="80"/>
      </w:pPr>
      <w:r>
        <w:rPr>
          <w:b w:val="false"/>
          <w:bCs w:val="false"/>
          <w:i w:val="false"/>
          <w:iCs w:val="false"/>
          <w:sz w:val="22"/>
          <w:szCs w:val="22"/>
        </w:rPr>
        <w:t xml:space="preserve">Across the nine scenarios, the recovery paths cluster into a small number of named patterns. Knowing the patterns helps QA verify them and helps PMs design the next features that streamline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Pattern</w:t>
            </w:r>
          </w:p>
        </w:tc>
        <w:tc>
          <w:tcPr>
            <w:tcW w:type="dxa" w:w="6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When it applies and what the user does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Re-upload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 extraction, completely wrong type, out-of-scope content. User opens a new run, uploads the right documents, and runs again. Prior degraded report remains in the session’s Run Panel.</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Augment-and-re-run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Partial set. User keeps the documents they already uploaded and adds the missing types. Useful for Due Diligence and Compliance Audit, where the workflow makes partial sense even with an incomplete set.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Accept-the-partial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Mixed batch where the partial output is genuinely useful, OR the user only wanted a subset of what the workflow normally covers. The report’s honesty in the header paragraph means the partial output is safe to use.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Convert-and-re-upload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Empty extraction from an image PDF. User OCRs the document outside the platform (or uses a separate tool) and re-uploads the OCR’d version.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Switch-workflow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User picked the wrong workflow for the document they actually have. Example: ran Compliance Audit on a contract; should have run Contract Risk Review. User cancels (if mid-run) or accepts the no-deliverable, then runs the appropriate workflow on the same documents.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Verify-with-attorney pattern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Non-English content, low-confidence research, or any output the AI explicitly hedged. User adds a verification step in their human workflow before relying on the report.</w:t>
            </w:r>
          </w:p>
        </w:tc>
      </w:tr>
    </w:tbl>
    <w:p>
      <w:pPr>
        <w:pStyle w:val="Heading1"/>
        <w:spacing w:after="220" w:before="400"/>
      </w:pPr>
      <w:r>
        <w:rPr>
          <w:rFonts w:ascii="Arial" w:cs="Arial" w:eastAsia="Arial" w:hAnsi="Arial"/>
          <w:b/>
          <w:bCs/>
          <w:color w:val="0A2463"/>
          <w:sz w:val="32"/>
          <w:szCs w:val="32"/>
        </w:rPr>
        <w:t xml:space="preserve">9. QA Test Matrix</w:t>
      </w:r>
    </w:p>
    <w:p>
      <w:pPr>
        <w:spacing w:after="80" w:before="80"/>
      </w:pPr>
      <w:r>
        <w:rPr>
          <w:b w:val="false"/>
          <w:bCs w:val="false"/>
          <w:i w:val="false"/>
          <w:iCs w:val="false"/>
          <w:sz w:val="22"/>
          <w:szCs w:val="22"/>
        </w:rPr>
        <w:t xml:space="preserve">Tests are grouped by stage. Each test name is the recommended scenario name for the QA team’s test plan.</w:t>
      </w:r>
    </w:p>
    <w:p>
      <w:pPr>
        <w:pStyle w:val="Heading4"/>
        <w:spacing w:after="140" w:before="220"/>
      </w:pPr>
      <w:r>
        <w:rPr>
          <w:rFonts w:ascii="Arial" w:cs="Arial" w:eastAsia="Arial" w:hAnsi="Arial"/>
          <w:b/>
          <w:bCs/>
          <w:color w:val="0F2E59"/>
          <w:sz w:val="20"/>
          <w:szCs w:val="20"/>
        </w:rPr>
        <w:t xml:space="preserve">Stage 1 — Pre-Run Modal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2960"/>
      </w:tblGrid>
      <w:tr>
        <w:trPr>
          <w:tblHeader/>
        </w:trPr>
        <w:tc>
          <w:tcPr>
            <w:tcW w:type="dxa" w:w="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TS ID</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Title</w:t>
            </w:r>
          </w:p>
        </w:tc>
        <w:tc>
          <w:tcPr>
            <w:tcW w:type="dxa" w:w="3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Setup</w:t>
            </w:r>
          </w:p>
        </w:tc>
        <w:tc>
          <w:tcPr>
            <w:tcW w:type="dxa" w:w="2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Unsupported format rejected</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 a .zip file into the upload zone.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Row added with Failed status; tooltip explains supported formats; Run stays disabled if no other Ready file.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Oversize file rejected</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Drop a 130 MB file.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Row added with Failed status; tooltip explains 100 MB cap.</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Encrypted PDF caught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password-protected PDF.</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Extraction fails; row marked Failed with a tooltip noting the file appears encrypted.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Image-only PDF caught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scanned image PDF with no OCR layer.</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Extraction yields little or no text; row marked Failed (zero text) or Ready with warning tooltip (some metadata text).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Mixed Failed and Ready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one valid PDF + one .zip.</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Workflow remains enabled; Failed row preserved for the report’s partial-failure note.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Classifier label appears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clear contract.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Classifier surfaces “contract” label on the row; if classifier fails, no label appears and Run still works.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Workspace with no docs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Open Pre-Run inside a workspace that has zero documents.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Knowledge banner reflects workspace; yellow sibling warning appears below.</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with no uploads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Open Pre-Run and try to run with no files.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Workflow disabled with tooltip “Upload at least one document to run”.</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Close mid-extraction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file and close the modal while it’s Processing.</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Extraction cancelled; no run created.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Sensitive identifier upstream</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Upload a contract containing an SSN.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SSN is replaced with a redaction marker before being passed to any operation; not echoed in any output.</w:t>
            </w:r>
          </w:p>
        </w:tc>
      </w:tr>
    </w:tbl>
    <w:p>
      <w:pPr>
        <w:pStyle w:val="Heading4"/>
        <w:spacing w:after="140" w:before="220"/>
      </w:pPr>
      <w:r>
        <w:rPr>
          <w:rFonts w:ascii="Arial" w:cs="Arial" w:eastAsia="Arial" w:hAnsi="Arial"/>
          <w:b/>
          <w:bCs/>
          <w:color w:val="0F2E59"/>
          <w:sz w:val="20"/>
          <w:szCs w:val="20"/>
        </w:rPr>
        <w:t xml:space="preserve">Stage 2 — Per-step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2960"/>
      </w:tblGrid>
      <w:tr>
        <w:trPr>
          <w:tblHeader/>
        </w:trPr>
        <w:tc>
          <w:tcPr>
            <w:tcW w:type="dxa" w:w="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TS ID</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Title</w:t>
            </w:r>
          </w:p>
        </w:tc>
        <w:tc>
          <w:tcPr>
            <w:tcW w:type="dxa" w:w="3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Setup</w:t>
            </w:r>
          </w:p>
        </w:tc>
        <w:tc>
          <w:tcPr>
            <w:tcW w:type="dxa" w:w="2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Read Documents on memo</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Read Documents on a one-page memo.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Section produced; type = memo; no fabricated clauses.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Analyse Clauses on memo</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Chain Analyse Clauses after Read Documents on a memo.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begins with “Not covered by supplied documents” and ends without inventing clauses.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Against Standard with no reference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on a contract with no reference doc attached.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explicitly labels its baseline as “Comparing against market-standard &lt;type&gt;”.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Compare with no baseline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on a niche document type the AI cannot baseline.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explicitly disclaims the limitation; produces only the analysis it can support.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Research Precedents citation hedging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on an obscure question.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uses “citation to verify” rather than fabricating a case name.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Compliance Check declines on contracts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Compliance Check on contracts only (no policies).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Operation declines with a clear reason; no controls marked compliant without evidence.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Compliance Check empty evidence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on a partial evidence base where many controls have no evidence.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Every such control marked as a gap with severity; nothing marked compliant without evidence.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Update Knowledge Base persists nothing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Chain after a Read Documents that produced minimal output.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reads “Nothing persistable was identified in the prior steps. KB unchanged.”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TS-IN-19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 no-deliverable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Build a chain whose every prior step degraded.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Report produces a no-deliverable note; no Risk rating; no fabricated findings.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Generate Report partial inputs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Build a chain where one prior step succeeded substantively and others degraded.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names the missing inputs; findings are produced from the substantive step only.</w:t>
            </w:r>
          </w:p>
        </w:tc>
      </w:tr>
    </w:tbl>
    <w:p>
      <w:pPr>
        <w:pStyle w:val="Heading4"/>
        <w:spacing w:after="140" w:before="220"/>
      </w:pPr>
      <w:r>
        <w:rPr>
          <w:rFonts w:ascii="Arial" w:cs="Arial" w:eastAsia="Arial" w:hAnsi="Arial"/>
          <w:b/>
          <w:bCs/>
          <w:color w:val="0F2E59"/>
          <w:sz w:val="20"/>
          <w:szCs w:val="20"/>
        </w:rPr>
        <w:t xml:space="preserve">Stage 3 — Final report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00"/>
        <w:gridCol w:w="2960"/>
      </w:tblGrid>
      <w:tr>
        <w:trPr>
          <w:tblHeader/>
        </w:trPr>
        <w:tc>
          <w:tcPr>
            <w:tcW w:type="dxa" w:w="8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TS ID</w:t>
            </w:r>
          </w:p>
        </w:tc>
        <w:tc>
          <w:tcPr>
            <w:tcW w:type="dxa" w:w="22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Title</w:t>
            </w:r>
          </w:p>
        </w:tc>
        <w:tc>
          <w:tcPr>
            <w:tcW w:type="dxa" w:w="340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Setup</w:t>
            </w:r>
          </w:p>
        </w:tc>
        <w:tc>
          <w:tcPr>
            <w:tcW w:type="dxa" w:w="2960"/>
            <w:tcBorders>
              <w:top w:val="single" w:color="CCCCCC" w:sz="4"/>
              <w:left w:val="single" w:color="CCCCCC" w:sz="4"/>
              <w:bottom w:val="single" w:color="CCCCCC" w:sz="4"/>
              <w:right w:val="single" w:color="CCCCCC" w:sz="4"/>
            </w:tcBorders>
            <w:shd w:fill="E8EAF0" w:color="auto" w:val="clear"/>
            <w:tcMar>
              <w:top w:type="dxa" w:w="80"/>
              <w:left w:type="dxa" w:w="120"/>
              <w:bottom w:type="dxa" w:w="80"/>
              <w:right w:type="dxa" w:w="120"/>
            </w:tcMar>
          </w:tcPr>
          <w:p>
            <w:pPr>
              <w:spacing w:after="0" w:before="0"/>
            </w:pPr>
            <w:r>
              <w:rPr>
                <w:b/>
                <w:bCs/>
                <w:sz w:val="18"/>
                <w:szCs w:val="18"/>
              </w:rPr>
              <w:t xml:space="preserve">Expected behaviour</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honesty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Due Diligence on a memo.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Header paragraph explicitly names the mismatch and what kind of documents would be needed.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Meta caption shows failed count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with one Failed and two Ready uploads.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Caption reads “2 documents analysed · 1 could not be read”.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Gentle warning note appears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with at least one Failed upload.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 small icon + one-sentence note appears under the meta caption.</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Risk rating reflects evidence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a contract review on a low-substance contract.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Risk rating reflects the actual evidence, not a confident grade derived from nothing.</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No-deliverable still has audit log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any no-deliverable scenario.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View audit log and Download PDF remain functional and produce a printable artefact.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Recommended action includes re-run guidance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any partial-set scenario.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Recommended actions include a specific re-run instruction naming the missing document types.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Audit log surfaces step-level degradation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Open the audit log of any partial run.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Each degraded step shows its “Not covered” output verbatim.</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Cancel + retry preserves report state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Run, cancel mid-step, then re-run with corrected docs.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Both the cancelled prior run and the new run remain visible in the Run Panel for the session.</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TS-IN-29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Print includes mismatch context</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Download PDF on a partial-set run.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Printed PDF shows the header paragraph’s mismatch context and the audit log’s degraded steps.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TS-IN-30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No fabricated citations after a re-run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Re-run a Research Precedents-only workflow with sparse documents.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b w:val="false"/>
                <w:bCs w:val="false"/>
                <w:sz w:val="18"/>
                <w:szCs w:val="18"/>
              </w:rPr>
              <w:t xml:space="preserve">Output uses “citation to verify” for any uncertain reference; no fabricated case names.</w:t>
            </w:r>
          </w:p>
        </w:tc>
      </w:tr>
    </w:tbl>
    <w:p>
      <w:pPr>
        <w:pStyle w:val="Heading1"/>
        <w:spacing w:after="220" w:before="400"/>
      </w:pPr>
      <w:r>
        <w:rPr>
          <w:rFonts w:ascii="Arial" w:cs="Arial" w:eastAsia="Arial" w:hAnsi="Arial"/>
          <w:b/>
          <w:bCs/>
          <w:color w:val="0A2463"/>
          <w:sz w:val="32"/>
          <w:szCs w:val="32"/>
        </w:rPr>
        <w:t xml:space="preserve">10. Summary</w:t>
      </w:r>
    </w:p>
    <w:p>
      <w:pPr>
        <w:spacing w:after="80" w:before="80"/>
      </w:pPr>
      <w:r>
        <w:rPr>
          <w:b w:val="false"/>
          <w:bCs w:val="false"/>
          <w:i w:val="false"/>
          <w:iCs w:val="false"/>
          <w:sz w:val="22"/>
          <w:szCs w:val="22"/>
        </w:rPr>
        <w:t xml:space="preserve">The platform handles incorrect-document uploads through three sequential stages:</w:t>
      </w:r>
    </w:p>
    <w:p>
      <w:pPr>
        <w:pStyle w:val="ListParagraph"/>
        <w:numPr>
          <w:ilvl w:val="0"/>
          <w:numId w:val="2"/>
        </w:numPr>
        <w:spacing w:after="80" w:before="80"/>
      </w:pPr>
      <w:r>
        <w:rPr>
          <w:b w:val="false"/>
          <w:bCs w:val="false"/>
          <w:i w:val="false"/>
          <w:iCs w:val="false"/>
          <w:sz w:val="22"/>
          <w:szCs w:val="22"/>
        </w:rPr>
        <w:t xml:space="preserve">Stage 1 (Pre-Run Modal) catches upload-level failures — wrong format, oversize, extraction problems — and offers an optional advisory document classification. It does not refuse runs based on workflow-vs-document semantics.</w:t>
      </w:r>
    </w:p>
    <w:p>
      <w:pPr>
        <w:pStyle w:val="ListParagraph"/>
        <w:numPr>
          <w:ilvl w:val="0"/>
          <w:numId w:val="2"/>
        </w:numPr>
        <w:spacing w:after="80" w:before="80"/>
      </w:pPr>
      <w:r>
        <w:rPr>
          <w:b w:val="false"/>
          <w:bCs w:val="false"/>
          <w:i w:val="false"/>
          <w:iCs w:val="false"/>
          <w:sz w:val="22"/>
          <w:szCs w:val="22"/>
        </w:rPr>
        <w:t xml:space="preserve">Stage 2 (per-step) enforces graceful degradation through every operation’s system prompt. Each step that encounters a mismatch begins with “Not covered by supplied documents” and produces only the partial analysis it can support. Citations are never fabricated; controls are never marked compliant without evidence; clauses are never invented.</w:t>
      </w:r>
    </w:p>
    <w:p>
      <w:pPr>
        <w:pStyle w:val="ListParagraph"/>
        <w:numPr>
          <w:ilvl w:val="0"/>
          <w:numId w:val="2"/>
        </w:numPr>
        <w:spacing w:after="80" w:before="80"/>
      </w:pPr>
      <w:r>
        <w:rPr>
          <w:b w:val="false"/>
          <w:bCs w:val="false"/>
          <w:i w:val="false"/>
          <w:iCs w:val="false"/>
          <w:sz w:val="22"/>
          <w:szCs w:val="22"/>
        </w:rPr>
        <w:t xml:space="preserve">Stage 3 (final report) surfaces the mismatch honestly through the header paragraph, the meta caption’s failed count, the gentle warning note, the risk rating’s grounded grade, and the audit log’s verbatim per-step messages. When every prior step degraded, the report produces a no-deliverable note rather than synthesising a fabricated summary.</w:t>
      </w:r>
    </w:p>
    <w:p>
      <w:pPr>
        <w:spacing w:after="80" w:before="80"/>
      </w:pPr>
      <w:r>
        <w:rPr>
          <w:b w:val="false"/>
          <w:bCs w:val="false"/>
          <w:i w:val="false"/>
          <w:iCs w:val="false"/>
          <w:sz w:val="22"/>
          <w:szCs w:val="22"/>
        </w:rPr>
        <w:t xml:space="preserve">The result: a user who uploads the wrong document for a workflow gets an honest report that tells them what was missing and what was possible — not a fabricated finding they could mistakenly act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Arial" w:cs="Arial" w:eastAsia="Arial" w:hAnsi="Arial"/>
      <w:b/>
      <w:bCs/>
      <w:color w:val="0A2463"/>
      <w:sz w:val="48"/>
      <w:szCs w:val="48"/>
    </w:rPr>
  </w:style>
  <w:style w:type="paragraph" w:styleId="Heading1">
    <w:name w:val="Heading 1"/>
    <w:basedOn w:val="Normal"/>
    <w:next w:val="Normal"/>
    <w:qFormat/>
    <w:pPr>
      <w:spacing w:after="220" w:before="400"/>
      <w:outlineLvl w:val="0"/>
    </w:pPr>
    <w:rPr>
      <w:rFonts w:ascii="Arial" w:cs="Arial" w:eastAsia="Arial" w:hAnsi="Arial"/>
      <w:b/>
      <w:bCs/>
      <w:color w:val="0A2463"/>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0A2463"/>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0F2E59"/>
      <w:sz w:val="22"/>
      <w:szCs w:val="22"/>
    </w:rPr>
  </w:style>
  <w:style w:type="paragraph" w:styleId="Heading4">
    <w:name w:val="Heading 4"/>
    <w:basedOn w:val="Normal"/>
    <w:next w:val="Normal"/>
    <w:qFormat/>
    <w:pPr>
      <w:spacing w:after="140" w:before="220"/>
      <w:outlineLvl w:val="3"/>
    </w:pPr>
    <w:rPr>
      <w:rFonts w:ascii="Arial" w:cs="Arial" w:eastAsia="Arial" w:hAnsi="Arial"/>
      <w:b/>
      <w:bCs/>
      <w:color w:val="0F2E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2026-04-24T03:32:52.383Z</dcterms:created>
  <dcterms:modified xsi:type="dcterms:W3CDTF">2026-04-24T03:32:52.387Z</dcterms:modified>
</cp:coreProperties>
</file>

<file path=docProps/custom.xml><?xml version="1.0" encoding="utf-8"?>
<Properties xmlns="http://schemas.openxmlformats.org/officeDocument/2006/custom-properties" xmlns:vt="http://schemas.openxmlformats.org/officeDocument/2006/docPropsVTypes"/>
</file>