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rPr>
          <w:b w:val="false"/>
          <w:bCs w:val="false"/>
          <w:i w:val="false"/>
          <w:iCs w:val="false"/>
          <w:sz w:val="22"/>
          <w:szCs w:val="22"/>
        </w:rPr>
        <w:t xml:space="preserve">This document is a deep functional reference for the seven operations that power every YourAI workflow. It explains what each operation is for, how its prompt is engineered, what it expects to receive, what it produces, and how it cooperates with the other operations in a chain. It is written for product managers, QA, and tech strategists. There is no code, no JavaScript, no HTML, no API contracts — only product behaviour.</w:t>
      </w:r>
    </w:p>
    <w:p>
      <w:pPr>
        <w:pStyle w:val="Heading2"/>
        <w:spacing w:after="140" w:before="320"/>
      </w:pPr>
      <w:r>
        <w:rPr>
          <w:rFonts w:ascii="Arial" w:cs="Arial" w:eastAsia="Arial" w:hAnsi="Arial"/>
          <w:b/>
          <w:bCs/>
          <w:color w:val="0A2463"/>
          <w:sz w:val="26"/>
          <w:szCs w:val="26"/>
        </w:rPr>
        <w:t xml:space="preserve">1. The Operations Library</w:t>
      </w:r>
    </w:p>
    <w:p>
      <w:pPr>
        <w:spacing w:after="80" w:before="80"/>
      </w:pPr>
      <w:r>
        <w:rPr>
          <w:b w:val="false"/>
          <w:bCs w:val="false"/>
          <w:i w:val="false"/>
          <w:iCs w:val="false"/>
          <w:sz w:val="22"/>
          <w:szCs w:val="22"/>
        </w:rPr>
        <w:t xml:space="preserve">Every workflow is a chain of one or more steps. Each step picks exactly one operation from a fixed library of seven. Operations are the smallest reusable AI unit in the platform — they encapsulate the specialised prompt, input handling, and output structure for one well-defined kind of legal AI task. A workflow is what a user composes; an operation is the building block they compose with.</w:t>
      </w:r>
    </w:p>
    <w:p>
      <w:pPr>
        <w:spacing w:after="80" w:before="80"/>
      </w:pPr>
      <w:r>
        <w:rPr>
          <w:b w:val="false"/>
          <w:bCs w:val="false"/>
          <w:i w:val="false"/>
          <w:iCs w:val="false"/>
          <w:sz w:val="22"/>
          <w:szCs w:val="22"/>
        </w:rPr>
        <w:t xml:space="preserve">The seven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Operation</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One-line purpose</w:t>
            </w:r>
          </w:p>
        </w:tc>
        <w:tc>
          <w:tcPr>
            <w:tcW w:type="dxa" w:w="49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Typical use in a chain</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Parse and structure uploaded documents.</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Almost always step 1; primes downstream steps with a clean view of what was uploaded.</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Extract and evaluate contractual clauses.</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Used after Read Documents to surface clause-level detail.</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the subject document(s) against a reference or market standard.</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Used after clause extraction to grade non-standard provisions.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Identify relevant statutes, regulations, and case law.</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Used in litigation and research workflows; standalone or after clause analysis.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Evaluate documents against a compliance framework (SOC 2, HIPAA, GDPR, etc.) and produce a gap analysis.</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Typically runs after Read Documents in audit / regulatory workflows.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Update Knowledge Base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Persist extracted entities, definitions, and relationships into the firm’s long-term knowledge base.</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Optional last step in research-heavy or due-diligence workflows; future runs benefit from the captured context.</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Synthesise everything the prior steps produced into a single executive-style deliverable.</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Almost always the final step; the user-facing report is built from this step’s output.</w:t>
            </w:r>
          </w:p>
        </w:tc>
      </w:tr>
    </w:tbl>
    <w:p>
      <w:pPr>
        <w:pStyle w:val="Heading2"/>
        <w:spacing w:after="140" w:before="320"/>
      </w:pPr>
      <w:r>
        <w:rPr>
          <w:rFonts w:ascii="Arial" w:cs="Arial" w:eastAsia="Arial" w:hAnsi="Arial"/>
          <w:b/>
          <w:bCs/>
          <w:color w:val="0A2463"/>
          <w:sz w:val="26"/>
          <w:szCs w:val="26"/>
        </w:rPr>
        <w:t xml:space="preserve">2. The Anti-Hallucination Foundation</w:t>
      </w:r>
    </w:p>
    <w:p>
      <w:pPr>
        <w:spacing w:after="80" w:before="80"/>
      </w:pPr>
      <w:r>
        <w:rPr>
          <w:b w:val="false"/>
          <w:bCs w:val="false"/>
          <w:i w:val="false"/>
          <w:iCs w:val="false"/>
          <w:sz w:val="22"/>
          <w:szCs w:val="22"/>
        </w:rPr>
        <w:t xml:space="preserve">Every operation’s prompt is built on top of a shared set of behavioural rules. These rules are the most important non-feature of the system: they define what the AI must NEVER do, and they apply identically to all seven operations.</w:t>
      </w:r>
    </w:p>
    <w:p>
      <w:pPr>
        <w:pStyle w:val="Heading4"/>
        <w:spacing w:after="140" w:before="220"/>
      </w:pPr>
      <w:r>
        <w:rPr>
          <w:rFonts w:ascii="Arial" w:cs="Arial" w:eastAsia="Arial" w:hAnsi="Arial"/>
          <w:b/>
          <w:bCs/>
          <w:color w:val="0F2E59"/>
          <w:sz w:val="20"/>
          <w:szCs w:val="20"/>
        </w:rPr>
        <w:t xml:space="preserve">Shared rules carried by every operation prompt</w:t>
      </w:r>
    </w:p>
    <w:p>
      <w:pPr>
        <w:pStyle w:val="ListParagraph"/>
        <w:numPr>
          <w:ilvl w:val="0"/>
          <w:numId w:val="2"/>
        </w:numPr>
        <w:spacing w:after="80" w:before="80"/>
      </w:pPr>
      <w:r>
        <w:rPr>
          <w:b w:val="false"/>
          <w:bCs w:val="false"/>
          <w:i w:val="false"/>
          <w:iCs w:val="false"/>
          <w:sz w:val="22"/>
          <w:szCs w:val="22"/>
        </w:rPr>
        <w:t xml:space="preserve">Never fabricate facts, citations, case names, statute numbers, regulatory sections, or clauses that are not explicitly present in the supplied documents or in the outputs of prior steps.</w:t>
      </w:r>
    </w:p>
    <w:p>
      <w:pPr>
        <w:pStyle w:val="ListParagraph"/>
        <w:numPr>
          <w:ilvl w:val="0"/>
          <w:numId w:val="2"/>
        </w:numPr>
        <w:spacing w:after="80" w:before="80"/>
      </w:pPr>
      <w:r>
        <w:rPr>
          <w:b w:val="false"/>
          <w:bCs w:val="false"/>
          <w:i w:val="false"/>
          <w:iCs w:val="false"/>
          <w:sz w:val="22"/>
          <w:szCs w:val="22"/>
        </w:rPr>
        <w:t xml:space="preserve">If the supplied documents do not cover what the step asks for, the response begins with the sentence “Not covered by supplied documents.” followed by a one-sentence reason, then provides whatever partial analysis is possible from what was supplied.</w:t>
      </w:r>
    </w:p>
    <w:p>
      <w:pPr>
        <w:pStyle w:val="ListParagraph"/>
        <w:numPr>
          <w:ilvl w:val="0"/>
          <w:numId w:val="2"/>
        </w:numPr>
        <w:spacing w:after="80" w:before="80"/>
      </w:pPr>
      <w:r>
        <w:rPr>
          <w:b w:val="false"/>
          <w:bCs w:val="false"/>
          <w:i w:val="false"/>
          <w:iCs w:val="false"/>
          <w:sz w:val="22"/>
          <w:szCs w:val="22"/>
        </w:rPr>
        <w:t xml:space="preserve">If the supplied documents are a completely different type than the step expects (for example, a Due Diligence workflow received only a memo), the response states that upfront and explains briefly what kind of document would be needed to complete the step.</w:t>
      </w:r>
    </w:p>
    <w:p>
      <w:pPr>
        <w:pStyle w:val="ListParagraph"/>
        <w:numPr>
          <w:ilvl w:val="0"/>
          <w:numId w:val="2"/>
        </w:numPr>
        <w:spacing w:after="80" w:before="80"/>
      </w:pPr>
      <w:r>
        <w:rPr>
          <w:b w:val="false"/>
          <w:bCs w:val="false"/>
          <w:i w:val="false"/>
          <w:iCs w:val="false"/>
          <w:sz w:val="22"/>
          <w:szCs w:val="22"/>
        </w:rPr>
        <w:t xml:space="preserve">Prior step outputs are authoritative context — use them rather than re-deriving conclusions the previous step already reached.</w:t>
      </w:r>
    </w:p>
    <w:p>
      <w:pPr>
        <w:pStyle w:val="ListParagraph"/>
        <w:numPr>
          <w:ilvl w:val="0"/>
          <w:numId w:val="2"/>
        </w:numPr>
        <w:spacing w:after="80" w:before="80"/>
      </w:pPr>
      <w:r>
        <w:rPr>
          <w:b w:val="false"/>
          <w:bCs w:val="false"/>
          <w:i w:val="false"/>
          <w:iCs w:val="false"/>
          <w:sz w:val="22"/>
          <w:szCs w:val="22"/>
        </w:rPr>
        <w:t xml:space="preserve">Output is markdown. Use H2 for sections, hyphens for bullets, bold for key terms. Cite sources as “[Doc: filename, §X]” where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auto" w:sz="0"/>
              <w:left w:val="single" w:color="C9A84C" w:sz="18"/>
              <w:bottom w:val="none" w:color="auto" w:sz="0"/>
              <w:right w:val="none" w:color="auto" w:sz="0"/>
            </w:tcBorders>
            <w:shd w:fill="FAF6EE" w:color="auto" w:val="clear"/>
            <w:tcMar>
              <w:top w:type="dxa" w:w="100"/>
              <w:left w:type="dxa" w:w="200"/>
              <w:bottom w:type="dxa" w:w="100"/>
              <w:right w:type="dxa" w:w="120"/>
            </w:tcMar>
          </w:tcPr>
          <w:p>
            <w:r>
              <w:rPr>
                <w:i/>
                <w:iCs/>
                <w:color w:val="37475A"/>
                <w:sz w:val="22"/>
                <w:szCs w:val="22"/>
              </w:rPr>
              <w:t xml:space="preserve">The product’s correctness contract with attorneys: “If we don’t have the source, we don’t make a claim.”</w:t>
            </w:r>
          </w:p>
        </w:tc>
      </w:tr>
    </w:tbl>
    <w:p>
      <w:pPr>
        <w:pStyle w:val="Heading2"/>
        <w:spacing w:after="140" w:before="320"/>
      </w:pPr>
      <w:r>
        <w:rPr>
          <w:rFonts w:ascii="Arial" w:cs="Arial" w:eastAsia="Arial" w:hAnsi="Arial"/>
          <w:b/>
          <w:bCs/>
          <w:color w:val="0A2463"/>
          <w:sz w:val="26"/>
          <w:szCs w:val="26"/>
        </w:rPr>
        <w:t xml:space="preserve">3. Step Chaining — How Operations Cooperate</w:t>
      </w:r>
    </w:p>
    <w:p>
      <w:pPr>
        <w:spacing w:after="80" w:before="80"/>
      </w:pPr>
      <w:r>
        <w:rPr>
          <w:b w:val="false"/>
          <w:bCs w:val="false"/>
          <w:i w:val="false"/>
          <w:iCs w:val="false"/>
          <w:sz w:val="22"/>
          <w:szCs w:val="22"/>
        </w:rPr>
        <w:t xml:space="preserve">A workflow is a directed sequence. Each operation receives, in addition to its own instruction and uploaded documents, the outputs of every step that has already completed in this run. Chaining is what turns a list of independent prompts into a coherent pipeline.</w:t>
      </w:r>
    </w:p>
    <w:p>
      <w:pPr>
        <w:pStyle w:val="Heading4"/>
        <w:spacing w:after="140" w:before="220"/>
      </w:pPr>
      <w:r>
        <w:rPr>
          <w:rFonts w:ascii="Arial" w:cs="Arial" w:eastAsia="Arial" w:hAnsi="Arial"/>
          <w:b/>
          <w:bCs/>
          <w:color w:val="0F2E59"/>
          <w:sz w:val="20"/>
          <w:szCs w:val="20"/>
        </w:rPr>
        <w:t xml:space="preserve">What a step receives</w:t>
      </w:r>
    </w:p>
    <w:p>
      <w:pPr>
        <w:pStyle w:val="ListParagraph"/>
        <w:numPr>
          <w:ilvl w:val="0"/>
          <w:numId w:val="2"/>
        </w:numPr>
        <w:spacing w:after="80" w:before="80"/>
      </w:pPr>
      <w:r>
        <w:rPr>
          <w:b w:val="false"/>
          <w:bCs w:val="false"/>
          <w:i w:val="false"/>
          <w:iCs w:val="false"/>
          <w:sz w:val="22"/>
          <w:szCs w:val="22"/>
        </w:rPr>
        <w:t xml:space="preserve">Step number of total (e.g., “Step 3 of 6”) — lets the AI infer position and role.</w:t>
      </w:r>
    </w:p>
    <w:p>
      <w:pPr>
        <w:pStyle w:val="ListParagraph"/>
        <w:numPr>
          <w:ilvl w:val="0"/>
          <w:numId w:val="2"/>
        </w:numPr>
        <w:spacing w:after="80" w:before="80"/>
      </w:pPr>
      <w:r>
        <w:rPr>
          <w:b w:val="false"/>
          <w:bCs w:val="false"/>
          <w:i w:val="false"/>
          <w:iCs w:val="false"/>
          <w:sz w:val="22"/>
          <w:szCs w:val="22"/>
        </w:rPr>
        <w:t xml:space="preserve">Step name and operation — what this step is for.</w:t>
      </w:r>
    </w:p>
    <w:p>
      <w:pPr>
        <w:pStyle w:val="ListParagraph"/>
        <w:numPr>
          <w:ilvl w:val="0"/>
          <w:numId w:val="2"/>
        </w:numPr>
        <w:spacing w:after="80" w:before="80"/>
      </w:pPr>
      <w:r>
        <w:rPr>
          <w:b w:val="false"/>
          <w:bCs w:val="false"/>
          <w:i w:val="false"/>
          <w:iCs w:val="false"/>
          <w:sz w:val="22"/>
          <w:szCs w:val="22"/>
        </w:rPr>
        <w:t xml:space="preserve">User instruction — the free-text guidance the workflow author wrote inside the builder.</w:t>
      </w:r>
    </w:p>
    <w:p>
      <w:pPr>
        <w:pStyle w:val="ListParagraph"/>
        <w:numPr>
          <w:ilvl w:val="0"/>
          <w:numId w:val="2"/>
        </w:numPr>
        <w:spacing w:after="80" w:before="80"/>
      </w:pPr>
      <w:r>
        <w:rPr>
          <w:b w:val="false"/>
          <w:bCs w:val="false"/>
          <w:i w:val="false"/>
          <w:iCs w:val="false"/>
          <w:sz w:val="22"/>
          <w:szCs w:val="22"/>
        </w:rPr>
        <w:t xml:space="preserve">Outputs of every prior completed step in this run, each labelled with its step name and operation. Each prior output is capped (about 3,500 characters) to protect token budget while preserving the substance.</w:t>
      </w:r>
    </w:p>
    <w:p>
      <w:pPr>
        <w:pStyle w:val="ListParagraph"/>
        <w:numPr>
          <w:ilvl w:val="0"/>
          <w:numId w:val="2"/>
        </w:numPr>
        <w:spacing w:after="80" w:before="80"/>
      </w:pPr>
      <w:r>
        <w:rPr>
          <w:b w:val="false"/>
          <w:bCs w:val="false"/>
          <w:i w:val="false"/>
          <w:iCs w:val="false"/>
          <w:sz w:val="22"/>
          <w:szCs w:val="22"/>
        </w:rPr>
        <w:t xml:space="preserve">Uploaded documents the user attached to this run, each capped (about 8,000 characters per document) for the same reason. Marked as the primary source of truth.</w:t>
      </w:r>
    </w:p>
    <w:p>
      <w:pPr>
        <w:pStyle w:val="ListParagraph"/>
        <w:numPr>
          <w:ilvl w:val="0"/>
          <w:numId w:val="2"/>
        </w:numPr>
        <w:spacing w:after="80" w:before="80"/>
      </w:pPr>
      <w:r>
        <w:rPr>
          <w:b w:val="false"/>
          <w:bCs w:val="false"/>
          <w:i w:val="false"/>
          <w:iCs w:val="false"/>
          <w:sz w:val="22"/>
          <w:szCs w:val="22"/>
        </w:rPr>
        <w:t xml:space="preserve">Reference document attached to this step, if any — a step-specific playbook or template the AI uses as supporting context.</w:t>
      </w:r>
    </w:p>
    <w:p>
      <w:pPr>
        <w:pStyle w:val="ListParagraph"/>
        <w:numPr>
          <w:ilvl w:val="0"/>
          <w:numId w:val="2"/>
        </w:numPr>
        <w:spacing w:after="80" w:before="80"/>
      </w:pPr>
      <w:r>
        <w:rPr>
          <w:b w:val="false"/>
          <w:bCs w:val="false"/>
          <w:i w:val="false"/>
          <w:iCs w:val="false"/>
          <w:sz w:val="22"/>
          <w:szCs w:val="22"/>
        </w:rPr>
        <w:t xml:space="preserve">Workspace name, if the run was launched from inside a workspace.</w:t>
      </w:r>
    </w:p>
    <w:p>
      <w:pPr>
        <w:pStyle w:val="Heading4"/>
        <w:spacing w:after="140" w:before="220"/>
      </w:pPr>
      <w:r>
        <w:rPr>
          <w:rFonts w:ascii="Arial" w:cs="Arial" w:eastAsia="Arial" w:hAnsi="Arial"/>
          <w:b/>
          <w:bCs/>
          <w:color w:val="0F2E59"/>
          <w:sz w:val="20"/>
          <w:szCs w:val="20"/>
        </w:rPr>
        <w:t xml:space="preserve">What chaining looks like in practice</w:t>
      </w:r>
    </w:p>
    <w:p>
      <w:pPr>
        <w:spacing w:after="80" w:before="80"/>
      </w:pPr>
      <w:r>
        <w:rPr>
          <w:b w:val="false"/>
          <w:bCs w:val="false"/>
          <w:i w:val="false"/>
          <w:iCs w:val="false"/>
          <w:sz w:val="22"/>
          <w:szCs w:val="22"/>
        </w:rPr>
        <w:t xml:space="preserve">A 4-step Contract Risk Review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6840"/>
      </w:tblGrid>
      <w:tr>
        <w:trPr>
          <w:tblHeader/>
        </w:trPr>
        <w:tc>
          <w:tcPr>
            <w:tcW w:type="dxa" w:w="72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Step</w:t>
            </w:r>
          </w:p>
        </w:tc>
        <w:tc>
          <w:tcPr>
            <w:tcW w:type="dxa" w:w="1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Operation</w:t>
            </w:r>
          </w:p>
        </w:tc>
        <w:tc>
          <w:tcPr>
            <w:tcW w:type="dxa" w:w="684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What this step uses</w:t>
            </w:r>
          </w:p>
        </w:tc>
      </w:tr>
      <w:tr>
        <w:trPr>
          <w:tblHeader w:val="false"/>
        </w:trPr>
        <w:tc>
          <w:tcPr>
            <w:tcW w:type="dxa" w:w="72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1</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w:t>
            </w:r>
          </w:p>
        </w:tc>
        <w:tc>
          <w:tcPr>
            <w:tcW w:type="dxa" w:w="6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User’s instruction + uploaded documents only. Produces a structured per-document summary.</w:t>
            </w:r>
          </w:p>
        </w:tc>
      </w:tr>
      <w:tr>
        <w:trPr>
          <w:tblHeader w:val="false"/>
        </w:trPr>
        <w:tc>
          <w:tcPr>
            <w:tcW w:type="dxa" w:w="72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2</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w:t>
            </w:r>
          </w:p>
        </w:tc>
        <w:tc>
          <w:tcPr>
            <w:tcW w:type="dxa" w:w="6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1’s structured summary + the original uploaded documents. Produces a clause-by-clause breakdown.</w:t>
            </w:r>
          </w:p>
        </w:tc>
      </w:tr>
      <w:tr>
        <w:trPr>
          <w:tblHeader w:val="false"/>
        </w:trPr>
        <w:tc>
          <w:tcPr>
            <w:tcW w:type="dxa" w:w="72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3</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w:t>
            </w:r>
          </w:p>
        </w:tc>
        <w:tc>
          <w:tcPr>
            <w:tcW w:type="dxa" w:w="6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2’s clause breakdown + the uploaded documents + a reference standard (either attached to the step or knowledge of typical market practice). Produces a comparison table with deltas.</w:t>
            </w:r>
          </w:p>
        </w:tc>
      </w:tr>
      <w:tr>
        <w:trPr>
          <w:tblHeader w:val="false"/>
        </w:trPr>
        <w:tc>
          <w:tcPr>
            <w:tcW w:type="dxa" w:w="72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4</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w:t>
            </w:r>
          </w:p>
        </w:tc>
        <w:tc>
          <w:tcPr>
            <w:tcW w:type="dxa" w:w="6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prior outputs synthesised into an executive-style deliverable. Does not need to re-read the original documents — the upstream steps have already done that work.</w:t>
            </w:r>
          </w:p>
        </w:tc>
      </w:tr>
    </w:tbl>
    <w:p>
      <w:pPr>
        <w:spacing w:after="80" w:before="80"/>
      </w:pPr>
      <w:r>
        <w:rPr>
          <w:b w:val="false"/>
          <w:bCs w:val="false"/>
          <w:i w:val="false"/>
          <w:iCs w:val="false"/>
          <w:sz w:val="22"/>
          <w:szCs w:val="22"/>
        </w:rPr>
        <w:t xml:space="preserve">Two implications of chaining QA should know:</w:t>
      </w:r>
    </w:p>
    <w:p>
      <w:pPr>
        <w:pStyle w:val="ListParagraph"/>
        <w:numPr>
          <w:ilvl w:val="0"/>
          <w:numId w:val="2"/>
        </w:numPr>
        <w:spacing w:after="80" w:before="80"/>
      </w:pPr>
      <w:r>
        <w:rPr>
          <w:b w:val="false"/>
          <w:bCs w:val="false"/>
          <w:i w:val="false"/>
          <w:iCs w:val="false"/>
          <w:sz w:val="22"/>
          <w:szCs w:val="22"/>
        </w:rPr>
        <w:t xml:space="preserve">If a step earlier in the chain produces a wrong or incomplete output, every downstream step inherits the error. Retry the upstream step rather than the downstream one.</w:t>
      </w:r>
    </w:p>
    <w:p>
      <w:pPr>
        <w:pStyle w:val="ListParagraph"/>
        <w:numPr>
          <w:ilvl w:val="0"/>
          <w:numId w:val="2"/>
        </w:numPr>
        <w:spacing w:after="80" w:before="80"/>
      </w:pPr>
      <w:r>
        <w:rPr>
          <w:b w:val="false"/>
          <w:bCs w:val="false"/>
          <w:i w:val="false"/>
          <w:iCs w:val="false"/>
          <w:sz w:val="22"/>
          <w:szCs w:val="22"/>
        </w:rPr>
        <w:t xml:space="preserve">If the workflow author writes ambiguous instructions for an early step, the ambiguity propagates. The Generate Report step at the end of the chain often surfaces this as a hedged or confused summary.</w:t>
      </w:r>
    </w:p>
    <w:p>
      <w:pPr>
        <w:pStyle w:val="Heading2"/>
        <w:spacing w:after="140" w:before="320"/>
      </w:pPr>
      <w:r>
        <w:rPr>
          <w:rFonts w:ascii="Arial" w:cs="Arial" w:eastAsia="Arial" w:hAnsi="Arial"/>
          <w:b/>
          <w:bCs/>
          <w:color w:val="0A2463"/>
          <w:sz w:val="26"/>
          <w:szCs w:val="26"/>
        </w:rPr>
        <w:t xml:space="preserve">4. Knowledge Sources and Priority</w:t>
      </w:r>
    </w:p>
    <w:p>
      <w:pPr>
        <w:spacing w:after="80" w:before="80"/>
      </w:pPr>
      <w:r>
        <w:rPr>
          <w:b w:val="false"/>
          <w:bCs w:val="false"/>
          <w:i w:val="false"/>
          <w:iCs w:val="false"/>
          <w:sz w:val="22"/>
          <w:szCs w:val="22"/>
        </w:rPr>
        <w:t xml:space="preserve">Each step records which knowledge source it actually used. The runner picks the highest-priority source available,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Source</w:t>
            </w:r>
          </w:p>
        </w:tc>
        <w:tc>
          <w:tcPr>
            <w:tcW w:type="dxa" w:w="5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When the step uses it</w:t>
            </w:r>
          </w:p>
        </w:tc>
      </w:tr>
      <w:tr>
        <w:trPr>
          <w:tblHeader w:val="false"/>
        </w:trP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1 (highest)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uploads</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the user uploaded in the Pre-Run Modal. Treated as the primary source of truth for this run.</w:t>
            </w:r>
          </w:p>
        </w:tc>
      </w:tr>
      <w:tr>
        <w:trPr>
          <w:tblHeader w:val="false"/>
        </w:trP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Reference doc</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step-specific playbook, checklist, or standard template attached to that one step in the workflow builder.</w:t>
            </w:r>
          </w:p>
        </w:tc>
      </w:tr>
      <w:tr>
        <w:trPr>
          <w:tblHeader w:val="false"/>
        </w:trP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3</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Workspace KB</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vault and knowledge packs of the workspace the run was launched from.</w:t>
            </w:r>
          </w:p>
        </w:tc>
      </w:tr>
      <w:tr>
        <w:trPr>
          <w:tblHeader w:val="false"/>
        </w:trP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4 (lowest)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Global KB</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platform-wide knowledge base maintained by YourAI staff. The default fallback when no run-specific or workspace context is present.</w:t>
            </w:r>
          </w:p>
        </w:tc>
      </w:tr>
    </w:tbl>
    <w:p>
      <w:pPr>
        <w:spacing w:after="80" w:before="80"/>
      </w:pPr>
      <w:r>
        <w:rPr>
          <w:b w:val="false"/>
          <w:bCs w:val="false"/>
          <w:i w:val="false"/>
          <w:iCs w:val="false"/>
          <w:sz w:val="22"/>
          <w:szCs w:val="22"/>
        </w:rPr>
        <w:t xml:space="preserve">This ordering means: if the user uploads a contract for this run, that contract dominates the analysis even when the workspace KB has older versions or other related contracts. The audit log records which source each step actually used so the user can trace any finding back to its origin.</w:t>
      </w:r>
    </w:p>
    <w:p>
      <w:pPr>
        <w:pStyle w:val="Heading1"/>
        <w:spacing w:after="220" w:before="400"/>
      </w:pPr>
      <w:r>
        <w:rPr>
          <w:rFonts w:ascii="Arial" w:cs="Arial" w:eastAsia="Arial" w:hAnsi="Arial"/>
          <w:b/>
          <w:bCs/>
          <w:color w:val="0A2463"/>
          <w:sz w:val="32"/>
          <w:szCs w:val="32"/>
        </w:rPr>
        <w:t xml:space="preserve">5. Per-Operation Specifications</w:t>
      </w:r>
    </w:p>
    <w:p>
      <w:pPr>
        <w:pStyle w:val="Heading2"/>
        <w:spacing w:after="140" w:before="320"/>
      </w:pPr>
      <w:r>
        <w:rPr>
          <w:rFonts w:ascii="Arial" w:cs="Arial" w:eastAsia="Arial" w:hAnsi="Arial"/>
          <w:b/>
          <w:bCs/>
          <w:color w:val="0A2463"/>
          <w:sz w:val="26"/>
          <w:szCs w:val="26"/>
        </w:rPr>
        <w:t xml:space="preserve">5.1 Read Documents</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Parses and structures every uploaded document so later steps can work with them efficiently.</w:t>
      </w:r>
    </w:p>
    <w:p>
      <w:pPr>
        <w:spacing w:after="80" w:before="80"/>
      </w:pPr>
      <w:r>
        <w:rPr>
          <w:b w:val="false"/>
          <w:bCs w:val="false"/>
          <w:i w:val="false"/>
          <w:iCs w:val="false"/>
          <w:sz w:val="22"/>
          <w:szCs w:val="22"/>
        </w:rPr>
        <w:t xml:space="preserve">This is the eyes of the workflow. It looks at what the user uploaded, classifies each document, surfaces the parties and dates, sketches the structure, and pulls out the key extractable facts. Most workflows put it as step 1 so every downstream step gets a clean, normalised view of the inputs without each having to re-parse the raw text.</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One or more uploaded documents (PDF / DOCX / XLSX / TXT) whose text was successfully extracted in the Pre-Run Modal.</w:t>
      </w:r>
    </w:p>
    <w:p>
      <w:pPr>
        <w:pStyle w:val="ListParagraph"/>
        <w:numPr>
          <w:ilvl w:val="0"/>
          <w:numId w:val="2"/>
        </w:numPr>
        <w:spacing w:after="80" w:before="80"/>
      </w:pPr>
      <w:r>
        <w:rPr>
          <w:b w:val="false"/>
          <w:bCs w:val="false"/>
          <w:i w:val="false"/>
          <w:iCs w:val="false"/>
          <w:sz w:val="22"/>
          <w:szCs w:val="22"/>
        </w:rPr>
        <w:t xml:space="preserve">A user instruction describing what to focus on (optional — the operation has sensible defaults if the instruction is empty).</w:t>
      </w:r>
    </w:p>
    <w:p>
      <w:pPr>
        <w:pStyle w:val="ListParagraph"/>
        <w:numPr>
          <w:ilvl w:val="0"/>
          <w:numId w:val="2"/>
        </w:numPr>
        <w:spacing w:after="80" w:before="80"/>
      </w:pPr>
      <w:r>
        <w:rPr>
          <w:b w:val="false"/>
          <w:bCs w:val="false"/>
          <w:i w:val="false"/>
          <w:iCs w:val="false"/>
          <w:sz w:val="22"/>
          <w:szCs w:val="22"/>
        </w:rPr>
        <w:t xml:space="preserve">No prior step outputs are required, since this is normally step 1.</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Per-document section headed by the document filename. Each section contains: document type (one of contract, NDA, lease, agreement, court filing, memo, financial statement, board minute, policy, email, regulation, case law, other), parties (where applicable), effective date and governing law, structure overview (top-level sections or clauses with their headings), and key extractable facts (dates, amounts, jurisdictions, obligations, termination triggers).</w:t>
      </w:r>
    </w:p>
    <w:p>
      <w:pPr>
        <w:pStyle w:val="ListParagraph"/>
        <w:numPr>
          <w:ilvl w:val="0"/>
          <w:numId w:val="2"/>
        </w:numPr>
        <w:spacing w:after="80" w:before="80"/>
      </w:pPr>
      <w:r>
        <w:rPr>
          <w:b w:val="false"/>
          <w:bCs w:val="false"/>
          <w:i w:val="false"/>
          <w:iCs w:val="false"/>
          <w:sz w:val="22"/>
          <w:szCs w:val="22"/>
        </w:rPr>
        <w:t xml:space="preserve">A closing sentence summarising the document count: “Documents processed: N. Ready for downstream analysis.” so the next step knows what to expect.</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system prompt frames the operation as the parsing layer of a multi-step workflow. It instructs the AI to produce one section per document under a level-2 heading bearing the filename, to lead each section with the document type, and to keep the structure overview to top-level headings rather than full text. It carries the shared anti-hallucination rules: classify only as one of the enumerated types; if a document’s contents don’t fit any type, mark it as “other” rather than guess; never invent parties, dates, or facts that aren’t literally in the document.</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a document is structurally unrecognisable (e.g., a scanned image with no text layer, or an encrypted PDF that produced empty extraction), the per-document section says “Not covered by supplied documents — this file appears to contain no readable text.” and skips the structure / facts subsections. The Pre-Run Modal will already have surfaced extraction failures separately, but Read Documents is the second-line defence.</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Read Documents is the most-chained operation. Almost every other operation in the library is designed to consume its output. Putting it second or later in a chain is unusual; the typical pattern is one Read Documents step at the start.</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3–7 seconds per document on a 5-page document; longer for very large PDFs. The 90-second per-step timeout caps even the worst case.</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produce one structured section per document, headed by the document filename.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section must classify the document into one of the enumerated types or “other” — it must not invent a category.</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section must include parties, effective date / governing law, structure overview, and key extractable facts when those are present in the source.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 document’s extraction produced no readable text, the section must say “Not covered by supplied documents — this file appears to contain no readable text.”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output must end with a closing sentence summarising the count of documents processed.</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is markdown. No JSON, no XML, no code fences around the whole response.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FR-OP1.07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never fabricate parties, dates, citations, or facts that are not present in the source documents.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Carried by the shared anti-hallucination rules.</w:t>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started with zero uploaded documents.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output begins with “Not covered by supplied documents.” and explains that the operation needs at least one document.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only inside the step’s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ten documents.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output contains ten distinct per-document sections; the closing sentence reads “Documents processed: 10. Ready for downstream analysis.”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scanned image PDF that yielded empty text extraction.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section for that document says it appears to contain no readable text and recommends OCR; the run continues.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are mostly tables and figures.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structure overview captures the table headings; key extractable facts pull out the most salient numbers.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mixed a contract with a financial statement.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gets its own section with its own type classification.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document’s extracted text exceeds the per-doc cap (~8,000 characters).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the first ~8,000 characters are passed to the AI for this step; the remainder is silently truncated for token budget reasons. A short note inside the section flags that the document was abbreviated.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inside the step’s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EC-OP1.07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AI returns an empty response.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step is marked Failed; the user can retry without rerunning the whole workflow.</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audit log.</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Single contract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 Contract Risk Review with one NDA uploaded.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One per-document section; type = NDA; parties + dates + structure populated.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Mixed types</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one contract + one financial statement.</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sections, each with a different document type classification.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Image-only PDF</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scanned image PDF that has no text layer.</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Section explicitly notes that the file appears to contain no readable text.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run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Start a run with no uploads.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begins with “Not covered by supplied documents.”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Truncation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200-page document.</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Section is produced from the first ~8,000 characters; abbreviation note appears.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TS-OP1-06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Hallucination probe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one-paragraph memo.</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never invents parties, dates, or clauses; if a field is unknown it is omitted.</w:t>
            </w:r>
          </w:p>
        </w:tc>
      </w:tr>
    </w:tbl>
    <w:p>
      <w:pPr>
        <w:pStyle w:val="Heading2"/>
        <w:spacing w:after="140" w:before="320"/>
      </w:pPr>
      <w:r>
        <w:rPr>
          <w:rFonts w:ascii="Arial" w:cs="Arial" w:eastAsia="Arial" w:hAnsi="Arial"/>
          <w:b/>
          <w:bCs/>
          <w:color w:val="0A2463"/>
          <w:sz w:val="26"/>
          <w:szCs w:val="26"/>
        </w:rPr>
        <w:t xml:space="preserve">5.2 Analyse Clauses</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Extracts each contractual clause and evaluates it against typical practice.</w:t>
      </w:r>
    </w:p>
    <w:p>
      <w:pPr>
        <w:spacing w:after="80" w:before="80"/>
      </w:pPr>
      <w:r>
        <w:rPr>
          <w:b w:val="false"/>
          <w:bCs w:val="false"/>
          <w:i w:val="false"/>
          <w:iCs w:val="false"/>
          <w:sz w:val="22"/>
          <w:szCs w:val="22"/>
        </w:rPr>
        <w:t xml:space="preserve">This is the lawyer-eye operation. It walks the documents clause-by-clause, names what each clause is, summarises what it says in one sentence, judges whether it is standard or unusual, and assigns a risk level to anything a lawyer would flag at first read.</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Uploaded documents that contain contractual clauses (contracts, NDAs, leases, agreements, MSAs, SOWs).</w:t>
      </w:r>
    </w:p>
    <w:p>
      <w:pPr>
        <w:pStyle w:val="ListParagraph"/>
        <w:numPr>
          <w:ilvl w:val="0"/>
          <w:numId w:val="2"/>
        </w:numPr>
        <w:spacing w:after="80" w:before="80"/>
      </w:pPr>
      <w:r>
        <w:rPr>
          <w:b w:val="false"/>
          <w:bCs w:val="false"/>
          <w:i w:val="false"/>
          <w:iCs w:val="false"/>
          <w:sz w:val="22"/>
          <w:szCs w:val="22"/>
        </w:rPr>
        <w:t xml:space="preserve">A user instruction describing the focus of the analysis (optional — e.g., “focus on liability and indemnity”).</w:t>
      </w:r>
    </w:p>
    <w:p>
      <w:pPr>
        <w:pStyle w:val="ListParagraph"/>
        <w:numPr>
          <w:ilvl w:val="0"/>
          <w:numId w:val="2"/>
        </w:numPr>
        <w:spacing w:after="80" w:before="80"/>
      </w:pPr>
      <w:r>
        <w:rPr>
          <w:b w:val="false"/>
          <w:bCs w:val="false"/>
          <w:i w:val="false"/>
          <w:iCs w:val="false"/>
          <w:sz w:val="22"/>
          <w:szCs w:val="22"/>
        </w:rPr>
        <w:t xml:space="preserve">If chained after Read Documents, that step’s structured output is used as a quick navigation aid.</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A clause-by-clause breakdown grouped by category: Financial; Liability and Indemnity; Termination and Assignment; IP and Confidentiality; Governing Law and Dispute; Other. Categories with no relevant clauses are skipped.</w:t>
      </w:r>
    </w:p>
    <w:p>
      <w:pPr>
        <w:pStyle w:val="ListParagraph"/>
        <w:numPr>
          <w:ilvl w:val="0"/>
          <w:numId w:val="2"/>
        </w:numPr>
        <w:spacing w:after="80" w:before="80"/>
      </w:pPr>
      <w:r>
        <w:rPr>
          <w:b w:val="false"/>
          <w:bCs w:val="false"/>
          <w:i w:val="false"/>
          <w:iCs w:val="false"/>
          <w:sz w:val="22"/>
          <w:szCs w:val="22"/>
        </w:rPr>
        <w:t xml:space="preserve">Each clause entry contains: clause name, what it says (one-sentence summary), assessment (standard / aggressive / unusual / missing / favourable), and risk level (None / Low / Medium / High — only Medium and High are surfaced for a lawyer’s attention).</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prompt frames the operation as a clause auditor. It directs the AI to extract clauses by category, to skip empty categories rather than fabricate them, and to use restrained risk grading (Medium and High only when something materially deviates from typical practice). It explicitly forbids inventing clauses that don’t appear in the source.</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the documents do not contain contractual clauses (for example, the user uploaded a court filing or a memo), the response says so explicitly and ends. It does not fabricate clauses to fit the workflow’s expected shape.</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Almost always runs after Read Documents. Its output is the input that Compare Against Standard expects — a structured clause inventory makes a fair comparison possible.</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6–12 seconds per document on a typical 10-page contract.</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group extracted clauses into the six fixed categories: Financial; Liability and Indemnity; Termination and Assignment; IP and Confidentiality; Governing Law and Dispute; Other.</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Categories with no relevant clauses must be skipped entirely — not rendered as empty sections.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clause entry must contain a name, a one-sentence summary, an assessment, and a risk level.</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Risk level must be one of None, Low, Medium, or High. The report should focus reader attention on Medium and High items.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the document does not contain clauses, the operation must say so plainly and end without fabricating clauses.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never invent or paraphrase clauses that are not in the source.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FR-OP2.07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 user instruction names a focus area (e.g., “focus on liability”), the operation must lead with that category and may still include the others.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 is not a contract.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states the document type doesn’t contain clauses and ends.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inside the step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Contract has no Termination clause.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Termination and Assignment category is rendered with the missing-clause flagged as such, OR omitted if there is no relevant content at all.</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Contract has aggressive limitation-of-liability language.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Listed under Liability and Indemnity with assessment = aggressive and risk = High.</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contracts uploaded in one 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covers both, either with a per-document subsection or with each clause noting which document it came from.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asks for IP focus.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IP and Confidentiality leads the output; other categories follow.</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EC-OP2.06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flagged the file as a memo (not a contract).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acknowledges and ends without fabricating clauses.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Standard NDA</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 vanilla NDA.</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major NDA clause appears in the right category; risks are mostly None or Low.</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Aggressive MSA</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an MSA with one-sided liability cap.</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Liability and Indemnity entry is graded High.</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Memo input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 single memo (not a contract).</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states clearly there are no clauses; nothing is invented.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Missing clause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 contract with no governing-law clause.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Either Governing Law category notes “Missing” or the category is omitted; nothing is fabricated.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Focused instruction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 instruction asks for IP focus.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IP and Confidentiality category leads the output.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TS-OP2-06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Multi-document run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contracts uploaded.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clause is associated with its source document.</w:t>
            </w:r>
          </w:p>
        </w:tc>
      </w:tr>
    </w:tbl>
    <w:p>
      <w:pPr>
        <w:pStyle w:val="Heading2"/>
        <w:spacing w:after="140" w:before="320"/>
      </w:pPr>
      <w:r>
        <w:rPr>
          <w:rFonts w:ascii="Arial" w:cs="Arial" w:eastAsia="Arial" w:hAnsi="Arial"/>
          <w:b/>
          <w:bCs/>
          <w:color w:val="0A2463"/>
          <w:sz w:val="26"/>
          <w:szCs w:val="26"/>
        </w:rPr>
        <w:t xml:space="preserve">5.3 Compare Against Standard</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Compares the subject document against a reference document or against typical market practice.</w:t>
      </w:r>
    </w:p>
    <w:p>
      <w:pPr>
        <w:spacing w:after="80" w:before="80"/>
      </w:pPr>
      <w:r>
        <w:rPr>
          <w:b w:val="false"/>
          <w:bCs w:val="false"/>
          <w:i w:val="false"/>
          <w:iCs w:val="false"/>
          <w:sz w:val="22"/>
          <w:szCs w:val="22"/>
        </w:rPr>
        <w:t xml:space="preserve">This operation is where the workflow tells the user how the document deviates from what they would normally expect. It is the layer that turns clause extraction into actionable risk — it doesn’t just list what is in the document, it grades how it compares to what should be there.</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Subject documents — the contracts being reviewed.</w:t>
      </w:r>
    </w:p>
    <w:p>
      <w:pPr>
        <w:pStyle w:val="ListParagraph"/>
        <w:numPr>
          <w:ilvl w:val="0"/>
          <w:numId w:val="2"/>
        </w:numPr>
        <w:spacing w:after="80" w:before="80"/>
      </w:pPr>
      <w:r>
        <w:rPr>
          <w:b w:val="false"/>
          <w:bCs w:val="false"/>
          <w:i w:val="false"/>
          <w:iCs w:val="false"/>
          <w:sz w:val="22"/>
          <w:szCs w:val="22"/>
        </w:rPr>
        <w:t xml:space="preserve">A reference document attached to this step — a playbook, standard template, or annotated example. If absent, the operation falls back to typical market-standard practice for the document type.</w:t>
      </w:r>
    </w:p>
    <w:p>
      <w:pPr>
        <w:pStyle w:val="ListParagraph"/>
        <w:numPr>
          <w:ilvl w:val="0"/>
          <w:numId w:val="2"/>
        </w:numPr>
        <w:spacing w:after="80" w:before="80"/>
      </w:pPr>
      <w:r>
        <w:rPr>
          <w:b w:val="false"/>
          <w:bCs w:val="false"/>
          <w:i w:val="false"/>
          <w:iCs w:val="false"/>
          <w:sz w:val="22"/>
          <w:szCs w:val="22"/>
        </w:rPr>
        <w:t xml:space="preserve">Output of any prior Analyse Clauses step — used to scope the comparison without re-extracting clauses.</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A markdown table with four columns: Clause / Topic; Subject document; Reference / market standard; Delta (one of Matches / Non-standard / Missing / Favourable / Unfavourable).</w:t>
      </w:r>
    </w:p>
    <w:p>
      <w:pPr>
        <w:pStyle w:val="ListParagraph"/>
        <w:numPr>
          <w:ilvl w:val="0"/>
          <w:numId w:val="2"/>
        </w:numPr>
        <w:spacing w:after="80" w:before="80"/>
      </w:pPr>
      <w:r>
        <w:rPr>
          <w:b w:val="false"/>
          <w:bCs w:val="false"/>
          <w:i w:val="false"/>
          <w:iCs w:val="false"/>
          <w:sz w:val="22"/>
          <w:szCs w:val="22"/>
        </w:rPr>
        <w:t xml:space="preserve">The table focuses on 6 to 12 material differences — clauses that match are not listed because they would be visual noise.</w:t>
      </w:r>
    </w:p>
    <w:p>
      <w:pPr>
        <w:pStyle w:val="ListParagraph"/>
        <w:numPr>
          <w:ilvl w:val="0"/>
          <w:numId w:val="2"/>
        </w:numPr>
        <w:spacing w:after="80" w:before="80"/>
      </w:pPr>
      <w:r>
        <w:rPr>
          <w:b w:val="false"/>
          <w:bCs w:val="false"/>
          <w:i w:val="false"/>
          <w:iCs w:val="false"/>
          <w:sz w:val="22"/>
          <w:szCs w:val="22"/>
        </w:rPr>
        <w:t xml:space="preserve">A 2 to 3 sentence executive comment on the overall risk profile after the table.</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prompt directs the operation to be a comparator, not a clause extractor. It explicitly says: skip clauses that match; lead with material deltas; cap the table at 6–12 rows for readability; if no reference document is attached, state “Comparing against market-standard [type]” at the top so the user knows what the implicit baseline is.</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neither a reference document is attached nor the document type has a well-understood market standard the operation can confidently use, the response leads with that limitation: “No reference standard is available for this document type. The following observations are based on internal consistency and best-practice principles only.” and produces the comparison without inventing a baseline.</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Best chained immediately after Analyse Clauses. It can also run standalone after Read Documents if the workflow author chooses to skip the explicit clause extraction step. It is rarely the final step — Generate Report typically follows it to translate the table into prose for the partner.</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8–15 seconds, depending on the size of the reference document and the number of deltas the AI surfaces.</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must be a markdown table with the four named columns: Clause / Topic; Subject document; Reference / market standard; Delta.</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Delta values must come from the fixed set: Matches, Non-standard, Missing, Favourable, Unfavourable.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Matching clauses must not appear in the table — only deltas.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Maintains signal-to-noise.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Table must be capped at 6 to 12 material rows.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More than 12 should be re-prioritised by materiality.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After the table, the operation must produce a 2–3 sentence executive comment on the risk profile.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no reference document is attached, the operation must label its baseline as “Comparing against market-standard [document type]” so the user knows what the comparison is grounded in.</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FR-OP3.07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neither a reference nor a confident market baseline is available, the operation must lead with that limitation explicitly and produce only the analysis it can support.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Reference document attached.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compares clause-by-clause against the reference; deltas explicitly cite the reference.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reference; document type is a standard NDA.</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labels its baseline as “Comparing against market-standard NDA” and produces the table.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Subject document and reference are very different shapes (e.g., reference is a checklist, subject is a contract).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produces a best-effort comparison, calling out the structural mismatch in the executive comment.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Subject document is identical to the reference.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Table is empty or near-empty; executive comment notes the document is materially aligned with the standard.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Reference document failed to extract at upload.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acknowledges the reference is unavailable and falls back to the market-standard baseline.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EC-OP3.06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prior Analyse Clauses output and no clear document type.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explains it cannot produce a useful comparison and recommends running Read Documents and Analyse Clauses first.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With reference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Attach a standard NDA reference; subject is a non-standard NDA.</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Table lists 6–12 deltas; matching clauses omitted.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Without reference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 vanilla MSA, no reference attached.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Top of output reads “Comparing against market-standard MSA”.</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Identical subject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subject = reference (same file).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Table near-empty; executive comment notes alignment.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Bad pairing</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Reference is a financial statement; subject is a contract.</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flags the mismatch and produces best-effort comparison.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Cap enforced</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Subject has 30+ deltas.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Table caps at 12; comment notes prioritisation.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TS-OP3-06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reference + no baseline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Subject is an unusual instrument the AI cannot baseline.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explicitly disclaims the limitation.</w:t>
            </w:r>
          </w:p>
        </w:tc>
      </w:tr>
    </w:tbl>
    <w:p>
      <w:pPr>
        <w:pStyle w:val="Heading2"/>
        <w:spacing w:after="140" w:before="320"/>
      </w:pPr>
      <w:r>
        <w:rPr>
          <w:rFonts w:ascii="Arial" w:cs="Arial" w:eastAsia="Arial" w:hAnsi="Arial"/>
          <w:b/>
          <w:bCs/>
          <w:color w:val="0A2463"/>
          <w:sz w:val="26"/>
          <w:szCs w:val="26"/>
        </w:rPr>
        <w:t xml:space="preserve">5.4 Research Precedents</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Identifies relevant statutes, regulations, and case law that bear on the legal questions raised by the documents or the instruction.</w:t>
      </w:r>
    </w:p>
    <w:p>
      <w:pPr>
        <w:spacing w:after="80" w:before="80"/>
      </w:pPr>
      <w:r>
        <w:rPr>
          <w:b w:val="false"/>
          <w:bCs w:val="false"/>
          <w:i w:val="false"/>
          <w:iCs w:val="false"/>
          <w:sz w:val="22"/>
          <w:szCs w:val="22"/>
        </w:rPr>
        <w:t xml:space="preserve">This is the law-library operation. It asks: “given what the user has uploaded, what laws apply?” Its job is to surface the right statutes, regulations, and cases at the right level of specificity — and to do so without fabricating citations.</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Uploaded documents that frame a legal question, OR a user instruction that names a question directly.</w:t>
      </w:r>
    </w:p>
    <w:p>
      <w:pPr>
        <w:pStyle w:val="ListParagraph"/>
        <w:numPr>
          <w:ilvl w:val="0"/>
          <w:numId w:val="2"/>
        </w:numPr>
        <w:spacing w:after="80" w:before="80"/>
      </w:pPr>
      <w:r>
        <w:rPr>
          <w:b w:val="false"/>
          <w:bCs w:val="false"/>
          <w:i w:val="false"/>
          <w:iCs w:val="false"/>
          <w:sz w:val="22"/>
          <w:szCs w:val="22"/>
        </w:rPr>
        <w:t xml:space="preserve">Optionally, the output of a prior Analyse Clauses or Read Documents step to anchor the research.</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Governing jurisdiction(s) — what law applies given the documents.</w:t>
      </w:r>
    </w:p>
    <w:p>
      <w:pPr>
        <w:pStyle w:val="ListParagraph"/>
        <w:numPr>
          <w:ilvl w:val="0"/>
          <w:numId w:val="2"/>
        </w:numPr>
        <w:spacing w:after="80" w:before="80"/>
      </w:pPr>
      <w:r>
        <w:rPr>
          <w:b w:val="false"/>
          <w:bCs w:val="false"/>
          <w:i w:val="false"/>
          <w:iCs w:val="false"/>
          <w:sz w:val="22"/>
          <w:szCs w:val="22"/>
        </w:rPr>
        <w:t xml:space="preserve">Relevant statutes / regulations — 2 to 5 key provisions, each with its citation and a one-sentence relevance note.</w:t>
      </w:r>
    </w:p>
    <w:p>
      <w:pPr>
        <w:pStyle w:val="ListParagraph"/>
        <w:numPr>
          <w:ilvl w:val="0"/>
          <w:numId w:val="2"/>
        </w:numPr>
        <w:spacing w:after="80" w:before="80"/>
      </w:pPr>
      <w:r>
        <w:rPr>
          <w:b w:val="false"/>
          <w:bCs w:val="false"/>
          <w:i w:val="false"/>
          <w:iCs w:val="false"/>
          <w:sz w:val="22"/>
          <w:szCs w:val="22"/>
        </w:rPr>
        <w:t xml:space="preserve">Relevant case law — 2 to 5 cases with name, citation if known, court, year, a one-sentence holding, and why it matters here. If the AI cannot produce a verified citation, it produces the principle without the citation and explicitly notes “citation to verify”.</w:t>
      </w:r>
    </w:p>
    <w:p>
      <w:pPr>
        <w:pStyle w:val="ListParagraph"/>
        <w:numPr>
          <w:ilvl w:val="0"/>
          <w:numId w:val="2"/>
        </w:numPr>
        <w:spacing w:after="80" w:before="80"/>
      </w:pPr>
      <w:r>
        <w:rPr>
          <w:b w:val="false"/>
          <w:bCs w:val="false"/>
          <w:i w:val="false"/>
          <w:iCs w:val="false"/>
          <w:sz w:val="22"/>
          <w:szCs w:val="22"/>
        </w:rPr>
        <w:t xml:space="preserve">Open questions — things the user should research further before relying on the output.</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This operation’s prompt has the strictest anti-hallucination constraint in the library. It explicitly says: NEVER invent case citations. If you are uncertain about a citation, describe the principle without the citation and note “citation to verify” explicitly. The operation is designed to be useful even when the AI is uncertain — the principle is more valuable than a fabricated reference.</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the documents and instruction together don’t imply a clear legal question, the operation says so and asks for a sharper question. It does not invent a question to answer.</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Often runs standalone in research-heavy workflows. Can chain after Read Documents to anchor the research in the actual subject documents. Rarely consumed by Compare Against Standard, which has a different conceptual purpose.</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8–15 seconds. Longer when the AI cycles through multiple plausible jurisdictions.</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must include four named sections in order: Governing jurisdiction(s); Relevant statutes / regulations; Relevant case law; Open questions.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statute / regulation entry must have a citation and a one-sentence relevance note.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case entry must have a name; a citation if known; the court; the year; a one-sentence holding; and a one-sentence relevance note.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the AI is uncertain about a case citation, it must produce the principle without the citation and note “citation to verify” in plain text.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single most important non-fabrication rule.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NEVER invent a case name or citation that does not exist.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Open questions section must list what the user should verify or research further.</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FR-OP4.07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no clear legal question can be inferred, the operation must say so and ask for a sharper question rather than fabricate one.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names a clear question (e.g., “what does Texas law say about X?”).</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produces statutes and cases scoped to Texas; jurisdiction section confirms Texas.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imply a question but the instruction is empty.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infers the question from the documents and states the inferred question at the top.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cannot find a verified citation for a known principle.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describes the principle and adds “citation to verify” in the entry.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inside the entry.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Question crosses jurisdictions (e.g., federal + state).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Governing jurisdiction(s) section lists all relevant jurisdictions; statutes and cases are grouped accordingly.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asks an out-of-scope question (e.g., dating advice).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refuses politely; the off-topic guard from the platform catches this.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EC-OP4.06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don’t imply any legal question and instruction is empty.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says so and asks for a sharper question.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Texas question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asks about Texas non-compete enforceability.</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Jurisdiction = Texas; statutes from Tex. Bus. &amp; Com. Code; named cases.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Citation hedging</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asks about a niche principle the AI is unsure of.</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includes the principle with “citation to verify” rather than a fabricated citation.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Cross-jurisdiction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is federal + state question.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Both jurisdictions named; statutes / cases grouped by jurisdiction.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input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documents and no instruction.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asks for a sharper question; nothing fabricated.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Off-topic question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asks for sports trivia.</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refuses politely.</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TS-OP4-06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questions</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any meaningful research.</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questions section lists at least one item the user should verify.</w:t>
            </w:r>
          </w:p>
        </w:tc>
      </w:tr>
    </w:tbl>
    <w:p>
      <w:pPr>
        <w:pStyle w:val="Heading2"/>
        <w:spacing w:after="140" w:before="320"/>
      </w:pPr>
      <w:r>
        <w:rPr>
          <w:rFonts w:ascii="Arial" w:cs="Arial" w:eastAsia="Arial" w:hAnsi="Arial"/>
          <w:b/>
          <w:bCs/>
          <w:color w:val="0A2463"/>
          <w:sz w:val="26"/>
          <w:szCs w:val="26"/>
        </w:rPr>
        <w:t xml:space="preserve">5.5 Compliance Check</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Evaluates the supplied documents against a stated compliance framework and produces a gap analysis with prioritised remediations.</w:t>
      </w:r>
    </w:p>
    <w:p>
      <w:pPr>
        <w:spacing w:after="80" w:before="80"/>
      </w:pPr>
      <w:r>
        <w:rPr>
          <w:b w:val="false"/>
          <w:bCs w:val="false"/>
          <w:i w:val="false"/>
          <w:iCs w:val="false"/>
          <w:sz w:val="22"/>
          <w:szCs w:val="22"/>
        </w:rPr>
        <w:t xml:space="preserve">This is the auditor operation. It reads policies, procedures, and control evidence; matches each against a named compliance framework (SOC 2, HIPAA, GDPR, CCPA, GxP, FCPA, or another the user names); and produces a structured findings report with material gaps and a remediation plan.</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Uploaded documents that constitute the evidence base — typically policies, procedures, control matrices, audit trails, training records.</w:t>
      </w:r>
    </w:p>
    <w:p>
      <w:pPr>
        <w:pStyle w:val="ListParagraph"/>
        <w:numPr>
          <w:ilvl w:val="0"/>
          <w:numId w:val="2"/>
        </w:numPr>
        <w:spacing w:after="80" w:before="80"/>
      </w:pPr>
      <w:r>
        <w:rPr>
          <w:b w:val="false"/>
          <w:bCs w:val="false"/>
          <w:i w:val="false"/>
          <w:iCs w:val="false"/>
          <w:sz w:val="22"/>
          <w:szCs w:val="22"/>
        </w:rPr>
        <w:t xml:space="preserve">A user instruction that names the compliance framework being checked. If the user doesn’t name one, the operation infers the most likely framework from the document content and explicitly says so.</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Framework — the standard being checked against.</w:t>
      </w:r>
    </w:p>
    <w:p>
      <w:pPr>
        <w:pStyle w:val="ListParagraph"/>
        <w:numPr>
          <w:ilvl w:val="0"/>
          <w:numId w:val="2"/>
        </w:numPr>
        <w:spacing w:after="80" w:before="80"/>
      </w:pPr>
      <w:r>
        <w:rPr>
          <w:b w:val="false"/>
          <w:bCs w:val="false"/>
          <w:i w:val="false"/>
          <w:iCs w:val="false"/>
          <w:sz w:val="22"/>
          <w:szCs w:val="22"/>
        </w:rPr>
        <w:t xml:space="preserve">Controls evaluated — a markdown table with five columns: Control ID, Requirement, Evidence found, Gap, Severity (Low / Medium / High).</w:t>
      </w:r>
    </w:p>
    <w:p>
      <w:pPr>
        <w:pStyle w:val="ListParagraph"/>
        <w:numPr>
          <w:ilvl w:val="0"/>
          <w:numId w:val="2"/>
        </w:numPr>
        <w:spacing w:after="80" w:before="80"/>
      </w:pPr>
      <w:r>
        <w:rPr>
          <w:b w:val="false"/>
          <w:bCs w:val="false"/>
          <w:i w:val="false"/>
          <w:iCs w:val="false"/>
          <w:sz w:val="22"/>
          <w:szCs w:val="22"/>
        </w:rPr>
        <w:t xml:space="preserve">Summary of gaps — a bulleted list of material deficiencies.</w:t>
      </w:r>
    </w:p>
    <w:p>
      <w:pPr>
        <w:pStyle w:val="ListParagraph"/>
        <w:numPr>
          <w:ilvl w:val="0"/>
          <w:numId w:val="2"/>
        </w:numPr>
        <w:spacing w:after="80" w:before="80"/>
      </w:pPr>
      <w:r>
        <w:rPr>
          <w:b w:val="false"/>
          <w:bCs w:val="false"/>
          <w:i w:val="false"/>
          <w:iCs w:val="false"/>
          <w:sz w:val="22"/>
          <w:szCs w:val="22"/>
        </w:rPr>
        <w:t xml:space="preserve">Remediation priorities — 3 to 5 prioritised actions the firm should take to close gaps.</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prompt frames the operation as a compliance auditor. It directs the AI to use a specific framework or to declare the inferred one explicitly; to never grade a control as compliant if there is no evidence in the supplied documents; and to list every gap with a severity, not just the worst ones.</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no framework is named in the instruction and the document content doesn’t make one obvious, the operation picks the most likely framework based on what the documents look like and says so explicitly: “Assuming SOC 2 TSC since the documents are IT policies; re-run with a different framework if needed.” If the documents aren’t policy-shaped at all, the operation says it cannot do a compliance check on this evidence and ends.</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Usually runs after Read Documents in a 3- or 4-step audit workflow: Read Documents → Compliance Check → Generate Report. Can also chain after Update Knowledge Base when prior runs have populated the firm’s control library.</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10–20 seconds depending on framework breadth (SOC 2 has more controls than CCPA).</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framework being checked must be stated at the top of the output.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the user did not name a framework, the operation must explicitly state the framework it inferred and offer the user the option to re-run with a different one.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Controls evaluated table must have five columns: Control ID, Requirement, Evidence found, Gap, Severity.</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Severity must be one of Low, Medium, or High.</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Controls without evidence in the supplied documents must NEVER be marked compliant. They must be marked as a gap.</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Most important integrity rule.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Summary of gaps section must list every gap, not only the worst ones.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Remediation priorities section must contain 3 to 5 prioritised actions.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FR-OP5.08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the supplied documents are not policy-shaped (e.g., contracts only), the operation must say it cannot perform a compliance check on this evidence base.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names SOC 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is scoped to SOC 2 TSC categories; controls map to the five trust services criteria.</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is empty; documents are clearly IT policies.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infers SOC 2 and labels it explicitly: “Assuming SOC 2 TSC since the documents are IT policies”.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are healthcare-related.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infers HIPAA and labels it.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are contracts (no policy content).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declines to do the check and explains why.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Many controls have no evidence at all.</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is marked as a gap with severity proportional to its importance to the framework.</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Some controls have partial evidence.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Marked with a gap severity Low or Medium and a Gap column note describing what’s missing.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EC-OP5.07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names a framework the AI is unfamiliar with.</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acknowledges its limitation and falls back to general control hygiene principles.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SOC 2 with IT policies</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names SOC 2; documents are IT policies.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Controls grouped by TSC; gaps with severity; remediation priorities listed.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HIPAA inference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empty; documents are HIPAA-shaped.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Framework inferred = HIPAA, stated explicitly.</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Contracts uploaded</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only contracts.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declines compliance check; explains evidence base mismatch.</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Missing evidence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Documents have no evidence for several controls.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such controls marked as gaps; nothing marked compliant without evidence.</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Partial evidence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Some controls have weak evidence.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Marked Low or Medium gap with Gap column explaining what is missing.</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TS-OP5-06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Unknown framework</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names “ISO 27018” and AI is uncertain.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acknowledges its limitation and proceeds with general principles.</w:t>
            </w:r>
          </w:p>
        </w:tc>
      </w:tr>
    </w:tbl>
    <w:p>
      <w:pPr>
        <w:pStyle w:val="Heading2"/>
        <w:spacing w:after="140" w:before="320"/>
      </w:pPr>
      <w:r>
        <w:rPr>
          <w:rFonts w:ascii="Arial" w:cs="Arial" w:eastAsia="Arial" w:hAnsi="Arial"/>
          <w:b/>
          <w:bCs/>
          <w:color w:val="0A2463"/>
          <w:sz w:val="26"/>
          <w:szCs w:val="26"/>
        </w:rPr>
        <w:t xml:space="preserve">5.6 Update Knowledge Base</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Persists extracted entities, definitions, and relationships into the firm’s long-term knowledge base so future runs benefit from the captured context.</w:t>
      </w:r>
    </w:p>
    <w:p>
      <w:pPr>
        <w:spacing w:after="80" w:before="80"/>
      </w:pPr>
      <w:r>
        <w:rPr>
          <w:b w:val="false"/>
          <w:bCs w:val="false"/>
          <w:i w:val="false"/>
          <w:iCs w:val="false"/>
          <w:sz w:val="22"/>
          <w:szCs w:val="22"/>
        </w:rPr>
        <w:t xml:space="preserve">This is the memory operation. By default, every workflow run is stateless — nothing produced is remembered for the next run. When a workflow author drops Update Knowledge Base into a chain, the run’s discoveries (named parties, definitions, key clauses, jurisdictional findings, etc.) get written into the workspace or global KB, where they become part of the platform’s grounded context for everyone authorised to see them.</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All prior step outputs in this run — the operation’s job is to choose what to persist from those, not to re-derive them.</w:t>
      </w:r>
    </w:p>
    <w:p>
      <w:pPr>
        <w:pStyle w:val="ListParagraph"/>
        <w:numPr>
          <w:ilvl w:val="0"/>
          <w:numId w:val="2"/>
        </w:numPr>
        <w:spacing w:after="80" w:before="80"/>
      </w:pPr>
      <w:r>
        <w:rPr>
          <w:b w:val="false"/>
          <w:bCs w:val="false"/>
          <w:i w:val="false"/>
          <w:iCs w:val="false"/>
          <w:sz w:val="22"/>
          <w:szCs w:val="22"/>
        </w:rPr>
        <w:t xml:space="preserve">A user instruction that scopes what to persist (optional — e.g., “only persist parties and effective dates, not full clauses”).</w:t>
      </w:r>
    </w:p>
    <w:p>
      <w:pPr>
        <w:pStyle w:val="ListParagraph"/>
        <w:numPr>
          <w:ilvl w:val="0"/>
          <w:numId w:val="2"/>
        </w:numPr>
        <w:spacing w:after="80" w:before="80"/>
      </w:pPr>
      <w:r>
        <w:rPr>
          <w:b w:val="false"/>
          <w:bCs w:val="false"/>
          <w:i w:val="false"/>
          <w:iCs w:val="false"/>
          <w:sz w:val="22"/>
          <w:szCs w:val="22"/>
        </w:rPr>
        <w:t xml:space="preserve">The KB target context: workspace KB if the run was launched from inside a workspace; otherwise the global (platform) KB.</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Entities persisted — a list of named entities written to the KB (e.g., “Acme Corp — counterparty in MSA dated 2025-03-12”).</w:t>
      </w:r>
    </w:p>
    <w:p>
      <w:pPr>
        <w:pStyle w:val="ListParagraph"/>
        <w:numPr>
          <w:ilvl w:val="0"/>
          <w:numId w:val="2"/>
        </w:numPr>
        <w:spacing w:after="80" w:before="80"/>
      </w:pPr>
      <w:r>
        <w:rPr>
          <w:b w:val="false"/>
          <w:bCs w:val="false"/>
          <w:i w:val="false"/>
          <w:iCs w:val="false"/>
          <w:sz w:val="22"/>
          <w:szCs w:val="22"/>
        </w:rPr>
        <w:t xml:space="preserve">Definitions persisted — defined terms extracted from the documents and stored as named definitions.</w:t>
      </w:r>
    </w:p>
    <w:p>
      <w:pPr>
        <w:pStyle w:val="ListParagraph"/>
        <w:numPr>
          <w:ilvl w:val="0"/>
          <w:numId w:val="2"/>
        </w:numPr>
        <w:spacing w:after="80" w:before="80"/>
      </w:pPr>
      <w:r>
        <w:rPr>
          <w:b w:val="false"/>
          <w:bCs w:val="false"/>
          <w:i w:val="false"/>
          <w:iCs w:val="false"/>
          <w:sz w:val="22"/>
          <w:szCs w:val="22"/>
        </w:rPr>
        <w:t xml:space="preserve">Relationships persisted — “party-to”, “governed-by”, “supersedes”, etc.</w:t>
      </w:r>
    </w:p>
    <w:p>
      <w:pPr>
        <w:pStyle w:val="ListParagraph"/>
        <w:numPr>
          <w:ilvl w:val="0"/>
          <w:numId w:val="2"/>
        </w:numPr>
        <w:spacing w:after="80" w:before="80"/>
      </w:pPr>
      <w:r>
        <w:rPr>
          <w:b w:val="false"/>
          <w:bCs w:val="false"/>
          <w:i w:val="false"/>
          <w:iCs w:val="false"/>
          <w:sz w:val="22"/>
          <w:szCs w:val="22"/>
        </w:rPr>
        <w:t xml:space="preserve">Skipped items — anything the operation chose not to persist, with a one-line reason.</w:t>
      </w:r>
    </w:p>
    <w:p>
      <w:pPr>
        <w:pStyle w:val="ListParagraph"/>
        <w:numPr>
          <w:ilvl w:val="0"/>
          <w:numId w:val="2"/>
        </w:numPr>
        <w:spacing w:after="80" w:before="80"/>
      </w:pPr>
      <w:r>
        <w:rPr>
          <w:b w:val="false"/>
          <w:bCs w:val="false"/>
          <w:i w:val="false"/>
          <w:iCs w:val="false"/>
          <w:sz w:val="22"/>
          <w:szCs w:val="22"/>
        </w:rPr>
        <w:t xml:space="preserve">A closing summary: “N entities, M definitions, K relationships persisted to &lt;KB target&gt;.”</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prompt frames the operation as a curator. It directs the AI to read the prior step outputs and decide which items are durable enough to persist (high-signal entities, defined terms, jurisdictional findings) versus items that are run-specific and should not be persisted (clause-by-clause assessments, risk gradings). It explicitly forbids persisting anything the AI inferred but did not see in the source documents.</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no prior step has produced anything persistable, the operation says so and persists nothing. It does not invent entities or definitions to fill the KB. The output reads: “Nothing persistable was identified in the prior steps. KB unchanged.”</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Almost always near the end of a chain, after the operations that did the heavy lifting. Sometimes followed by Generate Report so the deliverable can mention what was persisted. Rarely the only operation in a workflow.</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4–9 seconds. The operation is mostly a synthesis step — it doesn’t do new analysis.</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must list four sections: Entities persisted; Definitions persisted; Relationships persisted; Skipped items.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persisted entry must have a clear name and a one-line provenance note describing where in the run it came from.</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NEVER persist anything that was not present in the prior step outputs or the source documents — no inferred or extrapolated entries.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 workspace context is present, items are persisted to the workspace KB; otherwise to the global platform KB.</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Skipped items must include a short reason so the user understands what the operation chose to leave out.</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nothing persistable was found, the output must say so explicitly and persist nothing.</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respect the firm’s privacy boundary — persisted items are scoped to the workspace they came from unless the workflow author explicitly intends global.</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FR-OP6.08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audit entry must be written for every KB write, capturing operator, run id, target KB, and item summary.</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 the platform’s overall audit policy.</w:t>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was launched from inside a workspace.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persisted items go to the workspace KB; output’s closing line reads “persisted to &lt;Workspace name&gt;”.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was launched from main chat.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Items go to the global KB; closing line reads “persisted to Global KB”.</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Prior step output is empty (e.g., the only prior step failed).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persists nothing; output says so explicitly.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restricts persistence to a subset (e.g., “only parties”).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honours the restriction; Skipped items section lists what was excluded by instruction.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runs persist the same entity to the same KB.</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KB stores one entry; the second write updates the provenance to include both runs.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KB record.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runs a workflow on a contract that turns out to contain a sensitive identifier.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respects the platform’s sensitive-ID redaction (handled at the storage boundary, not in the operation itself).</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EC-OP6.07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does not have permission to write to the target KB.</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refuses with a clear message and persists nothing; the run’s overall status remains Complete.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Workspace target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from inside a workspace.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Persisted items written to workspace KB; closing line reflects the workspace name.</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Global target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from main chat.</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Items written to Global KB.</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Nothing persistable</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 workflow whose only step failed.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says nothing was persistable; KB unchanged.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Instruction-scoped</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says “only persist parties”.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Definitions and relationships are skipped; Skipped section explains why.</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Provenance check</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After a successful run, open the KB record.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persisted item has a provenance note linking back to the run.</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TS-OP6-06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Permission refusal</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without KB-write permission runs a workflow with this op.</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refuses; run status is still Complete; audit captures the denial.</w:t>
            </w:r>
          </w:p>
        </w:tc>
      </w:tr>
    </w:tbl>
    <w:p>
      <w:pPr>
        <w:pStyle w:val="Heading2"/>
        <w:spacing w:after="140" w:before="320"/>
      </w:pPr>
      <w:r>
        <w:rPr>
          <w:rFonts w:ascii="Arial" w:cs="Arial" w:eastAsia="Arial" w:hAnsi="Arial"/>
          <w:b/>
          <w:bCs/>
          <w:color w:val="0A2463"/>
          <w:sz w:val="26"/>
          <w:szCs w:val="26"/>
        </w:rPr>
        <w:t xml:space="preserve">5.7 Generate Report</w:t>
      </w:r>
    </w:p>
    <w:p>
      <w:pPr>
        <w:pStyle w:val="Heading4"/>
        <w:spacing w:after="140" w:before="220"/>
      </w:pPr>
      <w:r>
        <w:rPr>
          <w:rFonts w:ascii="Arial" w:cs="Arial" w:eastAsia="Arial" w:hAnsi="Arial"/>
          <w:b/>
          <w:bCs/>
          <w:color w:val="0F2E59"/>
          <w:sz w:val="20"/>
          <w:szCs w:val="20"/>
        </w:rPr>
        <w:t xml:space="preserve">Purpose</w:t>
      </w:r>
    </w:p>
    <w:p>
      <w:pPr>
        <w:spacing w:after="80" w:before="80"/>
      </w:pPr>
      <w:r>
        <w:rPr>
          <w:b w:val="false"/>
          <w:bCs w:val="false"/>
          <w:i w:val="false"/>
          <w:iCs w:val="false"/>
          <w:sz w:val="22"/>
          <w:szCs w:val="22"/>
        </w:rPr>
        <w:t xml:space="preserve">Synthesises everything the prior steps produced into a single executive-style deliverable.</w:t>
      </w:r>
    </w:p>
    <w:p>
      <w:pPr>
        <w:spacing w:after="80" w:before="80"/>
      </w:pPr>
      <w:r>
        <w:rPr>
          <w:b w:val="false"/>
          <w:bCs w:val="false"/>
          <w:i w:val="false"/>
          <w:iCs w:val="false"/>
          <w:sz w:val="22"/>
          <w:szCs w:val="22"/>
        </w:rPr>
        <w:t xml:space="preserve">This is the deliverable operation. Its job is not to do new analysis — it’s to take the work the upstream steps already did and turn it into something a partner can read in 90 seconds and act on. The report card the user sees in the Run Panel is rendered from this step’s output.</w:t>
      </w:r>
    </w:p>
    <w:p>
      <w:pPr>
        <w:pStyle w:val="Heading4"/>
        <w:spacing w:after="140" w:before="220"/>
      </w:pPr>
      <w:r>
        <w:rPr>
          <w:rFonts w:ascii="Arial" w:cs="Arial" w:eastAsia="Arial" w:hAnsi="Arial"/>
          <w:b/>
          <w:bCs/>
          <w:color w:val="0F2E59"/>
          <w:sz w:val="20"/>
          <w:szCs w:val="20"/>
        </w:rPr>
        <w:t xml:space="preserve">Expected inputs</w:t>
      </w:r>
    </w:p>
    <w:p>
      <w:pPr>
        <w:pStyle w:val="ListParagraph"/>
        <w:numPr>
          <w:ilvl w:val="0"/>
          <w:numId w:val="2"/>
        </w:numPr>
        <w:spacing w:after="80" w:before="80"/>
      </w:pPr>
      <w:r>
        <w:rPr>
          <w:b w:val="false"/>
          <w:bCs w:val="false"/>
          <w:i w:val="false"/>
          <w:iCs w:val="false"/>
          <w:sz w:val="22"/>
          <w:szCs w:val="22"/>
        </w:rPr>
        <w:t xml:space="preserve">Outputs of every prior step in the chain. This operation depends on chaining more than any other.</w:t>
      </w:r>
    </w:p>
    <w:p>
      <w:pPr>
        <w:pStyle w:val="ListParagraph"/>
        <w:numPr>
          <w:ilvl w:val="0"/>
          <w:numId w:val="2"/>
        </w:numPr>
        <w:spacing w:after="80" w:before="80"/>
      </w:pPr>
      <w:r>
        <w:rPr>
          <w:b w:val="false"/>
          <w:bCs w:val="false"/>
          <w:i w:val="false"/>
          <w:iCs w:val="false"/>
          <w:sz w:val="22"/>
          <w:szCs w:val="22"/>
        </w:rPr>
        <w:t xml:space="preserve">A user instruction that frames the audience and intent (optional — e.g., “write for the deal lead, focus on go / no-go”).</w:t>
      </w:r>
    </w:p>
    <w:p>
      <w:pPr>
        <w:pStyle w:val="Heading4"/>
        <w:spacing w:after="140" w:before="220"/>
      </w:pPr>
      <w:r>
        <w:rPr>
          <w:rFonts w:ascii="Arial" w:cs="Arial" w:eastAsia="Arial" w:hAnsi="Arial"/>
          <w:b/>
          <w:bCs/>
          <w:color w:val="0F2E59"/>
          <w:sz w:val="20"/>
          <w:szCs w:val="20"/>
        </w:rPr>
        <w:t xml:space="preserve">Output structure</w:t>
      </w:r>
    </w:p>
    <w:p>
      <w:pPr>
        <w:pStyle w:val="ListParagraph"/>
        <w:numPr>
          <w:ilvl w:val="0"/>
          <w:numId w:val="2"/>
        </w:numPr>
        <w:spacing w:after="80" w:before="80"/>
      </w:pPr>
      <w:r>
        <w:rPr>
          <w:b w:val="false"/>
          <w:bCs w:val="false"/>
          <w:i w:val="false"/>
          <w:iCs w:val="false"/>
          <w:sz w:val="22"/>
          <w:szCs w:val="22"/>
        </w:rPr>
        <w:t xml:space="preserve">Header paragraph — what the workflow analysed (document types, date, brief scope). If any input was missing or limited, this is where it gets surfaced in one sentence.</w:t>
      </w:r>
    </w:p>
    <w:p>
      <w:pPr>
        <w:pStyle w:val="ListParagraph"/>
        <w:numPr>
          <w:ilvl w:val="0"/>
          <w:numId w:val="2"/>
        </w:numPr>
        <w:spacing w:after="80" w:before="80"/>
      </w:pPr>
      <w:r>
        <w:rPr>
          <w:b w:val="false"/>
          <w:bCs w:val="false"/>
          <w:i w:val="false"/>
          <w:iCs w:val="false"/>
          <w:sz w:val="22"/>
          <w:szCs w:val="22"/>
        </w:rPr>
        <w:t xml:space="preserve">Key findings — 4 to 8 bulleted findings in priority order. Each finding has a bold title, an explanatory sentence, and a source citation if applicable.</w:t>
      </w:r>
    </w:p>
    <w:p>
      <w:pPr>
        <w:pStyle w:val="ListParagraph"/>
        <w:numPr>
          <w:ilvl w:val="0"/>
          <w:numId w:val="2"/>
        </w:numPr>
        <w:spacing w:after="80" w:before="80"/>
      </w:pPr>
      <w:r>
        <w:rPr>
          <w:b w:val="false"/>
          <w:bCs w:val="false"/>
          <w:i w:val="false"/>
          <w:iCs w:val="false"/>
          <w:sz w:val="22"/>
          <w:szCs w:val="22"/>
        </w:rPr>
        <w:t xml:space="preserve">Risk rating — overall risk level (Low / Medium / High) with a one-sentence rationale.</w:t>
      </w:r>
    </w:p>
    <w:p>
      <w:pPr>
        <w:pStyle w:val="ListParagraph"/>
        <w:numPr>
          <w:ilvl w:val="0"/>
          <w:numId w:val="2"/>
        </w:numPr>
        <w:spacing w:after="80" w:before="80"/>
      </w:pPr>
      <w:r>
        <w:rPr>
          <w:b w:val="false"/>
          <w:bCs w:val="false"/>
          <w:i w:val="false"/>
          <w:iCs w:val="false"/>
          <w:sz w:val="22"/>
          <w:szCs w:val="22"/>
        </w:rPr>
        <w:t xml:space="preserve">Recommended actions — 3 to 5 numbered actions the partner should take, in priority order.</w:t>
      </w:r>
    </w:p>
    <w:p>
      <w:pPr>
        <w:pStyle w:val="ListParagraph"/>
        <w:numPr>
          <w:ilvl w:val="0"/>
          <w:numId w:val="2"/>
        </w:numPr>
        <w:spacing w:after="80" w:before="80"/>
      </w:pPr>
      <w:r>
        <w:rPr>
          <w:b w:val="false"/>
          <w:bCs w:val="false"/>
          <w:i w:val="false"/>
          <w:iCs w:val="false"/>
          <w:sz w:val="22"/>
          <w:szCs w:val="22"/>
        </w:rPr>
        <w:t xml:space="preserve">Aim for 300 to 500 words total. Confident, professional tone.</w:t>
      </w:r>
    </w:p>
    <w:p>
      <w:pPr>
        <w:pStyle w:val="Heading4"/>
        <w:spacing w:after="140" w:before="220"/>
      </w:pPr>
      <w:r>
        <w:rPr>
          <w:rFonts w:ascii="Arial" w:cs="Arial" w:eastAsia="Arial" w:hAnsi="Arial"/>
          <w:b/>
          <w:bCs/>
          <w:color w:val="0F2E59"/>
          <w:sz w:val="20"/>
          <w:szCs w:val="20"/>
        </w:rPr>
        <w:t xml:space="preserve">Prompt strategy</w:t>
      </w:r>
    </w:p>
    <w:p>
      <w:pPr>
        <w:spacing w:after="80" w:before="80"/>
      </w:pPr>
      <w:r>
        <w:rPr>
          <w:b w:val="false"/>
          <w:bCs w:val="false"/>
          <w:i w:val="false"/>
          <w:iCs w:val="false"/>
          <w:sz w:val="22"/>
          <w:szCs w:val="22"/>
        </w:rPr>
        <w:t xml:space="preserve">The prompt explicitly says: “You are the final deliverable step. Do NOT redo analysis the prior steps already did — your job is to synthesise.” It directs the AI to lead with what was missing or limited if any input was incomplete; to grade overall risk based on the prior steps’ risk indicators; to produce recommended actions in priority order; and to keep the deliverable to 300–500 words.</w:t>
      </w:r>
    </w:p>
    <w:p>
      <w:pPr>
        <w:pStyle w:val="Heading4"/>
        <w:spacing w:after="140" w:before="220"/>
      </w:pPr>
      <w:r>
        <w:rPr>
          <w:rFonts w:ascii="Arial" w:cs="Arial" w:eastAsia="Arial" w:hAnsi="Arial"/>
          <w:b/>
          <w:bCs/>
          <w:color w:val="0F2E59"/>
          <w:sz w:val="20"/>
          <w:szCs w:val="20"/>
        </w:rPr>
        <w:t xml:space="preserve">Vague-document behaviour</w:t>
      </w:r>
    </w:p>
    <w:p>
      <w:pPr>
        <w:spacing w:after="80" w:before="80"/>
      </w:pPr>
      <w:r>
        <w:rPr>
          <w:b w:val="false"/>
          <w:bCs w:val="false"/>
          <w:i w:val="false"/>
          <w:iCs w:val="false"/>
          <w:sz w:val="22"/>
          <w:szCs w:val="22"/>
        </w:rPr>
        <w:t xml:space="preserve">If the prior steps produced no usable substance — either no completed steps before it or every prior step ended with “Not covered by supplied documents” — the report explicitly says so in the header paragraph and produces a short “no-deliverable” output rather than fabricating one. The Workflow Report card surfaces this honestly to the user.</w:t>
      </w:r>
    </w:p>
    <w:p>
      <w:pPr>
        <w:pStyle w:val="Heading4"/>
        <w:spacing w:after="140" w:before="220"/>
      </w:pPr>
      <w:r>
        <w:rPr>
          <w:rFonts w:ascii="Arial" w:cs="Arial" w:eastAsia="Arial" w:hAnsi="Arial"/>
          <w:b/>
          <w:bCs/>
          <w:color w:val="0F2E59"/>
          <w:sz w:val="20"/>
          <w:szCs w:val="20"/>
        </w:rPr>
        <w:t xml:space="preserve">Role in a chain</w:t>
      </w:r>
    </w:p>
    <w:p>
      <w:pPr>
        <w:spacing w:after="80" w:before="80"/>
      </w:pPr>
      <w:r>
        <w:rPr>
          <w:b w:val="false"/>
          <w:bCs w:val="false"/>
          <w:i w:val="false"/>
          <w:iCs w:val="false"/>
          <w:sz w:val="22"/>
          <w:szCs w:val="22"/>
        </w:rPr>
        <w:t xml:space="preserve">Almost always the final step. Cannot be the only step in a useful workflow — with no prior steps to synthesise it has nothing to say. The Workflow Report card uses this step’s output as the executive summary; if this step is missing, the report falls back to the last completed step’s output.</w:t>
      </w:r>
    </w:p>
    <w:p>
      <w:pPr>
        <w:pStyle w:val="Heading4"/>
        <w:spacing w:after="140" w:before="220"/>
      </w:pPr>
      <w:r>
        <w:rPr>
          <w:rFonts w:ascii="Arial" w:cs="Arial" w:eastAsia="Arial" w:hAnsi="Arial"/>
          <w:b/>
          <w:bCs/>
          <w:color w:val="0F2E59"/>
          <w:sz w:val="20"/>
          <w:szCs w:val="20"/>
        </w:rPr>
        <w:t xml:space="preserve">Typical timing and rate</w:t>
      </w:r>
    </w:p>
    <w:p>
      <w:pPr>
        <w:spacing w:after="80" w:before="80"/>
      </w:pPr>
      <w:r>
        <w:rPr>
          <w:b w:val="false"/>
          <w:bCs w:val="false"/>
          <w:i w:val="false"/>
          <w:iCs w:val="false"/>
          <w:sz w:val="22"/>
          <w:szCs w:val="22"/>
        </w:rPr>
        <w:t xml:space="preserve">Approximately 8–16 seconds. Faster when there are fewer prior outputs; slower when synthesising 6+ prior steps with long content.</w:t>
      </w:r>
    </w:p>
    <w:p>
      <w:pPr>
        <w:pStyle w:val="Heading4"/>
        <w:spacing w:after="140" w:before="22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1100"/>
        <w:gridCol w:w="220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5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must contain four named sections in order: Header paragraph; Key findings; Risk rating; Recommended actions.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Risk rating must be Low, Medium, or High, with a one-sentence rationale.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Key findings must be 4 to 8 bullets, in priority order, each with a bold title and an explanatory sentence.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Recommended actions must be 3 to 5 numbered actions in priority order.</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operation must synthesise prior outputs, NOT redo their analysis.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FR-OP7.06</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prior inputs were missing or limited, the header paragraph must say so in one sentence.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FR-OP7.07</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Total length should be 300 to 500 words.</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FR-OP7.08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no prior step produced usable substance, the operation must produce a short no-deliverable output that says so explicitly rather than fabricating one.</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2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prior steps completed cleanly.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 renders the four sections; key findings cite which prior step they came from.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One prior step failed.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Header paragraph notes the missing step; key findings are based only on the steps that ran.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prior step said “Not covered by supplied documents”.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is a short no-deliverable note explaining that the workflow could not produce findings on the supplied evidence.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instruction asks for a specific audience (e.g., the deal lead).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Tone and focus shift accordingly; the four-section structure is preserved.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Risk indicators across prior steps disagree.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Risk rating is the highest indicated by any prior step, with the rationale noting the disagreement.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Inside the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exceeds 500 words.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Operation tightens before the word cap is hit; if it still goes over, the cap is soft rather than hard.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EC-OP7.07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retries this step after a failure.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Re-run uses the same prior step outputs; report regenerates fresh.</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20"/>
      </w:pPr>
      <w:r>
        <w:rPr>
          <w:rFonts w:ascii="Arial" w:cs="Arial" w:eastAsia="Arial" w:hAnsi="Arial"/>
          <w:b/>
          <w:bCs/>
          <w:color w:val="0F2E59"/>
          <w:sz w:val="20"/>
          <w:szCs w:val="20"/>
        </w:rPr>
        <w:t xml:space="preserve">Test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660"/>
        <w:gridCol w:w="280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Title</w:t>
            </w:r>
          </w:p>
        </w:tc>
        <w:tc>
          <w:tcPr>
            <w:tcW w:type="dxa" w:w="46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Clean chain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 4-step workflow that completes cleanly.</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 has all four sections; key findings cite source steps.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Partial chain</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failed, the rest completed.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Header paragraph mentions the missing step; report still produced.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inputs</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prior step said “Not covered by supplied documents”.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is a short no-deliverable note.</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TS-OP7-04</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Audience-specific</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names the audience.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Tone and focus reflect the audience; structure preserved.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Risk disagreement</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Prior steps indicate Low and High risk respectively.</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Overall rating = High; rationale notes the disagreement.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TS-OP7-06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Length cap</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on a complex 6-step workflow.</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is approximately 300–500 words; not multiple pages.</w:t>
            </w:r>
          </w:p>
        </w:tc>
      </w:tr>
    </w:tbl>
    <w:p>
      <w:pPr>
        <w:pStyle w:val="Heading1"/>
        <w:spacing w:after="220" w:before="400"/>
      </w:pPr>
      <w:r>
        <w:rPr>
          <w:rFonts w:ascii="Arial" w:cs="Arial" w:eastAsia="Arial" w:hAnsi="Arial"/>
          <w:b/>
          <w:bCs/>
          <w:color w:val="0A2463"/>
          <w:sz w:val="32"/>
          <w:szCs w:val="32"/>
        </w:rPr>
        <w:t xml:space="preserve">6. How the Operations Connect</w:t>
      </w:r>
    </w:p>
    <w:p>
      <w:pPr>
        <w:pStyle w:val="Heading2"/>
        <w:spacing w:after="140" w:before="320"/>
      </w:pPr>
      <w:r>
        <w:rPr>
          <w:rFonts w:ascii="Arial" w:cs="Arial" w:eastAsia="Arial" w:hAnsi="Arial"/>
          <w:b/>
          <w:bCs/>
          <w:color w:val="0A2463"/>
          <w:sz w:val="26"/>
          <w:szCs w:val="26"/>
        </w:rPr>
        <w:t xml:space="preserve">Composition patterns</w:t>
      </w:r>
    </w:p>
    <w:p>
      <w:pPr>
        <w:spacing w:after="80" w:before="80"/>
      </w:pPr>
      <w:r>
        <w:rPr>
          <w:b w:val="false"/>
          <w:bCs w:val="false"/>
          <w:i w:val="false"/>
          <w:iCs w:val="false"/>
          <w:sz w:val="22"/>
          <w:szCs w:val="22"/>
        </w:rPr>
        <w:t xml:space="preserve">Workflows are built by chaining operations. The library is small enough that a few canonical patterns cover most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Pattern</w:t>
            </w:r>
          </w:p>
        </w:tc>
        <w:tc>
          <w:tcPr>
            <w:tcW w:type="dxa" w:w="63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Typical chain</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Light analysis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 Generate Report</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Standard contract review</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 Analyse Clauses → Compare Against Standard → Generate Report</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Due diligence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 Analyse Clauses → Research Precedents → Update Knowledge Base → Generate Report</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audit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 Compliance Check → Generate Report</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Legal research only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 → Generate Report</w:t>
            </w:r>
          </w:p>
        </w:tc>
      </w:tr>
      <w:tr>
        <w:trPr>
          <w:tblHeader w:val="false"/>
        </w:trP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Knowledge harvest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 Analyse Clauses → Update Knowledge Base</w:t>
            </w:r>
          </w:p>
        </w:tc>
      </w:tr>
    </w:tbl>
    <w:p>
      <w:pPr>
        <w:pStyle w:val="Heading2"/>
        <w:spacing w:after="140" w:before="320"/>
      </w:pPr>
      <w:r>
        <w:rPr>
          <w:rFonts w:ascii="Arial" w:cs="Arial" w:eastAsia="Arial" w:hAnsi="Arial"/>
          <w:b/>
          <w:bCs/>
          <w:color w:val="0A2463"/>
          <w:sz w:val="26"/>
          <w:szCs w:val="26"/>
        </w:rPr>
        <w:t xml:space="preserve">What each operation expects from upstream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Operation</w:t>
            </w:r>
          </w:p>
        </w:tc>
        <w:tc>
          <w:tcPr>
            <w:tcW w:type="dxa" w:w="7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Most useful when chained after</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Nothing — typically the first step.</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(so it has a structured per-doc map to navigate).</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 (so it has a clause inventory to compare).</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OR standalone.</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(so it has policy structure to evaluate).</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Update Knowledge Base</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Any combination of the above (it persists what those steps found).</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Anything — it synthesises all prior outputs.</w:t>
            </w:r>
          </w:p>
        </w:tc>
      </w:tr>
    </w:tbl>
    <w:p>
      <w:pPr>
        <w:pStyle w:val="Heading2"/>
        <w:spacing w:after="140" w:before="320"/>
      </w:pPr>
      <w:r>
        <w:rPr>
          <w:rFonts w:ascii="Arial" w:cs="Arial" w:eastAsia="Arial" w:hAnsi="Arial"/>
          <w:b/>
          <w:bCs/>
          <w:color w:val="0A2463"/>
          <w:sz w:val="26"/>
          <w:szCs w:val="26"/>
        </w:rPr>
        <w:t xml:space="preserve">What each operation feeds downstream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Operation</w:t>
            </w:r>
          </w:p>
        </w:tc>
        <w:tc>
          <w:tcPr>
            <w:tcW w:type="dxa" w:w="7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Most useful as input to</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Almost everything else; it primes the chain.</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 or Generate Report.</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(the deltas become the executive findings).</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(precedents become the legal grounding).</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Update Knowledge Base or Generate Report.</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Update Knowledge Base</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(so the report can mention what was persisted).</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w:t>
            </w:r>
          </w:p>
        </w:tc>
        <w:tc>
          <w:tcPr>
            <w:tcW w:type="dxa" w:w="7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Nothing downstream — it is the deliverable.</w:t>
            </w:r>
          </w:p>
        </w:tc>
      </w:tr>
    </w:tbl>
    <w:p>
      <w:pPr>
        <w:pStyle w:val="Heading1"/>
        <w:spacing w:after="220" w:before="400"/>
      </w:pPr>
      <w:r>
        <w:rPr>
          <w:rFonts w:ascii="Arial" w:cs="Arial" w:eastAsia="Arial" w:hAnsi="Arial"/>
          <w:b/>
          <w:bCs/>
          <w:color w:val="0A2463"/>
          <w:sz w:val="32"/>
          <w:szCs w:val="32"/>
        </w:rPr>
        <w:t xml:space="preserve">7. Vague-Document Handling</w:t>
      </w:r>
    </w:p>
    <w:p>
      <w:pPr>
        <w:spacing w:after="80" w:before="80"/>
      </w:pPr>
      <w:r>
        <w:rPr>
          <w:b w:val="false"/>
          <w:bCs w:val="false"/>
          <w:i w:val="false"/>
          <w:iCs w:val="false"/>
          <w:sz w:val="22"/>
          <w:szCs w:val="22"/>
        </w:rPr>
        <w:t xml:space="preserve">This is the platform’s answer to the most common real-world failure: “user ran a workflow without uploading exactly the right kind of document.” Every operation’s prompt has the same fall-through behaviour, but the symptoms differ by operation. This section is for QA to know what to look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Operation</w:t>
            </w:r>
          </w:p>
        </w:tc>
        <w:tc>
          <w:tcPr>
            <w:tcW w:type="dxa" w:w="7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What it does when the doc doesn’t match</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Classifies as “other” and lists whatever structure is present. Never invents document type.</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States that the document doesn’t contain clauses and ends. Never invents clauses.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Compare Against Standard</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States that no comparison is meaningful and ends, OR notes the structural mismatch in the executive comment.</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Asks for a sharper question if no clear legal question can be inferred. Never invents citations.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Declines if the documents aren’t policy-shaped. Never marks a control compliant without evidence.</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Update Knowledge Base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Persists nothing if there is nothing persistable; says so plainly.</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Produces a no-deliverable note if every prior step ran on mismatched docs.</w:t>
            </w:r>
          </w:p>
        </w:tc>
      </w:tr>
    </w:tbl>
    <w:p>
      <w:pPr>
        <w:pStyle w:val="Heading2"/>
        <w:spacing w:after="140" w:before="320"/>
      </w:pPr>
      <w:r>
        <w:rPr>
          <w:rFonts w:ascii="Arial" w:cs="Arial" w:eastAsia="Arial" w:hAnsi="Arial"/>
          <w:b/>
          <w:bCs/>
          <w:color w:val="0A2463"/>
          <w:sz w:val="26"/>
          <w:szCs w:val="26"/>
        </w:rPr>
        <w:t xml:space="preserve">Worked example: Due Diligence on a memo</w:t>
      </w:r>
    </w:p>
    <w:p>
      <w:pPr>
        <w:spacing w:after="80" w:before="80"/>
      </w:pPr>
      <w:r>
        <w:rPr>
          <w:b w:val="false"/>
          <w:bCs w:val="false"/>
          <w:i w:val="false"/>
          <w:iCs w:val="false"/>
          <w:sz w:val="22"/>
          <w:szCs w:val="22"/>
        </w:rPr>
        <w:t xml:space="preserve">A user runs Due Diligence Summary (Read Documents → Analyse Clauses → Research Precedents → Update Knowledge Base → Generate Report) but uploads only a one-page memo. Here is what each step produces: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Step</w:t>
            </w:r>
          </w:p>
        </w:tc>
        <w:tc>
          <w:tcPr>
            <w:tcW w:type="dxa" w:w="71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Output</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1. Read Documents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One per-document section; document type = memo; structure overview is the memo’s headings; key facts are whatever appears.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2. Analyse Clauses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 covered by supplied documents — a memo does not contain contractual clauses. This step is limited to noting the absence.” Ends.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3. Research Precedents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Inferable legal question is too thin. Asks for a sharper question and ends with no precedents.</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4. Update Knowledge Base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“Nothing persistable was identified in the prior steps. KB unchanged.”</w:t>
            </w:r>
          </w:p>
        </w:tc>
      </w:tr>
      <w:tr>
        <w:trPr>
          <w:tblHeader w:val="false"/>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5. Generate Report</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Header paragraph: “This Due Diligence Summary was attempted on a single memo; the workflow normally analyses a deal room with agreements, financial statements, and board minutes. With only a memo supplied, no findings could be produced.” Followed by a brief no-deliverable note. No fabricated risk rating or recommendations.</w:t>
            </w:r>
          </w:p>
        </w:tc>
      </w:tr>
    </w:tbl>
    <w:p>
      <w:pPr>
        <w:spacing w:after="80" w:before="80"/>
      </w:pPr>
      <w:r>
        <w:rPr>
          <w:b w:val="false"/>
          <w:bCs w:val="false"/>
          <w:i w:val="false"/>
          <w:iCs w:val="false"/>
          <w:sz w:val="22"/>
          <w:szCs w:val="22"/>
        </w:rPr>
        <w:t xml:space="preserve">The user receives an honest report that explicitly says “we couldn’t do this with what you uploaded” rather than a fabricated due diligence summary. They can then re-run with the correct documents.</w:t>
      </w:r>
    </w:p>
    <w:p>
      <w:pPr>
        <w:pStyle w:val="Heading1"/>
        <w:spacing w:after="220" w:before="400"/>
      </w:pPr>
      <w:r>
        <w:rPr>
          <w:rFonts w:ascii="Arial" w:cs="Arial" w:eastAsia="Arial" w:hAnsi="Arial"/>
          <w:b/>
          <w:bCs/>
          <w:color w:val="0A2463"/>
          <w:sz w:val="32"/>
          <w:szCs w:val="32"/>
        </w:rPr>
        <w:t xml:space="preserve">8. Token Budget Management</w:t>
      </w:r>
    </w:p>
    <w:p>
      <w:pPr>
        <w:spacing w:after="80" w:before="80"/>
      </w:pPr>
      <w:r>
        <w:rPr>
          <w:b w:val="false"/>
          <w:bCs w:val="false"/>
          <w:i w:val="false"/>
          <w:iCs w:val="false"/>
          <w:sz w:val="22"/>
          <w:szCs w:val="22"/>
        </w:rPr>
        <w:t xml:space="preserve">The AI backend has a finite context window. As a chain grows in steps and as documents grow in length, the runner has to make tradeoffs to keep each step’s prompt within budget. The user does not need to think about this — it is automatic — but QA should know what is happening.</w:t>
      </w:r>
    </w:p>
    <w:p>
      <w:pPr>
        <w:pStyle w:val="Heading4"/>
        <w:spacing w:after="140" w:before="220"/>
      </w:pPr>
      <w:r>
        <w:rPr>
          <w:rFonts w:ascii="Arial" w:cs="Arial" w:eastAsia="Arial" w:hAnsi="Arial"/>
          <w:b/>
          <w:bCs/>
          <w:color w:val="0F2E59"/>
          <w:sz w:val="20"/>
          <w:szCs w:val="20"/>
        </w:rPr>
        <w:t xml:space="preserve">Caps applied per step</w:t>
      </w:r>
    </w:p>
    <w:p>
      <w:pPr>
        <w:pStyle w:val="ListParagraph"/>
        <w:numPr>
          <w:ilvl w:val="0"/>
          <w:numId w:val="2"/>
        </w:numPr>
        <w:spacing w:after="80" w:before="80"/>
      </w:pPr>
      <w:r>
        <w:rPr>
          <w:b w:val="false"/>
          <w:bCs w:val="false"/>
          <w:i w:val="false"/>
          <w:iCs w:val="false"/>
          <w:sz w:val="22"/>
          <w:szCs w:val="22"/>
        </w:rPr>
        <w:t xml:space="preserve">Each prior step’s output is capped at approximately 3,500 characters before being included in the next step’s prompt.</w:t>
      </w:r>
    </w:p>
    <w:p>
      <w:pPr>
        <w:pStyle w:val="ListParagraph"/>
        <w:numPr>
          <w:ilvl w:val="0"/>
          <w:numId w:val="2"/>
        </w:numPr>
        <w:spacing w:after="80" w:before="80"/>
      </w:pPr>
      <w:r>
        <w:rPr>
          <w:b w:val="false"/>
          <w:bCs w:val="false"/>
          <w:i w:val="false"/>
          <w:iCs w:val="false"/>
          <w:sz w:val="22"/>
          <w:szCs w:val="22"/>
        </w:rPr>
        <w:t xml:space="preserve">Each uploaded document’s extracted text is capped at approximately 8,000 characters per document.</w:t>
      </w:r>
    </w:p>
    <w:p>
      <w:pPr>
        <w:pStyle w:val="ListParagraph"/>
        <w:numPr>
          <w:ilvl w:val="0"/>
          <w:numId w:val="2"/>
        </w:numPr>
        <w:spacing w:after="80" w:before="80"/>
      </w:pPr>
      <w:r>
        <w:rPr>
          <w:b w:val="false"/>
          <w:bCs w:val="false"/>
          <w:i w:val="false"/>
          <w:iCs w:val="false"/>
          <w:sz w:val="22"/>
          <w:szCs w:val="22"/>
        </w:rPr>
        <w:t xml:space="preserve">Each reference document’s extracted text is capped at approximately 6,000 characters.</w:t>
      </w:r>
    </w:p>
    <w:p>
      <w:pPr>
        <w:pStyle w:val="ListParagraph"/>
        <w:numPr>
          <w:ilvl w:val="0"/>
          <w:numId w:val="2"/>
        </w:numPr>
        <w:spacing w:after="80" w:before="80"/>
      </w:pPr>
      <w:r>
        <w:rPr>
          <w:b w:val="false"/>
          <w:bCs w:val="false"/>
          <w:i w:val="false"/>
          <w:iCs w:val="false"/>
          <w:sz w:val="22"/>
          <w:szCs w:val="22"/>
        </w:rPr>
        <w:t xml:space="preserve">When a cap is hit, the truncated content has a small “[... truncated ...]” marker so the AI knows the source was abbreviated.</w:t>
      </w:r>
    </w:p>
    <w:p>
      <w:pPr>
        <w:pStyle w:val="Heading4"/>
        <w:spacing w:after="140" w:before="220"/>
      </w:pPr>
      <w:r>
        <w:rPr>
          <w:rFonts w:ascii="Arial" w:cs="Arial" w:eastAsia="Arial" w:hAnsi="Arial"/>
          <w:b/>
          <w:bCs/>
          <w:color w:val="0F2E59"/>
          <w:sz w:val="20"/>
          <w:szCs w:val="20"/>
        </w:rPr>
        <w:t xml:space="preserve">Implications QA should validate</w:t>
      </w:r>
    </w:p>
    <w:p>
      <w:pPr>
        <w:pStyle w:val="ListParagraph"/>
        <w:numPr>
          <w:ilvl w:val="0"/>
          <w:numId w:val="2"/>
        </w:numPr>
        <w:spacing w:after="80" w:before="80"/>
      </w:pPr>
      <w:r>
        <w:rPr>
          <w:b w:val="false"/>
          <w:bCs w:val="false"/>
          <w:i w:val="false"/>
          <w:iCs w:val="false"/>
          <w:sz w:val="22"/>
          <w:szCs w:val="22"/>
        </w:rPr>
        <w:t xml:space="preserve">Long documents will not crash the run; they will produce summaries scoped to what fit.</w:t>
      </w:r>
    </w:p>
    <w:p>
      <w:pPr>
        <w:pStyle w:val="ListParagraph"/>
        <w:numPr>
          <w:ilvl w:val="0"/>
          <w:numId w:val="2"/>
        </w:numPr>
        <w:spacing w:after="80" w:before="80"/>
      </w:pPr>
      <w:r>
        <w:rPr>
          <w:b w:val="false"/>
          <w:bCs w:val="false"/>
          <w:i w:val="false"/>
          <w:iCs w:val="false"/>
          <w:sz w:val="22"/>
          <w:szCs w:val="22"/>
        </w:rPr>
        <w:t xml:space="preserve">Long workflow chains will not crash; later steps see compressed views of earlier steps.</w:t>
      </w:r>
    </w:p>
    <w:p>
      <w:pPr>
        <w:pStyle w:val="ListParagraph"/>
        <w:numPr>
          <w:ilvl w:val="0"/>
          <w:numId w:val="2"/>
        </w:numPr>
        <w:spacing w:after="80" w:before="80"/>
      </w:pPr>
      <w:r>
        <w:rPr>
          <w:b w:val="false"/>
          <w:bCs w:val="false"/>
          <w:i w:val="false"/>
          <w:iCs w:val="false"/>
          <w:sz w:val="22"/>
          <w:szCs w:val="22"/>
        </w:rPr>
        <w:t xml:space="preserve">If a long document’s relevant content was beyond the cap, the operation’s output may be incomplete in a way the user can’t directly see. The audit log’s per-step source label is the place to confirm what was actually used.</w:t>
      </w:r>
    </w:p>
    <w:p>
      <w:pPr>
        <w:pStyle w:val="ListParagraph"/>
        <w:numPr>
          <w:ilvl w:val="0"/>
          <w:numId w:val="2"/>
        </w:numPr>
        <w:spacing w:after="80" w:before="80"/>
      </w:pPr>
      <w:r>
        <w:rPr>
          <w:b w:val="false"/>
          <w:bCs w:val="false"/>
          <w:i w:val="false"/>
          <w:iCs w:val="false"/>
          <w:sz w:val="22"/>
          <w:szCs w:val="22"/>
        </w:rPr>
        <w:t xml:space="preserve">There is no token-budget error surfaced to the user. The runner silently truncates rather than failing.</w:t>
      </w:r>
    </w:p>
    <w:p>
      <w:pPr>
        <w:pStyle w:val="Heading1"/>
        <w:spacing w:after="220" w:before="400"/>
      </w:pPr>
      <w:r>
        <w:rPr>
          <w:rFonts w:ascii="Arial" w:cs="Arial" w:eastAsia="Arial" w:hAnsi="Arial"/>
          <w:b/>
          <w:bCs/>
          <w:color w:val="0A2463"/>
          <w:sz w:val="32"/>
          <w:szCs w:val="32"/>
        </w:rPr>
        <w:t xml:space="preserve">9. Failure Modes and Recovery</w:t>
      </w:r>
    </w:p>
    <w:p>
      <w:pPr>
        <w:spacing w:after="80" w:before="80"/>
      </w:pPr>
      <w:r>
        <w:rPr>
          <w:b w:val="false"/>
          <w:bCs w:val="false"/>
          <w:i w:val="false"/>
          <w:iCs w:val="false"/>
          <w:sz w:val="22"/>
          <w:szCs w:val="22"/>
        </w:rPr>
        <w:t xml:space="preserve">Operations can fail. The platform’s job is to fail safely — never crash a run, never lose prior step outputs, and always give the user a way back. This section catalogues the failure modes a QA tester can expect to encounter.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Failure mode</w:t>
            </w:r>
          </w:p>
        </w:tc>
        <w:tc>
          <w:tcPr>
            <w:tcW w:type="dxa" w:w="4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Behaviour</w:t>
            </w:r>
          </w:p>
        </w:tc>
        <w:tc>
          <w:tcPr>
            <w:tcW w:type="dxa" w:w="29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Recovery</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backend timeout (per-step 90s)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is marked Failed; output preserves an honest “not completed” placeholder explaining the timeout.</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Retry on that step from the audit log; runner resumes from there.</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backend unreachable (network)</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Same as timeout: step is marked Failed with a placeholder.</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once the backend is back.</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returned empty response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is marked Failed; the empty response is captured for the audit log.</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fabricated a citation that didn’t exist</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 NOT happen. The Research Precedents prompt forbids fabricated citations. If observed, log as a P0 bug.</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Verify the prompt guard fired; report to engineering.</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marked a control compliant without evidence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 NOT happen for Compliance Check. If observed, log as a P0 bug.</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Verify the prompt guard fired; report to engineering.</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cancelled mid-step</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marked Cancelled; prior step outputs preserved; run status becomes Cancelled.</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can start a fresh run.</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Browser tab closed mid-run</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terminates; nothing persists.</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starts a fresh run.</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session expired mid-run</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Next step’s call fails; step marked Failed.</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signs in again; opens the Run Panel; retries the failed step.</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got zero docs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begins with “Not covered by supplied documents”.</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a new run with documents attached.</w:t>
            </w:r>
          </w:p>
        </w:tc>
      </w:tr>
      <w:tr>
        <w:trPr>
          <w:tblHeader w:val="false"/>
        </w:trP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got nothing usable from upstream</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Produces a no-deliverable note rather than fabricating.</w:t>
            </w:r>
          </w:p>
        </w:tc>
        <w:tc>
          <w:tcPr>
            <w:tcW w:type="dxa" w:w="2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reviews the audit log to see which prior steps failed and retries them.</w:t>
            </w:r>
          </w:p>
        </w:tc>
      </w:tr>
    </w:tbl>
    <w:p>
      <w:pPr>
        <w:pStyle w:val="Heading1"/>
        <w:spacing w:after="220" w:before="400"/>
      </w:pPr>
      <w:r>
        <w:rPr>
          <w:rFonts w:ascii="Arial" w:cs="Arial" w:eastAsia="Arial" w:hAnsi="Arial"/>
          <w:b/>
          <w:bCs/>
          <w:color w:val="0A2463"/>
          <w:sz w:val="32"/>
          <w:szCs w:val="32"/>
        </w:rPr>
        <w:t xml:space="preserve">10. End-to-End Test Scenarios for QA</w:t>
      </w:r>
    </w:p>
    <w:p>
      <w:pPr>
        <w:spacing w:after="80" w:before="80"/>
      </w:pPr>
      <w:r>
        <w:rPr>
          <w:b w:val="false"/>
          <w:bCs w:val="false"/>
          <w:i w:val="false"/>
          <w:iCs w:val="false"/>
          <w:sz w:val="22"/>
          <w:szCs w:val="22"/>
        </w:rPr>
        <w:t xml:space="preserve">These are integration scenarios that exercise multiple operations together. Per-operation tests are in each operation’s section above; what follows is what to validate at the chain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4500"/>
        <w:gridCol w:w="276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Pattern</w:t>
            </w:r>
          </w:p>
        </w:tc>
        <w:tc>
          <w:tcPr>
            <w:tcW w:type="dxa" w:w="45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TS-E2E-01</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Standard contract review</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 4-step Contract Risk Review on a vanilla NDA.</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1 classifies as NDA; step 2 produces a clause inventory; step 3 produces a comparison table; step 4 produces an executive report. Audit log shows all four Complete.</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TS-E2E-02</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Due diligence on right docs</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Due Diligence Summary on a deal room (3 agreements + a financial statement + a board minute).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step produces grounded output. Generate Report mentions all three document types in its header.</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TS-E2E-03</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Due diligence on wrong docs</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Due Diligence Summary on a single memo.</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step degrades gracefully. Generate Report produces a no-deliverable note that explains the mismatch.</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TS-E2E-04</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audit clean</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Compliance Audit on a complete SOC 2 evidence base.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 populates the controls table with no critical gaps. Generate Report rates risk Low.</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audit with gaps</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Compliance Audit on a deliberately partial evidence base.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Check flags every missing control with severity. Generate Report rates risk High and gives 3–5 remediations.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TS-E2E-06</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Standalone research</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Legal Research only.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Research Precedents output is grounded; Generate Report turns it into a 300–500 word brief.</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TS-E2E-07</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Knowledge harvest</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a Read Documents → Analyse Clauses → Update Knowledge Base chain inside a workspace.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After completion, opening the workspace KB shows the persisted entities, definitions, and relationships.</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TS-E2E-08</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Mid-run cancel</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a 5-step workflow at step 3.</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Steps 1–2 remain Complete; step 3 is Cancelled; steps 4–5 are Pending. Run status is Cancelled.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TS-E2E-09</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retry</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fails on a flaky network. Retry it.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re-runs and succeeds; step 3 onward run automatically; final report is produced.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Multi-run parallel</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Start three workflows at the same time on different documents.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three appear in the Run Panel; each runs independently; each produces its own report.</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TS-E2E-11</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Long chain truncation</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 a 7-step workflow with long instructions and large documents.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token-budget error surfaces. Each step’s output is produced from truncated context. Audit log’s per-step source label confirms what was used.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TS-E2E-12</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Workspace vs main chat</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Same workflow run from main chat, then from a workspace.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Knowledge source differs in the report’s meta caption (Global KB vs Workspace + Global KB).</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TS-E2E-13</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Hallucination probe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Research Precedents on an obscure question.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Output uses “citation to verify” rather than fabricating a case name.</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TS-E2E-14</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Compliance integrity</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Compliance Check on a partial evidence base.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control is marked compliant when there is no evidence. Every gap is listed.</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TS-E2E-15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deliverable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 a chain whose only step succeeds is Update Knowledge Base, and Generate Report follows.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produces a no-deliverable note rather than fabricating findings.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40"/>
    </w:pPr>
    <w:rPr>
      <w:rFonts w:ascii="Arial" w:cs="Arial" w:eastAsia="Arial" w:hAnsi="Arial"/>
      <w:b/>
      <w:bCs/>
      <w:color w:val="0A2463"/>
      <w:sz w:val="48"/>
      <w:szCs w:val="48"/>
    </w:rPr>
  </w:style>
  <w:style w:type="paragraph" w:styleId="Heading1">
    <w:name w:val="Heading 1"/>
    <w:basedOn w:val="Normal"/>
    <w:next w:val="Normal"/>
    <w:qFormat/>
    <w:pPr>
      <w:spacing w:after="220" w:before="400"/>
      <w:outlineLvl w:val="0"/>
    </w:pPr>
    <w:rPr>
      <w:rFonts w:ascii="Arial" w:cs="Arial" w:eastAsia="Arial" w:hAnsi="Arial"/>
      <w:b/>
      <w:bCs/>
      <w:color w:val="0A2463"/>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0A2463"/>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0F2E59"/>
      <w:sz w:val="22"/>
      <w:szCs w:val="22"/>
    </w:rPr>
  </w:style>
  <w:style w:type="paragraph" w:styleId="Heading4">
    <w:name w:val="Heading 4"/>
    <w:basedOn w:val="Normal"/>
    <w:next w:val="Normal"/>
    <w:qFormat/>
    <w:pPr>
      <w:spacing w:after="140" w:before="220"/>
      <w:outlineLvl w:val="3"/>
    </w:pPr>
    <w:rPr>
      <w:rFonts w:ascii="Arial" w:cs="Arial" w:eastAsia="Arial" w:hAnsi="Arial"/>
      <w:b/>
      <w:bCs/>
      <w:color w:val="0F2E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2026-04-24T03:10:29.509Z</dcterms:created>
  <dcterms:modified xsi:type="dcterms:W3CDTF">2026-04-24T03:10:29.512Z</dcterms:modified>
</cp:coreProperties>
</file>

<file path=docProps/custom.xml><?xml version="1.0" encoding="utf-8"?>
<Properties xmlns="http://schemas.openxmlformats.org/officeDocument/2006/custom-properties" xmlns:vt="http://schemas.openxmlformats.org/officeDocument/2006/docPropsVTypes"/>
</file>