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582D3" w14:textId="77777777" w:rsidR="00FF429A" w:rsidRDefault="00FF429A" w:rsidP="00D20C6F">
      <w:pPr>
        <w:jc w:val="both"/>
        <w:rPr>
          <w:b/>
          <w:bCs/>
        </w:rPr>
      </w:pPr>
      <w:r>
        <w:rPr>
          <w:b/>
          <w:bCs/>
        </w:rPr>
        <w:t>ABSTRACT</w:t>
      </w:r>
    </w:p>
    <w:p w14:paraId="0632F6F7" w14:textId="1C950550" w:rsidR="00FF429A" w:rsidRDefault="00FF429A" w:rsidP="00D20C6F">
      <w:pPr>
        <w:jc w:val="both"/>
      </w:pPr>
      <w:r w:rsidRPr="00FF429A">
        <w:t xml:space="preserve">Greenhouse production of high-value crops such as tomatoes and strawberries </w:t>
      </w:r>
      <w:proofErr w:type="gramStart"/>
      <w:r w:rsidRPr="00FF429A">
        <w:t>necessitates</w:t>
      </w:r>
      <w:proofErr w:type="gramEnd"/>
      <w:r w:rsidRPr="00FF429A">
        <w:t xml:space="preserve"> careful environmental control in order to achieve high yield, quality, and early disease prevention. </w:t>
      </w:r>
      <w:proofErr w:type="spellStart"/>
      <w:r w:rsidRPr="00FF429A">
        <w:t>AgriTwin</w:t>
      </w:r>
      <w:proofErr w:type="spellEnd"/>
      <w:r w:rsidRPr="00FF429A">
        <w:t xml:space="preserve">-GH, a software-based AI-powered digital twin framework for smart greenhouse management, is presented in this project. The Greenhouse Plant Growth Metrics Dataset, Smart Agriculture Dataset, Plant Village Dataset, Tomato Plant Stages Dataset, and Ripe Strawberries Detection Dataset are just a few of the tabular time-series greenhouse datasets and plant image datasets that the system incorporates. Convolutional Neural Networks (CNN) use leaf pictures to detect plant diseases, whereas Recurrent Neural Networks (RNN) estimate disease development and future danger. In order to calculate indicators like vapor pressure deficit and disease risk indices, environmental and crop factors including temperature, humidity, CO₂ concentration, </w:t>
      </w:r>
      <w:r w:rsidR="00E65DD5">
        <w:t xml:space="preserve">light intensity, </w:t>
      </w:r>
      <w:r w:rsidRPr="00FF429A">
        <w:t xml:space="preserve">soil moisture, pH, and nutrient levels are processed. Short-term forecasting models forecast greenhouse conditions, which are assessed using a digital twin and a Model Predictive Control (MPC) technique to generate optimal and safety-validated control actions. The system </w:t>
      </w:r>
      <w:proofErr w:type="gramStart"/>
      <w:r w:rsidRPr="00FF429A">
        <w:t>generate</w:t>
      </w:r>
      <w:proofErr w:type="gramEnd"/>
      <w:r w:rsidRPr="00FF429A">
        <w:t xml:space="preserve"> disease-aware predictions and simple nonverbal operational alerts, allowing for efficient, scalable, and user-friendly smart greenhouse management.</w:t>
      </w:r>
      <w:r>
        <w:t xml:space="preserve"> </w:t>
      </w:r>
      <w:r w:rsidRPr="00FF429A">
        <w:t xml:space="preserve">By enabling early disease risk awareness and optimized resource utilization, the proposed system significantly improves crop productivity while reducing water, energy, and fertilizer waste. The </w:t>
      </w:r>
      <w:proofErr w:type="spellStart"/>
      <w:r w:rsidRPr="00FF429A">
        <w:t>AgriTwin</w:t>
      </w:r>
      <w:proofErr w:type="spellEnd"/>
      <w:r w:rsidRPr="00FF429A">
        <w:t xml:space="preserve">-GH framework offers a scalable and cost-effective decision-support solution for precision greenhouse horticulture, particularly suitable for </w:t>
      </w:r>
      <w:proofErr w:type="spellStart"/>
      <w:r w:rsidRPr="00FF429A">
        <w:t>labor-intensive</w:t>
      </w:r>
      <w:proofErr w:type="spellEnd"/>
      <w:r w:rsidRPr="00FF429A">
        <w:t xml:space="preserve"> and resource-constrained farming environments.</w:t>
      </w:r>
    </w:p>
    <w:p w14:paraId="710AFF54" w14:textId="77777777" w:rsidR="009C0680" w:rsidRPr="009C0680" w:rsidRDefault="009C0680" w:rsidP="00D20C6F">
      <w:pPr>
        <w:jc w:val="both"/>
        <w:rPr>
          <w:b/>
          <w:bCs/>
        </w:rPr>
      </w:pPr>
      <w:r w:rsidRPr="009C0680">
        <w:rPr>
          <w:b/>
          <w:bCs/>
        </w:rPr>
        <w:t>Keywords</w:t>
      </w:r>
    </w:p>
    <w:p w14:paraId="4DF22C88" w14:textId="68D9F561" w:rsidR="009C0680" w:rsidRDefault="009C0680" w:rsidP="00D20C6F">
      <w:pPr>
        <w:jc w:val="both"/>
      </w:pPr>
      <w:r w:rsidRPr="00A5642C">
        <w:t xml:space="preserve">Digital Twin, Smart Greenhouse, Time-Series Dataset, Plant Image Dataset, CNN, RNN, Model Predictive Control, </w:t>
      </w:r>
      <w:r w:rsidRPr="009C0680">
        <w:t>Disease Prediction</w:t>
      </w:r>
      <w:r>
        <w:t xml:space="preserve">, </w:t>
      </w:r>
      <w:r w:rsidRPr="00A5642C">
        <w:t>Precision Agriculture</w:t>
      </w:r>
    </w:p>
    <w:p w14:paraId="4C5B990A" w14:textId="77777777" w:rsidR="009C0680" w:rsidRDefault="009C0680" w:rsidP="00D20C6F">
      <w:pPr>
        <w:jc w:val="both"/>
      </w:pPr>
    </w:p>
    <w:p w14:paraId="29F807B7" w14:textId="1ED31DE0" w:rsidR="00677D4C" w:rsidRPr="00FF429A" w:rsidRDefault="00202BF6" w:rsidP="00D20C6F">
      <w:pPr>
        <w:jc w:val="both"/>
        <w:rPr>
          <w:b/>
          <w:bCs/>
        </w:rPr>
      </w:pPr>
      <w:r w:rsidRPr="009D07FB">
        <w:rPr>
          <w:b/>
          <w:bCs/>
        </w:rPr>
        <w:t>INTRODUCTION</w:t>
      </w:r>
    </w:p>
    <w:p w14:paraId="6783ADBE" w14:textId="77777777" w:rsidR="00D20C6F" w:rsidRPr="00D20C6F" w:rsidRDefault="00D20C6F" w:rsidP="00D20C6F">
      <w:pPr>
        <w:jc w:val="both"/>
        <w:rPr>
          <w:rFonts w:cs="Times New Roman"/>
        </w:rPr>
      </w:pPr>
      <w:r w:rsidRPr="00D20C6F">
        <w:rPr>
          <w:rFonts w:cs="Times New Roman"/>
        </w:rPr>
        <w:t>Greenhouse cultivation has emerged as a crucial component of modern agriculture due to increasing food demand, climate variability, and the need for consistent, high-quality crop production throughout the year. Unlike open-field farming, greenhouse systems provide a controlled environment in which critical climatic parameters such as temperature, humidity, light intensity, and carbon dioxide concentration can be regulated to support optimal plant growth. This controlled cultivation approach is particularly important for high-value horticultural crops such as tomato and strawberry, which are highly sensitive to environmental stress and disease pressure. As agriculture continues to shift toward sustainable, efficient, and resilient production systems, greenhouse-</w:t>
      </w:r>
      <w:r w:rsidRPr="00D20C6F">
        <w:rPr>
          <w:rFonts w:cs="Times New Roman"/>
        </w:rPr>
        <w:lastRenderedPageBreak/>
        <w:t>based cultivation plays an essential role in improving productivity while reducing environmental impact.</w:t>
      </w:r>
    </w:p>
    <w:p w14:paraId="41AD4FD4" w14:textId="77777777" w:rsidR="00D20C6F" w:rsidRPr="00D20C6F" w:rsidRDefault="00D20C6F" w:rsidP="00D20C6F">
      <w:pPr>
        <w:jc w:val="both"/>
        <w:rPr>
          <w:rFonts w:cs="Times New Roman"/>
        </w:rPr>
      </w:pPr>
      <w:r w:rsidRPr="00D20C6F">
        <w:rPr>
          <w:rFonts w:cs="Times New Roman"/>
        </w:rPr>
        <w:t xml:space="preserve">The success of greenhouse cultivation depends largely on precise environmental regulation and timely operational decisions. Tomato and strawberry crops require narrow optimal ranges of temperature, relative humidity, soil moisture, nutrient concentration, and photoperiod that vary across different growth stages. Even minor deviations from these optimal conditions can lead to reduced yield, inferior fruit quality, or increased susceptibility to diseases such as powdery mildew, leaf </w:t>
      </w:r>
      <w:proofErr w:type="spellStart"/>
      <w:r w:rsidRPr="00D20C6F">
        <w:rPr>
          <w:rFonts w:cs="Times New Roman"/>
        </w:rPr>
        <w:t>mold</w:t>
      </w:r>
      <w:proofErr w:type="spellEnd"/>
      <w:r w:rsidRPr="00D20C6F">
        <w:rPr>
          <w:rFonts w:cs="Times New Roman"/>
        </w:rPr>
        <w:t>, and leaf scorch. Environmental stress during cultivation can also negatively affect fruit size uniformity, firmness, and post-harvest shelf life, which are critical factors in meeting commercial market standards. As a result, maintaining stable greenhouse conditions is not only an agronomic requirement but also an economic necessity.</w:t>
      </w:r>
    </w:p>
    <w:p w14:paraId="30DC50E2" w14:textId="77777777" w:rsidR="00D20C6F" w:rsidRPr="00D20C6F" w:rsidRDefault="00D20C6F" w:rsidP="00D20C6F">
      <w:pPr>
        <w:jc w:val="both"/>
        <w:rPr>
          <w:rFonts w:cs="Times New Roman"/>
        </w:rPr>
      </w:pPr>
      <w:r w:rsidRPr="00D20C6F">
        <w:rPr>
          <w:rFonts w:cs="Times New Roman"/>
        </w:rPr>
        <w:t>Traditional greenhouse management practices rely heavily on manual observation, periodic inspection of sensor readings, and operator experience. Environmental conditions are often monitored at discrete intervals, and corrective actions are typically taken only after visible symptoms of plant stress or disease appear. Such reactive approaches delay intervention, reduce the effectiveness of disease control, and frequently result in excessive use of water, energy, fertilizers, and chemical treatments. Moreover, decision-making quality depends strongly on operator skill, which can vary widely and is susceptible to fatigue and inconsistency, especially in large-scale greenhouse operations. Another limitation of conventional greenhouse management is the underutilization of historical data. Although many greenhouses collect environmental and operational data, these data are often used only for real-time monitoring rather than long-term analysis. Patterns related to seasonal variability, recurring disease conditions, and plant response trends remain largely unexplored. Without systematic use of historical information, greenhouse systems lack the ability to learn from past conditions and improve future management strategies.</w:t>
      </w:r>
    </w:p>
    <w:p w14:paraId="0F17B1EA" w14:textId="77777777" w:rsidR="00D20C6F" w:rsidRPr="00D20C6F" w:rsidRDefault="00D20C6F" w:rsidP="00D20C6F">
      <w:pPr>
        <w:jc w:val="both"/>
        <w:rPr>
          <w:rFonts w:cs="Times New Roman"/>
        </w:rPr>
      </w:pPr>
      <w:r w:rsidRPr="00D20C6F">
        <w:rPr>
          <w:rFonts w:cs="Times New Roman"/>
        </w:rPr>
        <w:t>Modern greenhouse systems are inherently complex, consisting of multiple interacting subsystems such as climate regulation, irrigation, ventilation, lighting, and nutrient management. Control actions applied to one subsystem frequently influence others. For example, ventilation strategies intended to reduce humidity may unintentionally lower temperature or carbon dioxide concentration, negatively affecting plant growth. Similarly, irrigation decisions aimed at enhancing growth may increase leaf wetness and disease risk. These interdependencies make static or rule-based control strategies insufficient for maintaining stable and optimal greenhouse environments.</w:t>
      </w:r>
    </w:p>
    <w:p w14:paraId="1B11203F" w14:textId="77777777" w:rsidR="00D20C6F" w:rsidRPr="00D20C6F" w:rsidRDefault="00D20C6F" w:rsidP="00D20C6F">
      <w:pPr>
        <w:jc w:val="both"/>
        <w:rPr>
          <w:rFonts w:cs="Times New Roman"/>
        </w:rPr>
      </w:pPr>
      <w:r w:rsidRPr="00D20C6F">
        <w:rPr>
          <w:rFonts w:cs="Times New Roman"/>
        </w:rPr>
        <w:t xml:space="preserve">Greenhouse operations also face uncertainty arising from external weather disturbances, sensor noise, and biological variability among plants. Identical environmental conditions may produce different plant responses across time and location, making deterministic control approaches unreliable. Effective greenhouse </w:t>
      </w:r>
      <w:r w:rsidRPr="00D20C6F">
        <w:rPr>
          <w:rFonts w:cs="Times New Roman"/>
        </w:rPr>
        <w:lastRenderedPageBreak/>
        <w:t>management therefore requires adaptive decision-making that can respond dynamically to evolving conditions while accounting for uncertainty.</w:t>
      </w:r>
    </w:p>
    <w:p w14:paraId="7B0EDA3D" w14:textId="77777777" w:rsidR="00D20C6F" w:rsidRPr="00D20C6F" w:rsidRDefault="00D20C6F" w:rsidP="00D20C6F">
      <w:pPr>
        <w:jc w:val="both"/>
        <w:rPr>
          <w:rFonts w:cs="Times New Roman"/>
        </w:rPr>
      </w:pPr>
      <w:r w:rsidRPr="00D20C6F">
        <w:rPr>
          <w:rFonts w:cs="Times New Roman"/>
        </w:rPr>
        <w:t xml:space="preserve">Recent advances in data-driven analysis methods have enabled more effective interpretation of greenhouse data by identifying patterns related to plant growth, disease development, and resource usage over time. Such approaches support early recognition of </w:t>
      </w:r>
      <w:proofErr w:type="spellStart"/>
      <w:r w:rsidRPr="00D20C6F">
        <w:rPr>
          <w:rFonts w:cs="Times New Roman"/>
        </w:rPr>
        <w:t>unfavorable</w:t>
      </w:r>
      <w:proofErr w:type="spellEnd"/>
      <w:r w:rsidRPr="00D20C6F">
        <w:rPr>
          <w:rFonts w:cs="Times New Roman"/>
        </w:rPr>
        <w:t xml:space="preserve"> environmental trends and allow preventive interventions before visible damage occurs. Preventive actions, such as minor adjustments to airflow or irrigation timing, are often more resource-efficient and less disruptive than corrective measures taken after problems escalate. This shift from reactive to predictive greenhouse management is essential for improving yield stability and reducing operational costs.</w:t>
      </w:r>
    </w:p>
    <w:p w14:paraId="03D74FB3" w14:textId="77777777" w:rsidR="00D20C6F" w:rsidRPr="00D20C6F" w:rsidRDefault="00D20C6F" w:rsidP="00D20C6F">
      <w:pPr>
        <w:jc w:val="both"/>
        <w:rPr>
          <w:rFonts w:cs="Times New Roman"/>
        </w:rPr>
      </w:pPr>
      <w:r w:rsidRPr="00D20C6F">
        <w:rPr>
          <w:rFonts w:cs="Times New Roman"/>
        </w:rPr>
        <w:t xml:space="preserve">In parallel, the use of virtual representations of physical systems has gained attention in agricultural applications. By creating a digital representation that mirrors the </w:t>
      </w:r>
      <w:proofErr w:type="spellStart"/>
      <w:r w:rsidRPr="00D20C6F">
        <w:rPr>
          <w:rFonts w:cs="Times New Roman"/>
        </w:rPr>
        <w:t>behavior</w:t>
      </w:r>
      <w:proofErr w:type="spellEnd"/>
      <w:r w:rsidRPr="00D20C6F">
        <w:rPr>
          <w:rFonts w:cs="Times New Roman"/>
        </w:rPr>
        <w:t xml:space="preserve"> of a real greenhouse, it becomes possible to simulate environmental changes, plant responses, and operational decisions in a virtual space. This enables evaluation of alternative strategies and assessment of potential risks before implementation, thereby improving decision reliability. Such virtual </w:t>
      </w:r>
      <w:proofErr w:type="spellStart"/>
      <w:r w:rsidRPr="00D20C6F">
        <w:rPr>
          <w:rFonts w:cs="Times New Roman"/>
        </w:rPr>
        <w:t>modeling</w:t>
      </w:r>
      <w:proofErr w:type="spellEnd"/>
      <w:r w:rsidRPr="00D20C6F">
        <w:rPr>
          <w:rFonts w:cs="Times New Roman"/>
        </w:rPr>
        <w:t xml:space="preserve"> also enhances interpretability by clarifying cause-and-effect relationships between control actions and plant outcomes, which is important for building trust in intelligent systems.</w:t>
      </w:r>
    </w:p>
    <w:p w14:paraId="76192B1D" w14:textId="77777777" w:rsidR="00D20C6F" w:rsidRPr="00D20C6F" w:rsidRDefault="00D20C6F" w:rsidP="00D20C6F">
      <w:pPr>
        <w:jc w:val="both"/>
        <w:rPr>
          <w:rFonts w:cs="Times New Roman"/>
        </w:rPr>
      </w:pPr>
      <w:r w:rsidRPr="00D20C6F">
        <w:rPr>
          <w:rFonts w:cs="Times New Roman"/>
        </w:rPr>
        <w:t>Predictive decision-making further strengthens greenhouse management by enabling anticipation of future environmental conditions and plant responses. Timely interventions are critical in greenhouse cultivation, as delays of even a few hours can significantly influence disease development and crop stress. Predictive approaches support proactive adjustments that maintain environmental stability while respecting safety limits related to temperature, humidity, and carbon dioxide concentration. This is particularly important during sensitive growth stages, where environmental instability can have long-term effects on yield and quality.</w:t>
      </w:r>
    </w:p>
    <w:p w14:paraId="3E97F45E" w14:textId="77777777" w:rsidR="00D20C6F" w:rsidRPr="00D20C6F" w:rsidRDefault="00D20C6F" w:rsidP="00D20C6F">
      <w:pPr>
        <w:jc w:val="both"/>
        <w:rPr>
          <w:rFonts w:cs="Times New Roman"/>
        </w:rPr>
      </w:pPr>
      <w:r w:rsidRPr="00D20C6F">
        <w:rPr>
          <w:rFonts w:cs="Times New Roman"/>
        </w:rPr>
        <w:t>Human interaction with greenhouse management systems is another critical consideration. In many agricultural regions, greenhouse workers may be illiterate or semi-literate, making complex textual interfaces and numerical dashboards difficult to interpret. Misunderstanding system outputs can lead to incorrect actions and safety risks. Therefore, greenhouse management solutions must emphasize simplicity, clarity, and non-verbal communication through intuitive visual or auditory cues. Human-</w:t>
      </w:r>
      <w:proofErr w:type="spellStart"/>
      <w:r w:rsidRPr="00D20C6F">
        <w:rPr>
          <w:rFonts w:cs="Times New Roman"/>
        </w:rPr>
        <w:t>centered</w:t>
      </w:r>
      <w:proofErr w:type="spellEnd"/>
      <w:r w:rsidRPr="00D20C6F">
        <w:rPr>
          <w:rFonts w:cs="Times New Roman"/>
        </w:rPr>
        <w:t xml:space="preserve"> design improves system safety, reduces the likelihood of incorrect manual intervention, and ensures practical usability in real-world environments.</w:t>
      </w:r>
    </w:p>
    <w:p w14:paraId="6686854D" w14:textId="77777777" w:rsidR="00D20C6F" w:rsidRPr="00D20C6F" w:rsidRDefault="00D20C6F" w:rsidP="00D20C6F">
      <w:pPr>
        <w:jc w:val="both"/>
        <w:rPr>
          <w:rFonts w:cs="Times New Roman"/>
        </w:rPr>
      </w:pPr>
      <w:r w:rsidRPr="00D20C6F">
        <w:rPr>
          <w:rFonts w:cs="Times New Roman"/>
        </w:rPr>
        <w:t xml:space="preserve">Scalability and adaptability are also important requirements for modern greenhouse solutions. Greenhouse facilities differ widely in size, crop type, and technological maturity. A practical management framework must therefore be flexible enough to operate under varying configurations and data availability levels. Software-based </w:t>
      </w:r>
      <w:r w:rsidRPr="00D20C6F">
        <w:rPr>
          <w:rFonts w:cs="Times New Roman"/>
        </w:rPr>
        <w:lastRenderedPageBreak/>
        <w:t>approaches that rely on real agricultural datasets provide a cost-effective and scalable pathway for deployment without requiring significant infrastructure investment.</w:t>
      </w:r>
    </w:p>
    <w:p w14:paraId="51B4BBEE" w14:textId="77777777" w:rsidR="00D20C6F" w:rsidRDefault="00D20C6F" w:rsidP="00D20C6F">
      <w:pPr>
        <w:jc w:val="both"/>
        <w:rPr>
          <w:rFonts w:cs="Times New Roman"/>
        </w:rPr>
      </w:pPr>
      <w:r w:rsidRPr="00D20C6F">
        <w:rPr>
          <w:rFonts w:cs="Times New Roman"/>
        </w:rPr>
        <w:t xml:space="preserve">Motivated by these challenges, this work proposes </w:t>
      </w:r>
      <w:proofErr w:type="spellStart"/>
      <w:r w:rsidRPr="00D20C6F">
        <w:rPr>
          <w:rFonts w:cs="Times New Roman"/>
        </w:rPr>
        <w:t>AgriTwin</w:t>
      </w:r>
      <w:proofErr w:type="spellEnd"/>
      <w:r w:rsidRPr="00D20C6F">
        <w:rPr>
          <w:rFonts w:cs="Times New Roman"/>
        </w:rPr>
        <w:t xml:space="preserve">-GH, a software-based framework for intelligent greenhouse management focused on tomato and strawberry cultivation. The proposed approach integrates data-driven analysis, virtual system </w:t>
      </w:r>
      <w:proofErr w:type="spellStart"/>
      <w:r w:rsidRPr="00D20C6F">
        <w:rPr>
          <w:rFonts w:cs="Times New Roman"/>
        </w:rPr>
        <w:t>modeling</w:t>
      </w:r>
      <w:proofErr w:type="spellEnd"/>
      <w:r w:rsidRPr="00D20C6F">
        <w:rPr>
          <w:rFonts w:cs="Times New Roman"/>
        </w:rPr>
        <w:t xml:space="preserve">, and predictive decision support using real agricultural datasets. By emphasizing early identification of </w:t>
      </w:r>
      <w:proofErr w:type="spellStart"/>
      <w:r w:rsidRPr="00D20C6F">
        <w:rPr>
          <w:rFonts w:cs="Times New Roman"/>
        </w:rPr>
        <w:t>unfavorable</w:t>
      </w:r>
      <w:proofErr w:type="spellEnd"/>
      <w:r w:rsidRPr="00D20C6F">
        <w:rPr>
          <w:rFonts w:cs="Times New Roman"/>
        </w:rPr>
        <w:t xml:space="preserve"> conditions, efficient resource utilization, and worker-friendly interaction, the framework aims to improve crop yield, reduce waste, and enhance operational safety.</w:t>
      </w:r>
    </w:p>
    <w:p w14:paraId="37834D37" w14:textId="77777777" w:rsidR="006D074D" w:rsidRDefault="006D074D" w:rsidP="00D20C6F">
      <w:pPr>
        <w:jc w:val="both"/>
        <w:rPr>
          <w:rFonts w:cs="Times New Roman"/>
        </w:rPr>
      </w:pPr>
    </w:p>
    <w:p w14:paraId="0A85C22E" w14:textId="18D9CCD4" w:rsidR="00117051" w:rsidRDefault="00117051" w:rsidP="00117051">
      <w:pPr>
        <w:jc w:val="both"/>
        <w:rPr>
          <w:rFonts w:cs="Times New Roman"/>
          <w:b/>
          <w:bCs/>
        </w:rPr>
      </w:pPr>
      <w:r w:rsidRPr="006D074D">
        <w:rPr>
          <w:rFonts w:cs="Times New Roman"/>
          <w:b/>
          <w:bCs/>
        </w:rPr>
        <w:t>LITERATURE SURVEY</w:t>
      </w:r>
      <w:r>
        <w:rPr>
          <w:rFonts w:cs="Times New Roman"/>
          <w:b/>
          <w:bCs/>
        </w:rPr>
        <w:t xml:space="preserve"> – </w:t>
      </w:r>
      <w:r>
        <w:rPr>
          <w:rFonts w:cs="Times New Roman"/>
          <w:b/>
          <w:bCs/>
        </w:rPr>
        <w:t>REPORT</w:t>
      </w:r>
    </w:p>
    <w:p w14:paraId="338840D1" w14:textId="77777777" w:rsidR="00D44E03" w:rsidRPr="00D44E03" w:rsidRDefault="00D44E03" w:rsidP="00D44E03">
      <w:pPr>
        <w:jc w:val="both"/>
        <w:rPr>
          <w:rFonts w:cs="Times New Roman"/>
          <w:b/>
          <w:bCs/>
        </w:rPr>
      </w:pPr>
      <w:r w:rsidRPr="00D44E03">
        <w:rPr>
          <w:rFonts w:cs="Times New Roman"/>
          <w:b/>
          <w:bCs/>
        </w:rPr>
        <w:t>Advances in Intelligent and Autonomous Greenhouse Systems</w:t>
      </w:r>
    </w:p>
    <w:p w14:paraId="0D2B6028" w14:textId="77777777" w:rsidR="00D44E03" w:rsidRPr="00D44E03" w:rsidRDefault="00D44E03" w:rsidP="00D44E03">
      <w:pPr>
        <w:jc w:val="both"/>
        <w:rPr>
          <w:rFonts w:cs="Times New Roman"/>
        </w:rPr>
      </w:pPr>
      <w:r w:rsidRPr="00D44E03">
        <w:rPr>
          <w:rFonts w:cs="Times New Roman"/>
        </w:rPr>
        <w:t>Rawan Al-</w:t>
      </w:r>
      <w:proofErr w:type="spellStart"/>
      <w:r w:rsidRPr="00D44E03">
        <w:rPr>
          <w:rFonts w:cs="Times New Roman"/>
        </w:rPr>
        <w:t>Najadi</w:t>
      </w:r>
      <w:proofErr w:type="spellEnd"/>
      <w:r w:rsidRPr="00D44E03">
        <w:rPr>
          <w:rFonts w:cs="Times New Roman"/>
        </w:rPr>
        <w:t xml:space="preserve"> et al. present a comprehensive review of recent developments in intelligent and autonomous greenhouse systems, focusing on the integration of Internet of Things (IoT), Artificial Intelligence (AI), Machine Learning (ML), Deep Learning (DL), and robotics. The study addresses the growing need for controlled environment agriculture to overcome challenges such as climate variability, declining arable land, and increasing food demand. By examining modern smart greenhouse concepts, the authors highlight how automated monitoring and control of environmental parameters contribute to improved productivity, sustainability, and resource efficiency.</w:t>
      </w:r>
    </w:p>
    <w:p w14:paraId="541483EB" w14:textId="77777777" w:rsidR="00D44E03" w:rsidRPr="00D44E03" w:rsidRDefault="00D44E03" w:rsidP="00D44E03">
      <w:pPr>
        <w:jc w:val="both"/>
        <w:rPr>
          <w:rFonts w:cs="Times New Roman"/>
        </w:rPr>
      </w:pPr>
      <w:r w:rsidRPr="00D44E03">
        <w:rPr>
          <w:rFonts w:cs="Times New Roman"/>
        </w:rPr>
        <w:t>The review is based on an extensive analysis of more than 100 research articles published between 2020 and 2025. The surveyed works are categorized according to their applications in climate control, disease detection, yield prediction, and robotic automation. The findings indicate that IoT-enabled sensor networks combined with AI-driven decision-making significantly enhance energy efficiency, water conservation, and crop yield. However, the study also identifies challenges such as sensor fusion complexity, limited datasets, computational overhead, and insufficient real-world deployment, emphasizing the need for fully integrated and autonomous greenhouse frameworks rather than isolated solutions.</w:t>
      </w:r>
    </w:p>
    <w:p w14:paraId="3215C0B6" w14:textId="77777777" w:rsidR="00D44E03" w:rsidRPr="00D44E03" w:rsidRDefault="00D44E03" w:rsidP="00D44E03">
      <w:pPr>
        <w:jc w:val="both"/>
        <w:rPr>
          <w:rFonts w:cs="Times New Roman"/>
        </w:rPr>
      </w:pPr>
    </w:p>
    <w:p w14:paraId="078EE701" w14:textId="77777777" w:rsidR="00D44E03" w:rsidRPr="00D44E03" w:rsidRDefault="00D44E03" w:rsidP="00D44E03">
      <w:pPr>
        <w:jc w:val="both"/>
        <w:rPr>
          <w:rFonts w:cs="Times New Roman"/>
          <w:b/>
          <w:bCs/>
        </w:rPr>
      </w:pPr>
      <w:r w:rsidRPr="00D44E03">
        <w:rPr>
          <w:rFonts w:cs="Times New Roman"/>
          <w:b/>
          <w:bCs/>
        </w:rPr>
        <w:t>Greenhouse Industry 4.0 – Digital Twin Technology for Commercial Greenhouses</w:t>
      </w:r>
    </w:p>
    <w:p w14:paraId="1040BF86" w14:textId="77777777" w:rsidR="00D44E03" w:rsidRPr="00D44E03" w:rsidRDefault="00D44E03" w:rsidP="00D44E03">
      <w:pPr>
        <w:jc w:val="both"/>
        <w:rPr>
          <w:rFonts w:cs="Times New Roman"/>
        </w:rPr>
      </w:pPr>
      <w:r w:rsidRPr="00D44E03">
        <w:rPr>
          <w:rFonts w:cs="Times New Roman"/>
        </w:rPr>
        <w:t xml:space="preserve">Daniel Anthony Howard et al. propose an Industry 4.0–based Digital Twin approach for commercial greenhouse systems, aiming to digitally replicate physical greenhouse operations for improved monitoring, simulation, and optimization. The study highlights the role of Digital Twins in enabling data-driven decision-making by integrating IoT, cloud computing, big data analytics, and artificial intelligence. This virtual representation </w:t>
      </w:r>
      <w:r w:rsidRPr="00D44E03">
        <w:rPr>
          <w:rFonts w:cs="Times New Roman"/>
        </w:rPr>
        <w:lastRenderedPageBreak/>
        <w:t xml:space="preserve">allows greenhouse operators to </w:t>
      </w:r>
      <w:proofErr w:type="spellStart"/>
      <w:r w:rsidRPr="00D44E03">
        <w:rPr>
          <w:rFonts w:cs="Times New Roman"/>
        </w:rPr>
        <w:t>analyze</w:t>
      </w:r>
      <w:proofErr w:type="spellEnd"/>
      <w:r w:rsidRPr="00D44E03">
        <w:rPr>
          <w:rFonts w:cs="Times New Roman"/>
        </w:rPr>
        <w:t xml:space="preserve"> production </w:t>
      </w:r>
      <w:proofErr w:type="spellStart"/>
      <w:r w:rsidRPr="00D44E03">
        <w:rPr>
          <w:rFonts w:cs="Times New Roman"/>
        </w:rPr>
        <w:t>behavior</w:t>
      </w:r>
      <w:proofErr w:type="spellEnd"/>
      <w:r w:rsidRPr="00D44E03">
        <w:rPr>
          <w:rFonts w:cs="Times New Roman"/>
        </w:rPr>
        <w:t xml:space="preserve"> and operational performance without interfering with real-world processes.</w:t>
      </w:r>
    </w:p>
    <w:p w14:paraId="1F0026F6" w14:textId="77777777" w:rsidR="00D44E03" w:rsidRPr="00D44E03" w:rsidRDefault="00D44E03" w:rsidP="00D44E03">
      <w:pPr>
        <w:jc w:val="both"/>
        <w:rPr>
          <w:rFonts w:cs="Times New Roman"/>
        </w:rPr>
      </w:pPr>
      <w:r w:rsidRPr="00D44E03">
        <w:rPr>
          <w:rFonts w:cs="Times New Roman"/>
        </w:rPr>
        <w:t xml:space="preserve">The proposed framework interconnects multiple specialized Digital Twins that model greenhouse climate, energy consumption, production scheduling, and </w:t>
      </w:r>
      <w:proofErr w:type="spellStart"/>
      <w:r w:rsidRPr="00D44E03">
        <w:rPr>
          <w:rFonts w:cs="Times New Roman"/>
        </w:rPr>
        <w:t>labor</w:t>
      </w:r>
      <w:proofErr w:type="spellEnd"/>
      <w:r w:rsidRPr="00D44E03">
        <w:rPr>
          <w:rFonts w:cs="Times New Roman"/>
        </w:rPr>
        <w:t xml:space="preserve"> management. Simulation-based evaluation demonstrates that the Digital Twin ecosystem enables co-optimization of energy usage, productivity, and operational cost while maintaining crop quality. The study further shows that such systems allow greenhouses to actively participate in smart energy grids, establishing a scalable and sustainable foundation for large-scale digital greenhouse management.</w:t>
      </w:r>
    </w:p>
    <w:p w14:paraId="63E37672" w14:textId="77777777" w:rsidR="00D44E03" w:rsidRPr="00D44E03" w:rsidRDefault="00D44E03" w:rsidP="00D44E03">
      <w:pPr>
        <w:jc w:val="both"/>
        <w:rPr>
          <w:rFonts w:cs="Times New Roman"/>
        </w:rPr>
      </w:pPr>
    </w:p>
    <w:p w14:paraId="2843CD68" w14:textId="77777777" w:rsidR="00D44E03" w:rsidRPr="00D44E03" w:rsidRDefault="00D44E03" w:rsidP="00D44E03">
      <w:pPr>
        <w:jc w:val="both"/>
        <w:rPr>
          <w:rFonts w:cs="Times New Roman"/>
          <w:b/>
          <w:bCs/>
        </w:rPr>
      </w:pPr>
      <w:r w:rsidRPr="00D44E03">
        <w:rPr>
          <w:rFonts w:cs="Times New Roman"/>
          <w:b/>
          <w:bCs/>
        </w:rPr>
        <w:t>Integrating Digital Twins and MPC for Sustainable Greenhouse Management</w:t>
      </w:r>
    </w:p>
    <w:p w14:paraId="4C2BC807" w14:textId="77777777" w:rsidR="00D44E03" w:rsidRPr="00D44E03" w:rsidRDefault="00D44E03" w:rsidP="00D44E03">
      <w:pPr>
        <w:jc w:val="both"/>
        <w:rPr>
          <w:rFonts w:cs="Times New Roman"/>
        </w:rPr>
      </w:pPr>
      <w:proofErr w:type="spellStart"/>
      <w:r w:rsidRPr="00D44E03">
        <w:rPr>
          <w:rFonts w:cs="Times New Roman"/>
        </w:rPr>
        <w:t>Abdellatif</w:t>
      </w:r>
      <w:proofErr w:type="spellEnd"/>
      <w:r w:rsidRPr="00D44E03">
        <w:rPr>
          <w:rFonts w:cs="Times New Roman"/>
        </w:rPr>
        <w:t xml:space="preserve"> </w:t>
      </w:r>
      <w:proofErr w:type="spellStart"/>
      <w:r w:rsidRPr="00D44E03">
        <w:rPr>
          <w:rFonts w:cs="Times New Roman"/>
        </w:rPr>
        <w:t>Soussi</w:t>
      </w:r>
      <w:proofErr w:type="spellEnd"/>
      <w:r w:rsidRPr="00D44E03">
        <w:rPr>
          <w:rFonts w:cs="Times New Roman"/>
        </w:rPr>
        <w:t xml:space="preserve"> et al. present an advanced greenhouse management framework that combines Digital Twin technology with Model Predictive Control (MPC) to achieve precise and sustainable climate regulation. The study focuses on overcoming the limitations of conventional rule-based control strategies by introducing predictive and adaptive control through a virtual greenhouse model capable of reflecting real-time system </w:t>
      </w:r>
      <w:proofErr w:type="spellStart"/>
      <w:r w:rsidRPr="00D44E03">
        <w:rPr>
          <w:rFonts w:cs="Times New Roman"/>
        </w:rPr>
        <w:t>behavior</w:t>
      </w:r>
      <w:proofErr w:type="spellEnd"/>
      <w:r w:rsidRPr="00D44E03">
        <w:rPr>
          <w:rFonts w:cs="Times New Roman"/>
        </w:rPr>
        <w:t>.</w:t>
      </w:r>
    </w:p>
    <w:p w14:paraId="46A585B1" w14:textId="77777777" w:rsidR="00D44E03" w:rsidRPr="00D44E03" w:rsidRDefault="00D44E03" w:rsidP="00D44E03">
      <w:pPr>
        <w:jc w:val="both"/>
        <w:rPr>
          <w:rFonts w:cs="Times New Roman"/>
        </w:rPr>
      </w:pPr>
      <w:r w:rsidRPr="00D44E03">
        <w:rPr>
          <w:rFonts w:cs="Times New Roman"/>
        </w:rPr>
        <w:t>A mathematical state-space model is developed to represent greenhouse thermal dynamics, and MPC is applied to regulate key parameters such as temperature, ventilation, shading, and heating. The framework is validated using historical meteorological data across multiple seasons, demonstrating stable climate maintenance under varying environmental conditions. Simulation results confirm improved energy efficiency, robustness, and operational reliability, showing that Digital Twin–based predictive control outperforms static and traditional control approaches.</w:t>
      </w:r>
    </w:p>
    <w:p w14:paraId="5706A646" w14:textId="77777777" w:rsidR="00D44E03" w:rsidRPr="00D44E03" w:rsidRDefault="00D44E03" w:rsidP="00D44E03">
      <w:pPr>
        <w:jc w:val="both"/>
        <w:rPr>
          <w:rFonts w:cs="Times New Roman"/>
        </w:rPr>
      </w:pPr>
    </w:p>
    <w:p w14:paraId="3525B681" w14:textId="77777777" w:rsidR="00D44E03" w:rsidRPr="00D44E03" w:rsidRDefault="00D44E03" w:rsidP="00D44E03">
      <w:pPr>
        <w:jc w:val="both"/>
        <w:rPr>
          <w:rFonts w:cs="Times New Roman"/>
          <w:b/>
          <w:bCs/>
        </w:rPr>
      </w:pPr>
      <w:r w:rsidRPr="00D44E03">
        <w:rPr>
          <w:rFonts w:cs="Times New Roman"/>
          <w:b/>
          <w:bCs/>
        </w:rPr>
        <w:t>Leaf Disease Detection and Classification Using Machine Learning</w:t>
      </w:r>
    </w:p>
    <w:p w14:paraId="02D73BFF" w14:textId="77777777" w:rsidR="00D44E03" w:rsidRPr="00D44E03" w:rsidRDefault="00D44E03" w:rsidP="00D44E03">
      <w:pPr>
        <w:jc w:val="both"/>
        <w:rPr>
          <w:rFonts w:cs="Times New Roman"/>
        </w:rPr>
      </w:pPr>
      <w:r w:rsidRPr="00D44E03">
        <w:rPr>
          <w:rFonts w:cs="Times New Roman"/>
        </w:rPr>
        <w:t xml:space="preserve">B. V. </w:t>
      </w:r>
      <w:proofErr w:type="spellStart"/>
      <w:r w:rsidRPr="00D44E03">
        <w:rPr>
          <w:rFonts w:cs="Times New Roman"/>
        </w:rPr>
        <w:t>Nikitha</w:t>
      </w:r>
      <w:proofErr w:type="spellEnd"/>
      <w:r w:rsidRPr="00D44E03">
        <w:rPr>
          <w:rFonts w:cs="Times New Roman"/>
        </w:rPr>
        <w:t xml:space="preserve"> et al. focus on the application of machine learning techniques for early detection and classification of plant leaf diseases, addressing a major cause of crop loss in agriculture. The study emphasizes the importance of automated disease diagnosis in smart farming systems, where timely identification of plant diseases can significantly improve yield and reduce economic loss.</w:t>
      </w:r>
    </w:p>
    <w:p w14:paraId="263DE1CD" w14:textId="162563E8" w:rsidR="00117051" w:rsidRPr="00D44E03" w:rsidRDefault="00D44E03" w:rsidP="00D44E03">
      <w:pPr>
        <w:jc w:val="both"/>
        <w:rPr>
          <w:rFonts w:cs="Times New Roman"/>
        </w:rPr>
      </w:pPr>
      <w:r w:rsidRPr="00D44E03">
        <w:rPr>
          <w:rFonts w:cs="Times New Roman"/>
        </w:rPr>
        <w:t xml:space="preserve">The work evaluates Support Vector Machine (SVM), K-Nearest </w:t>
      </w:r>
      <w:proofErr w:type="spellStart"/>
      <w:r w:rsidRPr="00D44E03">
        <w:rPr>
          <w:rFonts w:cs="Times New Roman"/>
        </w:rPr>
        <w:t>Neighbor</w:t>
      </w:r>
      <w:proofErr w:type="spellEnd"/>
      <w:r w:rsidRPr="00D44E03">
        <w:rPr>
          <w:rFonts w:cs="Times New Roman"/>
        </w:rPr>
        <w:t xml:space="preserve"> (KNN), and Convolutional Neural Network (CNN) models using a soybean leaf disease image dataset containing multiple disease classes. Image preprocessing and feature extraction techniques are applied prior to model training and testing. Experimental results show that the CNN model achieves the highest accuracy of 96%, outperforming SVM and KNN. While the results validate the effectiveness of deep learning for disease detection, the </w:t>
      </w:r>
      <w:r w:rsidRPr="00D44E03">
        <w:rPr>
          <w:rFonts w:cs="Times New Roman"/>
        </w:rPr>
        <w:lastRenderedPageBreak/>
        <w:t xml:space="preserve">study notes challenges related to high computational requirements and the need for large </w:t>
      </w:r>
      <w:proofErr w:type="spellStart"/>
      <w:r w:rsidRPr="00D44E03">
        <w:rPr>
          <w:rFonts w:cs="Times New Roman"/>
        </w:rPr>
        <w:t>labeled</w:t>
      </w:r>
      <w:proofErr w:type="spellEnd"/>
      <w:r w:rsidRPr="00D44E03">
        <w:rPr>
          <w:rFonts w:cs="Times New Roman"/>
        </w:rPr>
        <w:t xml:space="preserve"> datasets.</w:t>
      </w:r>
    </w:p>
    <w:p w14:paraId="030FA6FC" w14:textId="77777777" w:rsidR="00117051" w:rsidRDefault="00117051" w:rsidP="00D20C6F">
      <w:pPr>
        <w:jc w:val="both"/>
        <w:rPr>
          <w:rFonts w:cs="Times New Roman"/>
          <w:b/>
          <w:bCs/>
        </w:rPr>
      </w:pPr>
    </w:p>
    <w:p w14:paraId="0AB1CB2A" w14:textId="2F0C39BC" w:rsidR="006D074D" w:rsidRDefault="006D074D" w:rsidP="00D20C6F">
      <w:pPr>
        <w:jc w:val="both"/>
        <w:rPr>
          <w:rFonts w:cs="Times New Roman"/>
          <w:b/>
          <w:bCs/>
        </w:rPr>
      </w:pPr>
      <w:r w:rsidRPr="006D074D">
        <w:rPr>
          <w:rFonts w:cs="Times New Roman"/>
          <w:b/>
          <w:bCs/>
        </w:rPr>
        <w:t>LITERATURE SURVEY</w:t>
      </w:r>
      <w:r w:rsidR="00E8241A">
        <w:rPr>
          <w:rFonts w:cs="Times New Roman"/>
          <w:b/>
          <w:bCs/>
        </w:rPr>
        <w:t xml:space="preserve"> – PPT</w:t>
      </w:r>
    </w:p>
    <w:tbl>
      <w:tblPr>
        <w:tblStyle w:val="GridTable1Light"/>
        <w:tblW w:w="0" w:type="auto"/>
        <w:tblLayout w:type="fixed"/>
        <w:tblLook w:val="04A0" w:firstRow="1" w:lastRow="0" w:firstColumn="1" w:lastColumn="0" w:noHBand="0" w:noVBand="1"/>
      </w:tblPr>
      <w:tblGrid>
        <w:gridCol w:w="1899"/>
        <w:gridCol w:w="1607"/>
        <w:gridCol w:w="2868"/>
        <w:gridCol w:w="2642"/>
      </w:tblGrid>
      <w:tr w:rsidR="00F12A2B" w:rsidRPr="00E8241A" w14:paraId="303D8542" w14:textId="77777777" w:rsidTr="00F12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hideMark/>
          </w:tcPr>
          <w:p w14:paraId="59183F4C" w14:textId="77777777" w:rsidR="00E8241A" w:rsidRPr="00E8241A" w:rsidRDefault="00E8241A" w:rsidP="00E8241A">
            <w:pPr>
              <w:spacing w:after="160" w:line="278" w:lineRule="auto"/>
              <w:jc w:val="both"/>
              <w:rPr>
                <w:rFonts w:cs="Times New Roman"/>
              </w:rPr>
            </w:pPr>
            <w:r w:rsidRPr="00E8241A">
              <w:rPr>
                <w:rFonts w:cs="Times New Roman"/>
              </w:rPr>
              <w:t>Paper title</w:t>
            </w:r>
          </w:p>
        </w:tc>
        <w:tc>
          <w:tcPr>
            <w:tcW w:w="1607" w:type="dxa"/>
            <w:hideMark/>
          </w:tcPr>
          <w:p w14:paraId="12412625" w14:textId="53EEC9CC" w:rsidR="00E8241A" w:rsidRPr="00E8241A" w:rsidRDefault="00E8241A" w:rsidP="00E8241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E8241A">
              <w:rPr>
                <w:rFonts w:cs="Times New Roman"/>
              </w:rPr>
              <w:t xml:space="preserve">Journal </w:t>
            </w:r>
          </w:p>
        </w:tc>
        <w:tc>
          <w:tcPr>
            <w:tcW w:w="2868" w:type="dxa"/>
            <w:hideMark/>
          </w:tcPr>
          <w:p w14:paraId="6861239E" w14:textId="6CFB6965" w:rsidR="00E8241A" w:rsidRPr="00E8241A" w:rsidRDefault="00E8241A" w:rsidP="00E8241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E8241A">
              <w:rPr>
                <w:rFonts w:cs="Times New Roman"/>
              </w:rPr>
              <w:t xml:space="preserve">Technical description </w:t>
            </w:r>
          </w:p>
        </w:tc>
        <w:tc>
          <w:tcPr>
            <w:tcW w:w="2642" w:type="dxa"/>
            <w:hideMark/>
          </w:tcPr>
          <w:p w14:paraId="71A05DDB" w14:textId="0407279B" w:rsidR="00E8241A" w:rsidRPr="00E8241A" w:rsidRDefault="00E8241A" w:rsidP="00E8241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E8241A">
              <w:rPr>
                <w:rFonts w:cs="Times New Roman"/>
              </w:rPr>
              <w:t xml:space="preserve">Research gap </w:t>
            </w:r>
          </w:p>
        </w:tc>
      </w:tr>
      <w:tr w:rsidR="00F12A2B" w:rsidRPr="00E8241A" w14:paraId="4CF06D62" w14:textId="77777777" w:rsidTr="00F12A2B">
        <w:tc>
          <w:tcPr>
            <w:cnfStyle w:val="001000000000" w:firstRow="0" w:lastRow="0" w:firstColumn="1" w:lastColumn="0" w:oddVBand="0" w:evenVBand="0" w:oddHBand="0" w:evenHBand="0" w:firstRowFirstColumn="0" w:firstRowLastColumn="0" w:lastRowFirstColumn="0" w:lastRowLastColumn="0"/>
            <w:tcW w:w="1899" w:type="dxa"/>
            <w:hideMark/>
          </w:tcPr>
          <w:p w14:paraId="432E01A1" w14:textId="77777777" w:rsidR="00E8241A" w:rsidRPr="00E8241A" w:rsidRDefault="00E8241A" w:rsidP="00E8241A">
            <w:pPr>
              <w:spacing w:after="160" w:line="278" w:lineRule="auto"/>
              <w:jc w:val="both"/>
              <w:rPr>
                <w:rFonts w:cs="Times New Roman"/>
                <w:b w:val="0"/>
                <w:bCs w:val="0"/>
              </w:rPr>
            </w:pPr>
            <w:r w:rsidRPr="00E8241A">
              <w:rPr>
                <w:rFonts w:cs="Times New Roman"/>
                <w:b w:val="0"/>
                <w:bCs w:val="0"/>
              </w:rPr>
              <w:t>Integrating Digital Twins and MPC for Sustainable Greenhouse Management in Smart Agriculture</w:t>
            </w:r>
          </w:p>
        </w:tc>
        <w:tc>
          <w:tcPr>
            <w:tcW w:w="1607" w:type="dxa"/>
            <w:hideMark/>
          </w:tcPr>
          <w:p w14:paraId="5701505C"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IEEE Transactions on Agrifood Electronics (IEEE), 2025</w:t>
            </w:r>
          </w:p>
        </w:tc>
        <w:tc>
          <w:tcPr>
            <w:tcW w:w="2868" w:type="dxa"/>
            <w:hideMark/>
          </w:tcPr>
          <w:p w14:paraId="6874AF36"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Proposes a greenhouse digital twin + MPC framework for climate management. Uses a simplified state-space thermal/ventilation model and MPC with constraints, tested across four seasonal weather scenarios using historical meteorological data.</w:t>
            </w:r>
          </w:p>
        </w:tc>
        <w:tc>
          <w:tcPr>
            <w:tcW w:w="2642" w:type="dxa"/>
            <w:hideMark/>
          </w:tcPr>
          <w:p w14:paraId="5F72A9FE" w14:textId="0AC083AF"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 xml:space="preserve">The framework is primarily </w:t>
            </w:r>
            <w:proofErr w:type="spellStart"/>
            <w:r w:rsidRPr="00E8241A">
              <w:rPr>
                <w:rFonts w:cs="Times New Roman"/>
              </w:rPr>
              <w:t>centered</w:t>
            </w:r>
            <w:proofErr w:type="spellEnd"/>
            <w:r w:rsidRPr="00E8241A">
              <w:rPr>
                <w:rFonts w:cs="Times New Roman"/>
              </w:rPr>
              <w:t xml:space="preserve"> on climate variable regulation (thermal + ventilation/shading) and controller feasibility, but it does not deeply model crop biological responses and plant-health/disease-risk dynamics as first-class elements of the twin.</w:t>
            </w:r>
          </w:p>
        </w:tc>
      </w:tr>
      <w:tr w:rsidR="00F12A2B" w:rsidRPr="00E8241A" w14:paraId="7606150D" w14:textId="77777777" w:rsidTr="00F12A2B">
        <w:tc>
          <w:tcPr>
            <w:cnfStyle w:val="001000000000" w:firstRow="0" w:lastRow="0" w:firstColumn="1" w:lastColumn="0" w:oddVBand="0" w:evenVBand="0" w:oddHBand="0" w:evenHBand="0" w:firstRowFirstColumn="0" w:firstRowLastColumn="0" w:lastRowFirstColumn="0" w:lastRowLastColumn="0"/>
            <w:tcW w:w="1899" w:type="dxa"/>
            <w:hideMark/>
          </w:tcPr>
          <w:p w14:paraId="3EA128F6" w14:textId="77777777" w:rsidR="00E8241A" w:rsidRPr="00E8241A" w:rsidRDefault="00E8241A" w:rsidP="00E8241A">
            <w:pPr>
              <w:spacing w:after="160" w:line="278" w:lineRule="auto"/>
              <w:jc w:val="both"/>
              <w:rPr>
                <w:rFonts w:cs="Times New Roman"/>
                <w:b w:val="0"/>
                <w:bCs w:val="0"/>
              </w:rPr>
            </w:pPr>
            <w:r w:rsidRPr="00E8241A">
              <w:rPr>
                <w:rFonts w:cs="Times New Roman"/>
                <w:b w:val="0"/>
                <w:bCs w:val="0"/>
              </w:rPr>
              <w:t>Advances in intelligent and autonomous greenhouse systems: A comprehensive review of internet of things, artificial intelligence, and robotics integration</w:t>
            </w:r>
          </w:p>
        </w:tc>
        <w:tc>
          <w:tcPr>
            <w:tcW w:w="1607" w:type="dxa"/>
            <w:hideMark/>
          </w:tcPr>
          <w:p w14:paraId="47AD2F79"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Smart Agricultural Technology (Elsevier), 2026</w:t>
            </w:r>
          </w:p>
        </w:tc>
        <w:tc>
          <w:tcPr>
            <w:tcW w:w="2868" w:type="dxa"/>
            <w:hideMark/>
          </w:tcPr>
          <w:p w14:paraId="5A030115"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Review of 100+ studies on IoT, ML/DL, and robotics in greenhouses (monitoring/control, disease detection, yield and growth monitoring). It also compiles reported datasets/models/metrics and discusses deployment challenges.</w:t>
            </w:r>
          </w:p>
        </w:tc>
        <w:tc>
          <w:tcPr>
            <w:tcW w:w="2642" w:type="dxa"/>
            <w:hideMark/>
          </w:tcPr>
          <w:p w14:paraId="404D7173"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The literature still lacks standardized, publicly available multimodal datasets and robust sensor-fusion + real-world validation practices across crops, growth stages, and greenhouse conditions; results are often hard to compare due to inconsistent evaluation setups, and many systems remain validated mainly under controlled or limited scenarios.</w:t>
            </w:r>
          </w:p>
        </w:tc>
      </w:tr>
      <w:tr w:rsidR="00F12A2B" w:rsidRPr="00E8241A" w14:paraId="1AD90B6B" w14:textId="77777777" w:rsidTr="00F12A2B">
        <w:tc>
          <w:tcPr>
            <w:cnfStyle w:val="001000000000" w:firstRow="0" w:lastRow="0" w:firstColumn="1" w:lastColumn="0" w:oddVBand="0" w:evenVBand="0" w:oddHBand="0" w:evenHBand="0" w:firstRowFirstColumn="0" w:firstRowLastColumn="0" w:lastRowFirstColumn="0" w:lastRowLastColumn="0"/>
            <w:tcW w:w="1899" w:type="dxa"/>
            <w:hideMark/>
          </w:tcPr>
          <w:p w14:paraId="6262907A" w14:textId="77777777" w:rsidR="00E8241A" w:rsidRPr="00E8241A" w:rsidRDefault="00E8241A" w:rsidP="00E8241A">
            <w:pPr>
              <w:spacing w:after="160" w:line="278" w:lineRule="auto"/>
              <w:jc w:val="both"/>
              <w:rPr>
                <w:rFonts w:cs="Times New Roman"/>
                <w:b w:val="0"/>
                <w:bCs w:val="0"/>
              </w:rPr>
            </w:pPr>
            <w:r w:rsidRPr="00E8241A">
              <w:rPr>
                <w:rFonts w:cs="Times New Roman"/>
                <w:b w:val="0"/>
                <w:bCs w:val="0"/>
              </w:rPr>
              <w:t xml:space="preserve">Greenhouse industry 4.0 – digital twin </w:t>
            </w:r>
            <w:r w:rsidRPr="00E8241A">
              <w:rPr>
                <w:rFonts w:cs="Times New Roman"/>
                <w:b w:val="0"/>
                <w:bCs w:val="0"/>
              </w:rPr>
              <w:lastRenderedPageBreak/>
              <w:t>technology for commercial greenhouses</w:t>
            </w:r>
          </w:p>
        </w:tc>
        <w:tc>
          <w:tcPr>
            <w:tcW w:w="1607" w:type="dxa"/>
            <w:hideMark/>
          </w:tcPr>
          <w:p w14:paraId="7A4D82CA"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lastRenderedPageBreak/>
              <w:t xml:space="preserve">Energy Informatics, 2021 (Project </w:t>
            </w:r>
            <w:r w:rsidRPr="00E8241A">
              <w:rPr>
                <w:rFonts w:cs="Times New Roman"/>
              </w:rPr>
              <w:lastRenderedPageBreak/>
              <w:t>Report; Supplement 2)</w:t>
            </w:r>
          </w:p>
        </w:tc>
        <w:tc>
          <w:tcPr>
            <w:tcW w:w="2868" w:type="dxa"/>
            <w:hideMark/>
          </w:tcPr>
          <w:p w14:paraId="0A9F83DC"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lastRenderedPageBreak/>
              <w:t xml:space="preserve">Describes an Industry 4.0 digital-twin ecosystem for commercial greenhouses </w:t>
            </w:r>
            <w:r w:rsidRPr="00E8241A">
              <w:rPr>
                <w:rFonts w:cs="Times New Roman"/>
              </w:rPr>
              <w:lastRenderedPageBreak/>
              <w:t xml:space="preserve">that integrates IoT/AI/Big Data/cloud and multiple linked twins (climate, production flow, energy system). Emphasizes co-optimization (production schedule, energy use, </w:t>
            </w:r>
            <w:proofErr w:type="spellStart"/>
            <w:r w:rsidRPr="00E8241A">
              <w:rPr>
                <w:rFonts w:cs="Times New Roman"/>
              </w:rPr>
              <w:t>labor</w:t>
            </w:r>
            <w:proofErr w:type="spellEnd"/>
            <w:r w:rsidRPr="00E8241A">
              <w:rPr>
                <w:rFonts w:cs="Times New Roman"/>
              </w:rPr>
              <w:t>) and demand-response participation, plus a Common Information Model (CIM) for interoperability.</w:t>
            </w:r>
          </w:p>
        </w:tc>
        <w:tc>
          <w:tcPr>
            <w:tcW w:w="2642" w:type="dxa"/>
            <w:hideMark/>
          </w:tcPr>
          <w:p w14:paraId="249247CB" w14:textId="0C923EB6"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lastRenderedPageBreak/>
              <w:t xml:space="preserve">The DT ecosystem focuses strongly on energy/production </w:t>
            </w:r>
            <w:r w:rsidRPr="00E8241A">
              <w:rPr>
                <w:rFonts w:cs="Times New Roman"/>
              </w:rPr>
              <w:lastRenderedPageBreak/>
              <w:t xml:space="preserve">logistics optimization and interoperability, but offers limited detail on integrating fine-grained plant health </w:t>
            </w:r>
            <w:proofErr w:type="spellStart"/>
            <w:r w:rsidRPr="00E8241A">
              <w:rPr>
                <w:rFonts w:cs="Times New Roman"/>
              </w:rPr>
              <w:t>modeling</w:t>
            </w:r>
            <w:proofErr w:type="spellEnd"/>
            <w:r w:rsidRPr="00E8241A">
              <w:rPr>
                <w:rFonts w:cs="Times New Roman"/>
              </w:rPr>
              <w:t xml:space="preserve"> (e.g., disease/stress prediction) into the digital-twin decision layer as a core driver of control/optimizatio</w:t>
            </w:r>
            <w:r w:rsidR="00F12A2B" w:rsidRPr="000B36FB">
              <w:rPr>
                <w:rFonts w:cs="Times New Roman"/>
              </w:rPr>
              <w:t>n.</w:t>
            </w:r>
          </w:p>
        </w:tc>
      </w:tr>
      <w:tr w:rsidR="00F12A2B" w:rsidRPr="00E8241A" w14:paraId="78E26F53" w14:textId="77777777" w:rsidTr="00F12A2B">
        <w:tc>
          <w:tcPr>
            <w:cnfStyle w:val="001000000000" w:firstRow="0" w:lastRow="0" w:firstColumn="1" w:lastColumn="0" w:oddVBand="0" w:evenVBand="0" w:oddHBand="0" w:evenHBand="0" w:firstRowFirstColumn="0" w:firstRowLastColumn="0" w:lastRowFirstColumn="0" w:lastRowLastColumn="0"/>
            <w:tcW w:w="1899" w:type="dxa"/>
            <w:hideMark/>
          </w:tcPr>
          <w:p w14:paraId="1397C517" w14:textId="77777777" w:rsidR="00E8241A" w:rsidRPr="00E8241A" w:rsidRDefault="00E8241A" w:rsidP="00E8241A">
            <w:pPr>
              <w:spacing w:after="160" w:line="278" w:lineRule="auto"/>
              <w:jc w:val="both"/>
              <w:rPr>
                <w:rFonts w:cs="Times New Roman"/>
                <w:b w:val="0"/>
                <w:bCs w:val="0"/>
              </w:rPr>
            </w:pPr>
            <w:r w:rsidRPr="00E8241A">
              <w:rPr>
                <w:rFonts w:cs="Times New Roman"/>
                <w:b w:val="0"/>
                <w:bCs w:val="0"/>
              </w:rPr>
              <w:lastRenderedPageBreak/>
              <w:t>Leaf Disease Detection and Classification</w:t>
            </w:r>
          </w:p>
        </w:tc>
        <w:tc>
          <w:tcPr>
            <w:tcW w:w="1607" w:type="dxa"/>
            <w:hideMark/>
          </w:tcPr>
          <w:p w14:paraId="4070C631"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Procedia Computer Science (Elsevier), 2023</w:t>
            </w:r>
          </w:p>
        </w:tc>
        <w:tc>
          <w:tcPr>
            <w:tcW w:w="2868" w:type="dxa"/>
            <w:hideMark/>
          </w:tcPr>
          <w:p w14:paraId="4170208A" w14:textId="77777777"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Implements and compares SVM vs KNN vs CNN for multi-class leaf disease classification using a soybean leaf dataset (8 diseases). Reports CNN performing best (96% accuracy) and discusses segmentation/feature extraction approaches.</w:t>
            </w:r>
          </w:p>
        </w:tc>
        <w:tc>
          <w:tcPr>
            <w:tcW w:w="2642" w:type="dxa"/>
            <w:hideMark/>
          </w:tcPr>
          <w:p w14:paraId="059D26B4" w14:textId="7D36656C" w:rsidR="00E8241A" w:rsidRPr="00E8241A" w:rsidRDefault="00E8241A" w:rsidP="00E8241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E8241A">
              <w:rPr>
                <w:rFonts w:cs="Times New Roman"/>
              </w:rPr>
              <w:t xml:space="preserve">The work is mainly static image classification on a specific dataset and does not address greenhouse context coupling—such as linking visual symptoms with environmental sensor conditions, handling crop-specific greenhouse diseases or </w:t>
            </w:r>
            <w:proofErr w:type="spellStart"/>
            <w:r w:rsidRPr="00E8241A">
              <w:rPr>
                <w:rFonts w:cs="Times New Roman"/>
              </w:rPr>
              <w:t>modeling</w:t>
            </w:r>
            <w:proofErr w:type="spellEnd"/>
            <w:r w:rsidRPr="00E8241A">
              <w:rPr>
                <w:rFonts w:cs="Times New Roman"/>
              </w:rPr>
              <w:t xml:space="preserve"> temporal disease progression for forecasting severity/impact rather than only </w:t>
            </w:r>
            <w:proofErr w:type="spellStart"/>
            <w:r w:rsidRPr="00E8241A">
              <w:rPr>
                <w:rFonts w:cs="Times New Roman"/>
              </w:rPr>
              <w:t>labeling</w:t>
            </w:r>
            <w:proofErr w:type="spellEnd"/>
            <w:r w:rsidRPr="00E8241A">
              <w:rPr>
                <w:rFonts w:cs="Times New Roman"/>
              </w:rPr>
              <w:t xml:space="preserve"> images.</w:t>
            </w:r>
          </w:p>
        </w:tc>
      </w:tr>
    </w:tbl>
    <w:p w14:paraId="5470871C" w14:textId="77777777" w:rsidR="006D074D" w:rsidRPr="006D074D" w:rsidRDefault="006D074D" w:rsidP="00D20C6F">
      <w:pPr>
        <w:jc w:val="both"/>
        <w:rPr>
          <w:rFonts w:cs="Times New Roman"/>
          <w:b/>
          <w:bCs/>
        </w:rPr>
      </w:pPr>
    </w:p>
    <w:p w14:paraId="48A47398" w14:textId="77777777" w:rsidR="009D07FB" w:rsidRPr="00FF429A" w:rsidRDefault="009D07FB" w:rsidP="00D20C6F">
      <w:pPr>
        <w:jc w:val="both"/>
      </w:pPr>
    </w:p>
    <w:p w14:paraId="58BF65F8" w14:textId="2B78B963" w:rsidR="000345FF" w:rsidRPr="000345FF" w:rsidRDefault="000345FF" w:rsidP="00D20C6F">
      <w:pPr>
        <w:jc w:val="both"/>
        <w:rPr>
          <w:b/>
          <w:bCs/>
        </w:rPr>
      </w:pPr>
      <w:r>
        <w:rPr>
          <w:b/>
          <w:bCs/>
        </w:rPr>
        <w:t>HIGH-LEVEL ARCHITECTURE</w:t>
      </w:r>
    </w:p>
    <w:p w14:paraId="41B7BAB4" w14:textId="681A0DF2" w:rsidR="000345FF" w:rsidRDefault="000345FF" w:rsidP="00D20C6F">
      <w:pPr>
        <w:jc w:val="both"/>
      </w:pPr>
      <w:r w:rsidRPr="000345FF">
        <w:t xml:space="preserve">This section describes the input data sources, internal module decomposition, and expected outputs of the proposed </w:t>
      </w:r>
      <w:proofErr w:type="spellStart"/>
      <w:r w:rsidRPr="000345FF">
        <w:rPr>
          <w:b/>
          <w:bCs/>
        </w:rPr>
        <w:t>AgriTwin</w:t>
      </w:r>
      <w:proofErr w:type="spellEnd"/>
      <w:r w:rsidRPr="000345FF">
        <w:rPr>
          <w:b/>
          <w:bCs/>
        </w:rPr>
        <w:t>-GH</w:t>
      </w:r>
      <w:r w:rsidRPr="000345FF">
        <w:t xml:space="preserve"> system. </w:t>
      </w:r>
    </w:p>
    <w:p w14:paraId="453CD212" w14:textId="172D7933" w:rsidR="007349D1" w:rsidRPr="006E0A30" w:rsidRDefault="000345FF" w:rsidP="00D20C6F">
      <w:pPr>
        <w:jc w:val="both"/>
      </w:pPr>
      <w:r w:rsidRPr="000345FF">
        <w:lastRenderedPageBreak/>
        <w:drawing>
          <wp:inline distT="0" distB="0" distL="0" distR="0" wp14:anchorId="49BEFA22" wp14:editId="6A0E92AA">
            <wp:extent cx="5731510" cy="36150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6424E91B" w14:textId="1FE8E8EF" w:rsidR="000345FF" w:rsidRPr="000345FF" w:rsidRDefault="000345FF" w:rsidP="00D20C6F">
      <w:pPr>
        <w:jc w:val="both"/>
        <w:rPr>
          <w:b/>
          <w:bCs/>
        </w:rPr>
      </w:pPr>
      <w:r w:rsidRPr="000345FF">
        <w:rPr>
          <w:b/>
          <w:bCs/>
        </w:rPr>
        <w:t>A. System Inputs</w:t>
      </w:r>
    </w:p>
    <w:p w14:paraId="2CDBF63C" w14:textId="51C357F8" w:rsidR="000345FF" w:rsidRPr="000345FF" w:rsidRDefault="000345FF" w:rsidP="00D20C6F">
      <w:pPr>
        <w:jc w:val="both"/>
      </w:pPr>
      <w:r w:rsidRPr="000345FF">
        <w:t xml:space="preserve">The system is designed to operate using </w:t>
      </w:r>
      <w:r w:rsidRPr="000345FF">
        <w:rPr>
          <w:b/>
          <w:bCs/>
        </w:rPr>
        <w:t>data-driven inputs</w:t>
      </w:r>
      <w:r w:rsidRPr="000345FF">
        <w:t xml:space="preserve"> obtained from open repositories and synthetic data streams that emulate real greenhouse environments. </w:t>
      </w:r>
    </w:p>
    <w:p w14:paraId="0D821A11" w14:textId="77777777" w:rsidR="000345FF" w:rsidRPr="000345FF" w:rsidRDefault="000345FF" w:rsidP="00D20C6F">
      <w:pPr>
        <w:jc w:val="both"/>
        <w:rPr>
          <w:b/>
          <w:bCs/>
        </w:rPr>
      </w:pPr>
      <w:r w:rsidRPr="000345FF">
        <w:rPr>
          <w:b/>
          <w:bCs/>
        </w:rPr>
        <w:t>1) Open-Source Sensor Data Streams</w:t>
      </w:r>
    </w:p>
    <w:p w14:paraId="532EAF7A" w14:textId="72E03C20" w:rsidR="000345FF" w:rsidRPr="000345FF" w:rsidRDefault="00B62690" w:rsidP="00D20C6F">
      <w:pPr>
        <w:jc w:val="both"/>
      </w:pPr>
      <w:r w:rsidRPr="00B62690">
        <w:t xml:space="preserve">Instead of physical sensors, the system ingests open-source greenhouse datasets that provide time-series environmental and crop-related data. </w:t>
      </w:r>
      <w:r w:rsidR="000345FF" w:rsidRPr="000345FF">
        <w:t xml:space="preserve">These datasets act as </w:t>
      </w:r>
      <w:r w:rsidR="000345FF" w:rsidRPr="000345FF">
        <w:rPr>
          <w:b/>
          <w:bCs/>
        </w:rPr>
        <w:t>virtual sensor streams</w:t>
      </w:r>
      <w:r w:rsidR="000345FF" w:rsidRPr="000345FF">
        <w:t xml:space="preserve"> and are treated identically to real-time IoT data.</w:t>
      </w:r>
    </w:p>
    <w:p w14:paraId="410EC917" w14:textId="77777777" w:rsidR="000345FF" w:rsidRPr="000345FF" w:rsidRDefault="000345FF" w:rsidP="00D20C6F">
      <w:pPr>
        <w:jc w:val="both"/>
      </w:pPr>
      <w:r w:rsidRPr="000345FF">
        <w:t>The input parameters typically include:</w:t>
      </w:r>
    </w:p>
    <w:p w14:paraId="6F45552A" w14:textId="77777777" w:rsidR="000345FF" w:rsidRPr="000345FF" w:rsidRDefault="000345FF" w:rsidP="00D20C6F">
      <w:pPr>
        <w:numPr>
          <w:ilvl w:val="0"/>
          <w:numId w:val="1"/>
        </w:numPr>
        <w:jc w:val="both"/>
      </w:pPr>
      <w:r w:rsidRPr="000345FF">
        <w:t>Air temperature</w:t>
      </w:r>
    </w:p>
    <w:p w14:paraId="51E115FB" w14:textId="77777777" w:rsidR="000345FF" w:rsidRPr="000345FF" w:rsidRDefault="000345FF" w:rsidP="00D20C6F">
      <w:pPr>
        <w:numPr>
          <w:ilvl w:val="0"/>
          <w:numId w:val="1"/>
        </w:numPr>
        <w:jc w:val="both"/>
      </w:pPr>
      <w:r w:rsidRPr="000345FF">
        <w:t>Relative humidity</w:t>
      </w:r>
    </w:p>
    <w:p w14:paraId="43152369" w14:textId="57196A69" w:rsidR="000345FF" w:rsidRPr="000345FF" w:rsidRDefault="000345FF" w:rsidP="00D20C6F">
      <w:pPr>
        <w:numPr>
          <w:ilvl w:val="0"/>
          <w:numId w:val="1"/>
        </w:numPr>
        <w:jc w:val="both"/>
      </w:pPr>
      <w:r w:rsidRPr="000345FF">
        <w:t>Light intensity</w:t>
      </w:r>
    </w:p>
    <w:p w14:paraId="1CFC5C32" w14:textId="77777777" w:rsidR="000345FF" w:rsidRPr="000345FF" w:rsidRDefault="000345FF" w:rsidP="00D20C6F">
      <w:pPr>
        <w:numPr>
          <w:ilvl w:val="0"/>
          <w:numId w:val="1"/>
        </w:numPr>
        <w:jc w:val="both"/>
      </w:pPr>
      <w:r w:rsidRPr="000345FF">
        <w:t>Carbon dioxide (CO₂) concentration</w:t>
      </w:r>
    </w:p>
    <w:p w14:paraId="1869B6F8" w14:textId="61485BAD" w:rsidR="000345FF" w:rsidRPr="000345FF" w:rsidRDefault="000345FF" w:rsidP="00D20C6F">
      <w:pPr>
        <w:numPr>
          <w:ilvl w:val="0"/>
          <w:numId w:val="1"/>
        </w:numPr>
        <w:jc w:val="both"/>
      </w:pPr>
      <w:r w:rsidRPr="000345FF">
        <w:t>Soil moisture</w:t>
      </w:r>
    </w:p>
    <w:p w14:paraId="2A9D028A" w14:textId="77777777" w:rsidR="000345FF" w:rsidRPr="000345FF" w:rsidRDefault="000345FF" w:rsidP="00D20C6F">
      <w:pPr>
        <w:numPr>
          <w:ilvl w:val="0"/>
          <w:numId w:val="1"/>
        </w:numPr>
        <w:jc w:val="both"/>
      </w:pPr>
      <w:r w:rsidRPr="000345FF">
        <w:t>Electrical conductivity (EC)</w:t>
      </w:r>
    </w:p>
    <w:p w14:paraId="647735AF" w14:textId="77777777" w:rsidR="000345FF" w:rsidRPr="000345FF" w:rsidRDefault="000345FF" w:rsidP="00D20C6F">
      <w:pPr>
        <w:numPr>
          <w:ilvl w:val="0"/>
          <w:numId w:val="1"/>
        </w:numPr>
        <w:jc w:val="both"/>
      </w:pPr>
      <w:r w:rsidRPr="000345FF">
        <w:t>Soil pH</w:t>
      </w:r>
    </w:p>
    <w:p w14:paraId="75D26177" w14:textId="597D0BB2" w:rsidR="000345FF" w:rsidRPr="000345FF" w:rsidRDefault="000345FF" w:rsidP="00D20C6F">
      <w:pPr>
        <w:jc w:val="both"/>
      </w:pPr>
      <w:r w:rsidRPr="000345FF">
        <w:t xml:space="preserve">These parameters are streamed into the system in a continuous or batched manner, enabling real-time analytics, temporal </w:t>
      </w:r>
      <w:proofErr w:type="spellStart"/>
      <w:r w:rsidRPr="000345FF">
        <w:t>modeling</w:t>
      </w:r>
      <w:proofErr w:type="spellEnd"/>
      <w:r w:rsidRPr="000345FF">
        <w:t>, and predictive control.</w:t>
      </w:r>
    </w:p>
    <w:p w14:paraId="22F207DF" w14:textId="77777777" w:rsidR="000345FF" w:rsidRPr="000345FF" w:rsidRDefault="000345FF" w:rsidP="00D20C6F">
      <w:pPr>
        <w:jc w:val="both"/>
        <w:rPr>
          <w:b/>
          <w:bCs/>
        </w:rPr>
      </w:pPr>
      <w:r w:rsidRPr="000345FF">
        <w:rPr>
          <w:b/>
          <w:bCs/>
        </w:rPr>
        <w:lastRenderedPageBreak/>
        <w:t>2) Open-Source Image Data</w:t>
      </w:r>
    </w:p>
    <w:p w14:paraId="3A24B062" w14:textId="0239AF85" w:rsidR="000345FF" w:rsidRPr="000345FF" w:rsidRDefault="000345FF" w:rsidP="00D20C6F">
      <w:pPr>
        <w:jc w:val="both"/>
      </w:pPr>
      <w:r w:rsidRPr="000345FF">
        <w:t xml:space="preserve">The system utilizes </w:t>
      </w:r>
      <w:r w:rsidRPr="000345FF">
        <w:rPr>
          <w:b/>
          <w:bCs/>
        </w:rPr>
        <w:t>open-source image datasets</w:t>
      </w:r>
      <w:r w:rsidRPr="000345FF">
        <w:t xml:space="preserve"> related to tomato and strawberry cultivation. These datasets contain </w:t>
      </w:r>
      <w:proofErr w:type="spellStart"/>
      <w:r w:rsidRPr="000345FF">
        <w:t>labeled</w:t>
      </w:r>
      <w:proofErr w:type="spellEnd"/>
      <w:r w:rsidRPr="000345FF">
        <w:t xml:space="preserve"> images representing different growth stages, disease conditions, and crop health variations.</w:t>
      </w:r>
    </w:p>
    <w:p w14:paraId="2C8F662F" w14:textId="77777777" w:rsidR="000345FF" w:rsidRPr="000345FF" w:rsidRDefault="000345FF" w:rsidP="00D20C6F">
      <w:pPr>
        <w:jc w:val="both"/>
      </w:pPr>
      <w:r w:rsidRPr="000345FF">
        <w:t>The image inputs are used to identify:</w:t>
      </w:r>
    </w:p>
    <w:p w14:paraId="144FF6F6" w14:textId="636CFD95" w:rsidR="000345FF" w:rsidRPr="000345FF" w:rsidRDefault="000345FF" w:rsidP="00D20C6F">
      <w:pPr>
        <w:numPr>
          <w:ilvl w:val="0"/>
          <w:numId w:val="2"/>
        </w:numPr>
        <w:jc w:val="both"/>
      </w:pPr>
      <w:r w:rsidRPr="000345FF">
        <w:t>Disease symptoms such as powdery mildew</w:t>
      </w:r>
      <w:r w:rsidR="00830B0D">
        <w:t>, leaf scorch</w:t>
      </w:r>
      <w:r w:rsidRPr="000345FF">
        <w:t xml:space="preserve"> and leaf </w:t>
      </w:r>
      <w:proofErr w:type="spellStart"/>
      <w:r w:rsidRPr="000345FF">
        <w:t>mold</w:t>
      </w:r>
      <w:proofErr w:type="spellEnd"/>
    </w:p>
    <w:p w14:paraId="5AC205B2" w14:textId="77777777" w:rsidR="000345FF" w:rsidRPr="000345FF" w:rsidRDefault="000345FF" w:rsidP="00D20C6F">
      <w:pPr>
        <w:numPr>
          <w:ilvl w:val="0"/>
          <w:numId w:val="2"/>
        </w:numPr>
        <w:jc w:val="both"/>
      </w:pPr>
      <w:r w:rsidRPr="000345FF">
        <w:t>Growth stages including vegetative, flowering, and fruiting phases</w:t>
      </w:r>
    </w:p>
    <w:p w14:paraId="60615EB2" w14:textId="77777777" w:rsidR="000345FF" w:rsidRPr="000345FF" w:rsidRDefault="000345FF" w:rsidP="00D20C6F">
      <w:pPr>
        <w:numPr>
          <w:ilvl w:val="0"/>
          <w:numId w:val="2"/>
        </w:numPr>
        <w:jc w:val="both"/>
      </w:pPr>
      <w:r w:rsidRPr="000345FF">
        <w:t>Fruit maturity and harvest readiness (especially for strawberries)</w:t>
      </w:r>
    </w:p>
    <w:p w14:paraId="2F06A7EA" w14:textId="468F541F" w:rsidR="007349D1" w:rsidRPr="006E0A30" w:rsidRDefault="000345FF" w:rsidP="00D20C6F">
      <w:pPr>
        <w:jc w:val="both"/>
      </w:pPr>
      <w:r w:rsidRPr="000345FF">
        <w:t xml:space="preserve">Image data complements numerical sensor streams by providing </w:t>
      </w:r>
      <w:r w:rsidRPr="000345FF">
        <w:rPr>
          <w:b/>
          <w:bCs/>
        </w:rPr>
        <w:t>visual context</w:t>
      </w:r>
      <w:r w:rsidRPr="000345FF">
        <w:t>, enabling robust crop health assessment through computer vision models.</w:t>
      </w:r>
    </w:p>
    <w:p w14:paraId="4B52665F" w14:textId="77777777" w:rsidR="00795753" w:rsidRDefault="00795753" w:rsidP="00D20C6F">
      <w:pPr>
        <w:jc w:val="both"/>
        <w:rPr>
          <w:b/>
          <w:bCs/>
        </w:rPr>
      </w:pPr>
    </w:p>
    <w:p w14:paraId="2C61CC96" w14:textId="5E039AB1" w:rsidR="000345FF" w:rsidRPr="000345FF" w:rsidRDefault="000345FF" w:rsidP="00D20C6F">
      <w:pPr>
        <w:jc w:val="both"/>
        <w:rPr>
          <w:b/>
          <w:bCs/>
        </w:rPr>
      </w:pPr>
      <w:r w:rsidRPr="000345FF">
        <w:rPr>
          <w:b/>
          <w:bCs/>
        </w:rPr>
        <w:t>B. Module Decomposition</w:t>
      </w:r>
    </w:p>
    <w:p w14:paraId="74C3CA72" w14:textId="1DE6BD1C" w:rsidR="000345FF" w:rsidRPr="000345FF" w:rsidRDefault="000345FF" w:rsidP="00D20C6F">
      <w:pPr>
        <w:jc w:val="both"/>
      </w:pPr>
      <w:r w:rsidRPr="000345FF">
        <w:t xml:space="preserve">The proposed system architecture is decomposed into three primary modules: </w:t>
      </w:r>
      <w:r w:rsidRPr="000345FF">
        <w:rPr>
          <w:b/>
          <w:bCs/>
        </w:rPr>
        <w:t>Data Engineering</w:t>
      </w:r>
      <w:r w:rsidRPr="000345FF">
        <w:t xml:space="preserve">, </w:t>
      </w:r>
      <w:r w:rsidRPr="000345FF">
        <w:rPr>
          <w:b/>
          <w:bCs/>
        </w:rPr>
        <w:t>AI Inference Engine</w:t>
      </w:r>
      <w:r w:rsidRPr="000345FF">
        <w:t xml:space="preserve">, and </w:t>
      </w:r>
      <w:r w:rsidRPr="000345FF">
        <w:rPr>
          <w:b/>
          <w:bCs/>
        </w:rPr>
        <w:t xml:space="preserve">Digital Twin </w:t>
      </w:r>
      <w:r w:rsidR="00B7640C">
        <w:rPr>
          <w:b/>
          <w:bCs/>
        </w:rPr>
        <w:t>and</w:t>
      </w:r>
      <w:r w:rsidRPr="000345FF">
        <w:rPr>
          <w:b/>
          <w:bCs/>
        </w:rPr>
        <w:t xml:space="preserve"> Model Predictive Control (MPC)</w:t>
      </w:r>
      <w:r w:rsidRPr="000345FF">
        <w:t>.</w:t>
      </w:r>
    </w:p>
    <w:p w14:paraId="163A72AD" w14:textId="77777777" w:rsidR="000345FF" w:rsidRPr="000345FF" w:rsidRDefault="000345FF" w:rsidP="00D20C6F">
      <w:pPr>
        <w:jc w:val="both"/>
        <w:rPr>
          <w:b/>
          <w:bCs/>
        </w:rPr>
      </w:pPr>
      <w:r w:rsidRPr="000345FF">
        <w:rPr>
          <w:b/>
          <w:bCs/>
        </w:rPr>
        <w:t>1) Data Engineering Module</w:t>
      </w:r>
    </w:p>
    <w:p w14:paraId="5B4E02AE" w14:textId="77777777" w:rsidR="000345FF" w:rsidRPr="000345FF" w:rsidRDefault="000345FF" w:rsidP="00D20C6F">
      <w:pPr>
        <w:jc w:val="both"/>
      </w:pPr>
      <w:r w:rsidRPr="000345FF">
        <w:t xml:space="preserve">The Data Engineering module serves as the </w:t>
      </w:r>
      <w:r w:rsidRPr="000345FF">
        <w:rPr>
          <w:b/>
          <w:bCs/>
        </w:rPr>
        <w:t>data preparation and transformation layer</w:t>
      </w:r>
      <w:r w:rsidRPr="000345FF">
        <w:t xml:space="preserve">. It converts raw open-source data streams into structured inputs suitable for AI </w:t>
      </w:r>
      <w:proofErr w:type="spellStart"/>
      <w:r w:rsidRPr="000345FF">
        <w:t>modeling</w:t>
      </w:r>
      <w:proofErr w:type="spellEnd"/>
      <w:r w:rsidRPr="000345FF">
        <w:t xml:space="preserve"> and digital twin simulation.</w:t>
      </w:r>
    </w:p>
    <w:p w14:paraId="5AC9B104" w14:textId="77777777" w:rsidR="000345FF" w:rsidRPr="000345FF" w:rsidRDefault="000345FF" w:rsidP="00D20C6F">
      <w:pPr>
        <w:jc w:val="both"/>
      </w:pPr>
      <w:r w:rsidRPr="000345FF">
        <w:t>Key responsibilities include:</w:t>
      </w:r>
    </w:p>
    <w:p w14:paraId="0698BE33" w14:textId="77777777" w:rsidR="000345FF" w:rsidRPr="000345FF" w:rsidRDefault="000345FF" w:rsidP="00D20C6F">
      <w:pPr>
        <w:numPr>
          <w:ilvl w:val="0"/>
          <w:numId w:val="3"/>
        </w:numPr>
        <w:jc w:val="both"/>
      </w:pPr>
      <w:r w:rsidRPr="000345FF">
        <w:t>Parsing and validating open-source sensor datasets</w:t>
      </w:r>
    </w:p>
    <w:p w14:paraId="2CC5528A" w14:textId="77777777" w:rsidR="000345FF" w:rsidRPr="000345FF" w:rsidRDefault="000345FF" w:rsidP="00D20C6F">
      <w:pPr>
        <w:numPr>
          <w:ilvl w:val="0"/>
          <w:numId w:val="3"/>
        </w:numPr>
        <w:jc w:val="both"/>
      </w:pPr>
      <w:r w:rsidRPr="000345FF">
        <w:t>Handling missing values and noisy measurements</w:t>
      </w:r>
    </w:p>
    <w:p w14:paraId="28FC51D3" w14:textId="77777777" w:rsidR="000345FF" w:rsidRPr="000345FF" w:rsidRDefault="000345FF" w:rsidP="00D20C6F">
      <w:pPr>
        <w:numPr>
          <w:ilvl w:val="0"/>
          <w:numId w:val="3"/>
        </w:numPr>
        <w:jc w:val="both"/>
      </w:pPr>
      <w:r w:rsidRPr="000345FF">
        <w:t>Time-series alignment across multiple data sources</w:t>
      </w:r>
    </w:p>
    <w:p w14:paraId="72DBCF62" w14:textId="77777777" w:rsidR="000345FF" w:rsidRPr="000345FF" w:rsidRDefault="000345FF" w:rsidP="00D20C6F">
      <w:pPr>
        <w:numPr>
          <w:ilvl w:val="0"/>
          <w:numId w:val="3"/>
        </w:numPr>
        <w:jc w:val="both"/>
      </w:pPr>
      <w:r w:rsidRPr="000345FF">
        <w:t>Feature extraction and normalization</w:t>
      </w:r>
    </w:p>
    <w:p w14:paraId="620F08E7" w14:textId="5A0057A8" w:rsidR="000345FF" w:rsidRPr="000345FF" w:rsidRDefault="000345FF" w:rsidP="00D20C6F">
      <w:pPr>
        <w:jc w:val="both"/>
      </w:pPr>
      <w:r w:rsidRPr="000345FF">
        <w:t>For image data, the module performs preprocessing operations such as resizing, normalization, and feature extraction. By standardizing heterogeneous data sources, this module ensures consistency across the system.</w:t>
      </w:r>
    </w:p>
    <w:p w14:paraId="75D574BC" w14:textId="77777777" w:rsidR="000345FF" w:rsidRPr="000345FF" w:rsidRDefault="000345FF" w:rsidP="00D20C6F">
      <w:pPr>
        <w:jc w:val="both"/>
        <w:rPr>
          <w:b/>
          <w:bCs/>
        </w:rPr>
      </w:pPr>
      <w:r w:rsidRPr="000345FF">
        <w:rPr>
          <w:b/>
          <w:bCs/>
        </w:rPr>
        <w:t>2) AI Inference Engine</w:t>
      </w:r>
    </w:p>
    <w:p w14:paraId="18EC42F1" w14:textId="77777777" w:rsidR="000345FF" w:rsidRPr="000345FF" w:rsidRDefault="000345FF" w:rsidP="00D20C6F">
      <w:pPr>
        <w:jc w:val="both"/>
      </w:pPr>
      <w:r w:rsidRPr="000345FF">
        <w:t xml:space="preserve">The AI Inference Engine constitutes the </w:t>
      </w:r>
      <w:r w:rsidRPr="000345FF">
        <w:rPr>
          <w:b/>
          <w:bCs/>
        </w:rPr>
        <w:t>decision-making core</w:t>
      </w:r>
      <w:r w:rsidRPr="000345FF">
        <w:t xml:space="preserve"> of the system. It applies machine learning and deep learning models to infer crop health, growth stages, and disease risk from processed input data.</w:t>
      </w:r>
    </w:p>
    <w:p w14:paraId="3AD0C7BB" w14:textId="77777777" w:rsidR="000345FF" w:rsidRPr="000345FF" w:rsidRDefault="000345FF" w:rsidP="00D20C6F">
      <w:pPr>
        <w:jc w:val="both"/>
      </w:pPr>
      <w:r w:rsidRPr="000345FF">
        <w:lastRenderedPageBreak/>
        <w:t>The major functions of this module include:</w:t>
      </w:r>
    </w:p>
    <w:p w14:paraId="768B22E7" w14:textId="77777777" w:rsidR="000345FF" w:rsidRPr="000345FF" w:rsidRDefault="000345FF" w:rsidP="00D20C6F">
      <w:pPr>
        <w:numPr>
          <w:ilvl w:val="0"/>
          <w:numId w:val="4"/>
        </w:numPr>
        <w:jc w:val="both"/>
      </w:pPr>
      <w:r w:rsidRPr="000345FF">
        <w:t>Crop health classification based on sensor-derived features and image analysis</w:t>
      </w:r>
    </w:p>
    <w:p w14:paraId="52C6ED2E" w14:textId="77777777" w:rsidR="000345FF" w:rsidRPr="000345FF" w:rsidRDefault="000345FF" w:rsidP="00D20C6F">
      <w:pPr>
        <w:numPr>
          <w:ilvl w:val="0"/>
          <w:numId w:val="4"/>
        </w:numPr>
        <w:jc w:val="both"/>
      </w:pPr>
      <w:r w:rsidRPr="000345FF">
        <w:t>Disease detection and early risk estimation</w:t>
      </w:r>
    </w:p>
    <w:p w14:paraId="3485E1E4" w14:textId="77777777" w:rsidR="000345FF" w:rsidRPr="000345FF" w:rsidRDefault="000345FF" w:rsidP="00D20C6F">
      <w:pPr>
        <w:numPr>
          <w:ilvl w:val="0"/>
          <w:numId w:val="4"/>
        </w:numPr>
        <w:jc w:val="both"/>
      </w:pPr>
      <w:r w:rsidRPr="000345FF">
        <w:t>Growth stage identification using temporal and visual cues</w:t>
      </w:r>
    </w:p>
    <w:p w14:paraId="0F37BC0D" w14:textId="77777777" w:rsidR="000345FF" w:rsidRPr="000345FF" w:rsidRDefault="000345FF" w:rsidP="00D20C6F">
      <w:pPr>
        <w:numPr>
          <w:ilvl w:val="0"/>
          <w:numId w:val="4"/>
        </w:numPr>
        <w:jc w:val="both"/>
      </w:pPr>
      <w:r w:rsidRPr="000345FF">
        <w:t>Harvest readiness prediction for fruit-bearing crops</w:t>
      </w:r>
    </w:p>
    <w:p w14:paraId="35624E79" w14:textId="039B04C1" w:rsidR="004E07BA" w:rsidRPr="006E0A30" w:rsidRDefault="000345FF" w:rsidP="00D20C6F">
      <w:pPr>
        <w:jc w:val="both"/>
      </w:pPr>
      <w:r w:rsidRPr="000345FF">
        <w:t>The outputs generated by this module feed directly into the digital twin for validation and control optimization.</w:t>
      </w:r>
    </w:p>
    <w:p w14:paraId="5E271CBB" w14:textId="061A2DF9" w:rsidR="000345FF" w:rsidRPr="000345FF" w:rsidRDefault="000345FF" w:rsidP="00D20C6F">
      <w:pPr>
        <w:jc w:val="both"/>
        <w:rPr>
          <w:b/>
          <w:bCs/>
        </w:rPr>
      </w:pPr>
      <w:r w:rsidRPr="000345FF">
        <w:rPr>
          <w:b/>
          <w:bCs/>
        </w:rPr>
        <w:t>3) Digital Twin and Model Predictive Control Module</w:t>
      </w:r>
    </w:p>
    <w:p w14:paraId="1D861FB5" w14:textId="77777777" w:rsidR="000345FF" w:rsidRPr="000345FF" w:rsidRDefault="000345FF" w:rsidP="00D20C6F">
      <w:pPr>
        <w:jc w:val="both"/>
      </w:pPr>
      <w:r w:rsidRPr="000345FF">
        <w:t xml:space="preserve">The Digital Twin and MPC module </w:t>
      </w:r>
      <w:proofErr w:type="gramStart"/>
      <w:r w:rsidRPr="000345FF">
        <w:t>represents</w:t>
      </w:r>
      <w:proofErr w:type="gramEnd"/>
      <w:r w:rsidRPr="000345FF">
        <w:t xml:space="preserve"> a </w:t>
      </w:r>
      <w:r w:rsidRPr="000345FF">
        <w:rPr>
          <w:b/>
          <w:bCs/>
        </w:rPr>
        <w:t>virtual replica of the greenhouse system</w:t>
      </w:r>
      <w:r w:rsidRPr="000345FF">
        <w:t>, constructed entirely from open-source data and learned system dynamics.</w:t>
      </w:r>
    </w:p>
    <w:p w14:paraId="3D7B1A34" w14:textId="77777777" w:rsidR="000345FF" w:rsidRPr="000345FF" w:rsidRDefault="000345FF" w:rsidP="00D20C6F">
      <w:pPr>
        <w:jc w:val="both"/>
      </w:pPr>
      <w:r w:rsidRPr="000345FF">
        <w:t>Its responsibilities include:</w:t>
      </w:r>
    </w:p>
    <w:p w14:paraId="36A90041" w14:textId="77777777" w:rsidR="000345FF" w:rsidRPr="000345FF" w:rsidRDefault="000345FF" w:rsidP="00D20C6F">
      <w:pPr>
        <w:numPr>
          <w:ilvl w:val="0"/>
          <w:numId w:val="5"/>
        </w:numPr>
        <w:jc w:val="both"/>
      </w:pPr>
      <w:r w:rsidRPr="000345FF">
        <w:t>Maintaining a real-time virtual state of the greenhouse</w:t>
      </w:r>
    </w:p>
    <w:p w14:paraId="0C7B7C68" w14:textId="77777777" w:rsidR="000345FF" w:rsidRPr="000345FF" w:rsidRDefault="000345FF" w:rsidP="00D20C6F">
      <w:pPr>
        <w:numPr>
          <w:ilvl w:val="0"/>
          <w:numId w:val="5"/>
        </w:numPr>
        <w:jc w:val="both"/>
      </w:pPr>
      <w:r w:rsidRPr="000345FF">
        <w:t>Simulating environmental evolution under different control strategies</w:t>
      </w:r>
    </w:p>
    <w:p w14:paraId="78605D7F" w14:textId="77777777" w:rsidR="000345FF" w:rsidRPr="000345FF" w:rsidRDefault="000345FF" w:rsidP="00D20C6F">
      <w:pPr>
        <w:numPr>
          <w:ilvl w:val="0"/>
          <w:numId w:val="5"/>
        </w:numPr>
        <w:jc w:val="both"/>
      </w:pPr>
      <w:r w:rsidRPr="000345FF">
        <w:t xml:space="preserve">Forecasting system </w:t>
      </w:r>
      <w:proofErr w:type="spellStart"/>
      <w:r w:rsidRPr="000345FF">
        <w:t>behavior</w:t>
      </w:r>
      <w:proofErr w:type="spellEnd"/>
      <w:r w:rsidRPr="000345FF">
        <w:t xml:space="preserve"> over short-term horizons</w:t>
      </w:r>
    </w:p>
    <w:p w14:paraId="23EFC86D" w14:textId="77777777" w:rsidR="000345FF" w:rsidRPr="000345FF" w:rsidRDefault="000345FF" w:rsidP="00D20C6F">
      <w:pPr>
        <w:numPr>
          <w:ilvl w:val="0"/>
          <w:numId w:val="5"/>
        </w:numPr>
        <w:jc w:val="both"/>
      </w:pPr>
      <w:r w:rsidRPr="000345FF">
        <w:t>Optimizing control actions using Model Predictive Control</w:t>
      </w:r>
    </w:p>
    <w:p w14:paraId="3ADAEC32" w14:textId="0CB67188" w:rsidR="000345FF" w:rsidRPr="000345FF" w:rsidRDefault="000345FF" w:rsidP="00D20C6F">
      <w:pPr>
        <w:jc w:val="both"/>
      </w:pPr>
      <w:r w:rsidRPr="000345FF">
        <w:t>The digital twin evaluates alternative control actions—such as adjusting ventilation, irrigation, lighting, humidity</w:t>
      </w:r>
      <w:r w:rsidR="007349D1">
        <w:t>, temperature</w:t>
      </w:r>
      <w:r w:rsidRPr="000345FF">
        <w:t xml:space="preserve">—and selects the optimal strategy based on predefined objectives and constraints. This module ensures that AI-generated recommendations are </w:t>
      </w:r>
      <w:r w:rsidRPr="000345FF">
        <w:rPr>
          <w:b/>
          <w:bCs/>
        </w:rPr>
        <w:t>validated through simulation</w:t>
      </w:r>
      <w:r w:rsidRPr="000345FF">
        <w:t xml:space="preserve"> before being considered for real-world deployment.</w:t>
      </w:r>
    </w:p>
    <w:p w14:paraId="0B3B4D9F" w14:textId="77777777" w:rsidR="00795753" w:rsidRDefault="00795753" w:rsidP="00D20C6F">
      <w:pPr>
        <w:jc w:val="both"/>
        <w:rPr>
          <w:b/>
          <w:bCs/>
        </w:rPr>
      </w:pPr>
    </w:p>
    <w:p w14:paraId="7BA4022B" w14:textId="332E1DD5" w:rsidR="000345FF" w:rsidRPr="000345FF" w:rsidRDefault="000345FF" w:rsidP="00D20C6F">
      <w:pPr>
        <w:jc w:val="both"/>
        <w:rPr>
          <w:b/>
          <w:bCs/>
        </w:rPr>
      </w:pPr>
      <w:r w:rsidRPr="000345FF">
        <w:rPr>
          <w:b/>
          <w:bCs/>
        </w:rPr>
        <w:t>C. System Outputs and Expected Outcomes</w:t>
      </w:r>
    </w:p>
    <w:p w14:paraId="67E2D75C" w14:textId="77777777" w:rsidR="000345FF" w:rsidRPr="000345FF" w:rsidRDefault="000345FF" w:rsidP="00D20C6F">
      <w:pPr>
        <w:jc w:val="both"/>
        <w:rPr>
          <w:b/>
          <w:bCs/>
        </w:rPr>
      </w:pPr>
      <w:r w:rsidRPr="000345FF">
        <w:rPr>
          <w:b/>
          <w:bCs/>
        </w:rPr>
        <w:t>1) Crop Health and Disease Risk Indicator</w:t>
      </w:r>
    </w:p>
    <w:p w14:paraId="5D94C1F0" w14:textId="282204A4" w:rsidR="000345FF" w:rsidRPr="000345FF" w:rsidRDefault="000345FF" w:rsidP="00D20C6F">
      <w:pPr>
        <w:jc w:val="both"/>
      </w:pPr>
      <w:r w:rsidRPr="000345FF">
        <w:t>This output provides a consolidated assessment of plant health and disease likelihood. It enables early detection of potential disease outbreaks and supports preventive greenhouse management strategies.</w:t>
      </w:r>
    </w:p>
    <w:p w14:paraId="2EE0FB5D" w14:textId="77777777" w:rsidR="000345FF" w:rsidRPr="000345FF" w:rsidRDefault="000345FF" w:rsidP="00D20C6F">
      <w:pPr>
        <w:jc w:val="both"/>
        <w:rPr>
          <w:b/>
          <w:bCs/>
        </w:rPr>
      </w:pPr>
      <w:r w:rsidRPr="000345FF">
        <w:rPr>
          <w:b/>
          <w:bCs/>
        </w:rPr>
        <w:t>2) Growth Stage and Harvest Readiness Signal</w:t>
      </w:r>
    </w:p>
    <w:p w14:paraId="1B593BE9" w14:textId="2011289E" w:rsidR="000345FF" w:rsidRPr="000345FF" w:rsidRDefault="000345FF" w:rsidP="00D20C6F">
      <w:pPr>
        <w:jc w:val="both"/>
      </w:pPr>
      <w:r w:rsidRPr="000345FF">
        <w:t xml:space="preserve">The growth stage and harvest readiness output </w:t>
      </w:r>
      <w:proofErr w:type="gramStart"/>
      <w:r w:rsidRPr="000345FF">
        <w:t>identifies</w:t>
      </w:r>
      <w:proofErr w:type="gramEnd"/>
      <w:r w:rsidRPr="000345FF">
        <w:t xml:space="preserve"> the current developmental phase of crops and signals optimal harvest windows. This is particularly beneficial for strawberry cultivation, where timing directly affects quality and market value.</w:t>
      </w:r>
    </w:p>
    <w:p w14:paraId="495C1DD4" w14:textId="77777777" w:rsidR="000345FF" w:rsidRPr="000345FF" w:rsidRDefault="000345FF" w:rsidP="00D20C6F">
      <w:pPr>
        <w:jc w:val="both"/>
        <w:rPr>
          <w:b/>
          <w:bCs/>
        </w:rPr>
      </w:pPr>
      <w:r w:rsidRPr="000345FF">
        <w:rPr>
          <w:b/>
          <w:bCs/>
        </w:rPr>
        <w:t>3) Expected System Outcomes</w:t>
      </w:r>
    </w:p>
    <w:p w14:paraId="6DF13317" w14:textId="77777777" w:rsidR="000345FF" w:rsidRPr="000345FF" w:rsidRDefault="000345FF" w:rsidP="00D20C6F">
      <w:pPr>
        <w:jc w:val="both"/>
      </w:pPr>
      <w:r w:rsidRPr="000345FF">
        <w:lastRenderedPageBreak/>
        <w:t>The expected outcomes of the proposed system include:</w:t>
      </w:r>
    </w:p>
    <w:p w14:paraId="5941FAD5" w14:textId="77777777" w:rsidR="000345FF" w:rsidRPr="000345FF" w:rsidRDefault="000345FF" w:rsidP="00D20C6F">
      <w:pPr>
        <w:numPr>
          <w:ilvl w:val="0"/>
          <w:numId w:val="6"/>
        </w:numPr>
        <w:jc w:val="both"/>
      </w:pPr>
      <w:r w:rsidRPr="000345FF">
        <w:t>Demonstration of a sensor-independent digital twin framework</w:t>
      </w:r>
    </w:p>
    <w:p w14:paraId="5340926C" w14:textId="1C040DC5" w:rsidR="000345FF" w:rsidRPr="000345FF" w:rsidRDefault="000345FF" w:rsidP="00D20C6F">
      <w:pPr>
        <w:numPr>
          <w:ilvl w:val="0"/>
          <w:numId w:val="6"/>
        </w:numPr>
        <w:jc w:val="both"/>
      </w:pPr>
      <w:r w:rsidRPr="000345FF">
        <w:t>Accurate disease risk and growth stage prediction using open data</w:t>
      </w:r>
    </w:p>
    <w:p w14:paraId="6F3E194A" w14:textId="77777777" w:rsidR="000345FF" w:rsidRPr="000345FF" w:rsidRDefault="000345FF" w:rsidP="00D20C6F">
      <w:pPr>
        <w:numPr>
          <w:ilvl w:val="0"/>
          <w:numId w:val="6"/>
        </w:numPr>
        <w:jc w:val="both"/>
      </w:pPr>
      <w:r w:rsidRPr="000345FF">
        <w:t>Improved resource optimization through predictive simulation</w:t>
      </w:r>
    </w:p>
    <w:p w14:paraId="07A3FE5F" w14:textId="732289B2" w:rsidR="00FB1D77" w:rsidRDefault="000345FF" w:rsidP="00D20C6F">
      <w:pPr>
        <w:numPr>
          <w:ilvl w:val="0"/>
          <w:numId w:val="6"/>
        </w:numPr>
        <w:jc w:val="both"/>
      </w:pPr>
      <w:r w:rsidRPr="000345FF">
        <w:t>Reduced dependence on physical infrastructure for experimentation</w:t>
      </w:r>
    </w:p>
    <w:sectPr w:rsidR="00FB1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2BD"/>
    <w:multiLevelType w:val="multilevel"/>
    <w:tmpl w:val="35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32C89"/>
    <w:multiLevelType w:val="multilevel"/>
    <w:tmpl w:val="9C7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8796B"/>
    <w:multiLevelType w:val="multilevel"/>
    <w:tmpl w:val="A36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16791"/>
    <w:multiLevelType w:val="multilevel"/>
    <w:tmpl w:val="CC5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87ED9"/>
    <w:multiLevelType w:val="multilevel"/>
    <w:tmpl w:val="3224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A0200"/>
    <w:multiLevelType w:val="multilevel"/>
    <w:tmpl w:val="E79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860623">
    <w:abstractNumId w:val="1"/>
  </w:num>
  <w:num w:numId="2" w16cid:durableId="1156801121">
    <w:abstractNumId w:val="5"/>
  </w:num>
  <w:num w:numId="3" w16cid:durableId="74982471">
    <w:abstractNumId w:val="4"/>
  </w:num>
  <w:num w:numId="4" w16cid:durableId="1973709365">
    <w:abstractNumId w:val="0"/>
  </w:num>
  <w:num w:numId="5" w16cid:durableId="896549399">
    <w:abstractNumId w:val="3"/>
  </w:num>
  <w:num w:numId="6" w16cid:durableId="1994748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66"/>
    <w:rsid w:val="00032651"/>
    <w:rsid w:val="000345FF"/>
    <w:rsid w:val="000B36FB"/>
    <w:rsid w:val="00117051"/>
    <w:rsid w:val="00147ECE"/>
    <w:rsid w:val="001E5466"/>
    <w:rsid w:val="00202BF6"/>
    <w:rsid w:val="003419D6"/>
    <w:rsid w:val="003D288C"/>
    <w:rsid w:val="003E3A7D"/>
    <w:rsid w:val="004A61A7"/>
    <w:rsid w:val="004D70A0"/>
    <w:rsid w:val="004E07BA"/>
    <w:rsid w:val="0056367D"/>
    <w:rsid w:val="00576D87"/>
    <w:rsid w:val="00677D4C"/>
    <w:rsid w:val="006D074D"/>
    <w:rsid w:val="006E0A30"/>
    <w:rsid w:val="007349D1"/>
    <w:rsid w:val="00795753"/>
    <w:rsid w:val="00830B0D"/>
    <w:rsid w:val="00842A40"/>
    <w:rsid w:val="008564DC"/>
    <w:rsid w:val="008F327D"/>
    <w:rsid w:val="009B582C"/>
    <w:rsid w:val="009C0680"/>
    <w:rsid w:val="009D07FB"/>
    <w:rsid w:val="00B62690"/>
    <w:rsid w:val="00B7640C"/>
    <w:rsid w:val="00C77F34"/>
    <w:rsid w:val="00D20C6F"/>
    <w:rsid w:val="00D44E03"/>
    <w:rsid w:val="00E65DD5"/>
    <w:rsid w:val="00E8241A"/>
    <w:rsid w:val="00F12A2B"/>
    <w:rsid w:val="00F645C2"/>
    <w:rsid w:val="00FB1D77"/>
    <w:rsid w:val="00FF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F723"/>
  <w15:chartTrackingRefBased/>
  <w15:docId w15:val="{97C2FFB2-9C9A-4C00-8841-27AD430D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66"/>
    <w:rPr>
      <w:rFonts w:eastAsiaTheme="majorEastAsia" w:cstheme="majorBidi"/>
      <w:color w:val="272727" w:themeColor="text1" w:themeTint="D8"/>
    </w:rPr>
  </w:style>
  <w:style w:type="paragraph" w:styleId="Title">
    <w:name w:val="Title"/>
    <w:basedOn w:val="Normal"/>
    <w:next w:val="Normal"/>
    <w:link w:val="TitleChar"/>
    <w:uiPriority w:val="10"/>
    <w:qFormat/>
    <w:rsid w:val="001E5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66"/>
    <w:pPr>
      <w:spacing w:before="160"/>
      <w:jc w:val="center"/>
    </w:pPr>
    <w:rPr>
      <w:i/>
      <w:iCs/>
      <w:color w:val="404040" w:themeColor="text1" w:themeTint="BF"/>
    </w:rPr>
  </w:style>
  <w:style w:type="character" w:customStyle="1" w:styleId="QuoteChar">
    <w:name w:val="Quote Char"/>
    <w:basedOn w:val="DefaultParagraphFont"/>
    <w:link w:val="Quote"/>
    <w:uiPriority w:val="29"/>
    <w:rsid w:val="001E5466"/>
    <w:rPr>
      <w:i/>
      <w:iCs/>
      <w:color w:val="404040" w:themeColor="text1" w:themeTint="BF"/>
    </w:rPr>
  </w:style>
  <w:style w:type="paragraph" w:styleId="ListParagraph">
    <w:name w:val="List Paragraph"/>
    <w:basedOn w:val="Normal"/>
    <w:uiPriority w:val="34"/>
    <w:qFormat/>
    <w:rsid w:val="001E5466"/>
    <w:pPr>
      <w:ind w:left="720"/>
      <w:contextualSpacing/>
    </w:pPr>
  </w:style>
  <w:style w:type="character" w:styleId="IntenseEmphasis">
    <w:name w:val="Intense Emphasis"/>
    <w:basedOn w:val="DefaultParagraphFont"/>
    <w:uiPriority w:val="21"/>
    <w:qFormat/>
    <w:rsid w:val="001E5466"/>
    <w:rPr>
      <w:i/>
      <w:iCs/>
      <w:color w:val="0F4761" w:themeColor="accent1" w:themeShade="BF"/>
    </w:rPr>
  </w:style>
  <w:style w:type="paragraph" w:styleId="IntenseQuote">
    <w:name w:val="Intense Quote"/>
    <w:basedOn w:val="Normal"/>
    <w:next w:val="Normal"/>
    <w:link w:val="IntenseQuoteChar"/>
    <w:uiPriority w:val="30"/>
    <w:qFormat/>
    <w:rsid w:val="001E5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466"/>
    <w:rPr>
      <w:i/>
      <w:iCs/>
      <w:color w:val="0F4761" w:themeColor="accent1" w:themeShade="BF"/>
    </w:rPr>
  </w:style>
  <w:style w:type="character" w:styleId="IntenseReference">
    <w:name w:val="Intense Reference"/>
    <w:basedOn w:val="DefaultParagraphFont"/>
    <w:uiPriority w:val="32"/>
    <w:qFormat/>
    <w:rsid w:val="001E5466"/>
    <w:rPr>
      <w:b/>
      <w:bCs/>
      <w:smallCaps/>
      <w:color w:val="0F4761" w:themeColor="accent1" w:themeShade="BF"/>
      <w:spacing w:val="5"/>
    </w:rPr>
  </w:style>
  <w:style w:type="table" w:styleId="GridTable1Light">
    <w:name w:val="Grid Table 1 Light"/>
    <w:basedOn w:val="TableNormal"/>
    <w:uiPriority w:val="46"/>
    <w:rsid w:val="00E824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4256">
      <w:bodyDiv w:val="1"/>
      <w:marLeft w:val="0"/>
      <w:marRight w:val="0"/>
      <w:marTop w:val="0"/>
      <w:marBottom w:val="0"/>
      <w:divBdr>
        <w:top w:val="none" w:sz="0" w:space="0" w:color="auto"/>
        <w:left w:val="none" w:sz="0" w:space="0" w:color="auto"/>
        <w:bottom w:val="none" w:sz="0" w:space="0" w:color="auto"/>
        <w:right w:val="none" w:sz="0" w:space="0" w:color="auto"/>
      </w:divBdr>
    </w:div>
    <w:div w:id="330183249">
      <w:bodyDiv w:val="1"/>
      <w:marLeft w:val="0"/>
      <w:marRight w:val="0"/>
      <w:marTop w:val="0"/>
      <w:marBottom w:val="0"/>
      <w:divBdr>
        <w:top w:val="none" w:sz="0" w:space="0" w:color="auto"/>
        <w:left w:val="none" w:sz="0" w:space="0" w:color="auto"/>
        <w:bottom w:val="none" w:sz="0" w:space="0" w:color="auto"/>
        <w:right w:val="none" w:sz="0" w:space="0" w:color="auto"/>
      </w:divBdr>
    </w:div>
    <w:div w:id="579798650">
      <w:bodyDiv w:val="1"/>
      <w:marLeft w:val="0"/>
      <w:marRight w:val="0"/>
      <w:marTop w:val="0"/>
      <w:marBottom w:val="0"/>
      <w:divBdr>
        <w:top w:val="none" w:sz="0" w:space="0" w:color="auto"/>
        <w:left w:val="none" w:sz="0" w:space="0" w:color="auto"/>
        <w:bottom w:val="none" w:sz="0" w:space="0" w:color="auto"/>
        <w:right w:val="none" w:sz="0" w:space="0" w:color="auto"/>
      </w:divBdr>
    </w:div>
    <w:div w:id="596912468">
      <w:bodyDiv w:val="1"/>
      <w:marLeft w:val="0"/>
      <w:marRight w:val="0"/>
      <w:marTop w:val="0"/>
      <w:marBottom w:val="0"/>
      <w:divBdr>
        <w:top w:val="none" w:sz="0" w:space="0" w:color="auto"/>
        <w:left w:val="none" w:sz="0" w:space="0" w:color="auto"/>
        <w:bottom w:val="none" w:sz="0" w:space="0" w:color="auto"/>
        <w:right w:val="none" w:sz="0" w:space="0" w:color="auto"/>
      </w:divBdr>
    </w:div>
    <w:div w:id="711536552">
      <w:bodyDiv w:val="1"/>
      <w:marLeft w:val="0"/>
      <w:marRight w:val="0"/>
      <w:marTop w:val="0"/>
      <w:marBottom w:val="0"/>
      <w:divBdr>
        <w:top w:val="none" w:sz="0" w:space="0" w:color="auto"/>
        <w:left w:val="none" w:sz="0" w:space="0" w:color="auto"/>
        <w:bottom w:val="none" w:sz="0" w:space="0" w:color="auto"/>
        <w:right w:val="none" w:sz="0" w:space="0" w:color="auto"/>
      </w:divBdr>
    </w:div>
    <w:div w:id="1091120305">
      <w:bodyDiv w:val="1"/>
      <w:marLeft w:val="0"/>
      <w:marRight w:val="0"/>
      <w:marTop w:val="0"/>
      <w:marBottom w:val="0"/>
      <w:divBdr>
        <w:top w:val="none" w:sz="0" w:space="0" w:color="auto"/>
        <w:left w:val="none" w:sz="0" w:space="0" w:color="auto"/>
        <w:bottom w:val="none" w:sz="0" w:space="0" w:color="auto"/>
        <w:right w:val="none" w:sz="0" w:space="0" w:color="auto"/>
      </w:divBdr>
    </w:div>
    <w:div w:id="1099568012">
      <w:bodyDiv w:val="1"/>
      <w:marLeft w:val="0"/>
      <w:marRight w:val="0"/>
      <w:marTop w:val="0"/>
      <w:marBottom w:val="0"/>
      <w:divBdr>
        <w:top w:val="none" w:sz="0" w:space="0" w:color="auto"/>
        <w:left w:val="none" w:sz="0" w:space="0" w:color="auto"/>
        <w:bottom w:val="none" w:sz="0" w:space="0" w:color="auto"/>
        <w:right w:val="none" w:sz="0" w:space="0" w:color="auto"/>
      </w:divBdr>
    </w:div>
    <w:div w:id="1507860080">
      <w:bodyDiv w:val="1"/>
      <w:marLeft w:val="0"/>
      <w:marRight w:val="0"/>
      <w:marTop w:val="0"/>
      <w:marBottom w:val="0"/>
      <w:divBdr>
        <w:top w:val="none" w:sz="0" w:space="0" w:color="auto"/>
        <w:left w:val="none" w:sz="0" w:space="0" w:color="auto"/>
        <w:bottom w:val="none" w:sz="0" w:space="0" w:color="auto"/>
        <w:right w:val="none" w:sz="0" w:space="0" w:color="auto"/>
      </w:divBdr>
    </w:div>
    <w:div w:id="1651131976">
      <w:bodyDiv w:val="1"/>
      <w:marLeft w:val="0"/>
      <w:marRight w:val="0"/>
      <w:marTop w:val="0"/>
      <w:marBottom w:val="0"/>
      <w:divBdr>
        <w:top w:val="none" w:sz="0" w:space="0" w:color="auto"/>
        <w:left w:val="none" w:sz="0" w:space="0" w:color="auto"/>
        <w:bottom w:val="none" w:sz="0" w:space="0" w:color="auto"/>
        <w:right w:val="none" w:sz="0" w:space="0" w:color="auto"/>
      </w:divBdr>
    </w:div>
    <w:div w:id="1849365394">
      <w:bodyDiv w:val="1"/>
      <w:marLeft w:val="0"/>
      <w:marRight w:val="0"/>
      <w:marTop w:val="0"/>
      <w:marBottom w:val="0"/>
      <w:divBdr>
        <w:top w:val="none" w:sz="0" w:space="0" w:color="auto"/>
        <w:left w:val="none" w:sz="0" w:space="0" w:color="auto"/>
        <w:bottom w:val="none" w:sz="0" w:space="0" w:color="auto"/>
        <w:right w:val="none" w:sz="0" w:space="0" w:color="auto"/>
      </w:divBdr>
    </w:div>
    <w:div w:id="1970354529">
      <w:bodyDiv w:val="1"/>
      <w:marLeft w:val="0"/>
      <w:marRight w:val="0"/>
      <w:marTop w:val="0"/>
      <w:marBottom w:val="0"/>
      <w:divBdr>
        <w:top w:val="none" w:sz="0" w:space="0" w:color="auto"/>
        <w:left w:val="none" w:sz="0" w:space="0" w:color="auto"/>
        <w:bottom w:val="none" w:sz="0" w:space="0" w:color="auto"/>
        <w:right w:val="none" w:sz="0" w:space="0" w:color="auto"/>
      </w:divBdr>
    </w:div>
    <w:div w:id="202158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11</Pages>
  <Words>3317</Words>
  <Characters>18910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CHRISTOPHER</dc:creator>
  <cp:keywords/>
  <dc:description/>
  <cp:lastModifiedBy>ARJUN CHRISTOPHER</cp:lastModifiedBy>
  <cp:revision>35</cp:revision>
  <dcterms:created xsi:type="dcterms:W3CDTF">2026-01-27T13:32:00Z</dcterms:created>
  <dcterms:modified xsi:type="dcterms:W3CDTF">2026-01-27T17:17:00Z</dcterms:modified>
</cp:coreProperties>
</file>