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3AB53" w14:textId="77777777" w:rsidR="001175FE" w:rsidRPr="001175FE" w:rsidRDefault="001175FE" w:rsidP="00240F07">
      <w:pPr>
        <w:jc w:val="both"/>
      </w:pPr>
      <w:r w:rsidRPr="001175FE">
        <w:rPr>
          <w:b/>
          <w:bCs/>
        </w:rPr>
        <w:t>ABSTRACT</w:t>
      </w:r>
    </w:p>
    <w:p w14:paraId="6A30834A" w14:textId="77777777" w:rsidR="001175FE" w:rsidRPr="001175FE" w:rsidRDefault="001175FE" w:rsidP="00240F07">
      <w:pPr>
        <w:jc w:val="both"/>
      </w:pPr>
      <w:r w:rsidRPr="001175FE">
        <w:t xml:space="preserve">Greenhouse production of high-value crops such as tomatoes and strawberries </w:t>
      </w:r>
      <w:proofErr w:type="gramStart"/>
      <w:r w:rsidRPr="001175FE">
        <w:t>necessitates</w:t>
      </w:r>
      <w:proofErr w:type="gramEnd"/>
      <w:r w:rsidRPr="001175FE">
        <w:t xml:space="preserve"> careful environmental control in order to achieve high yield, quality, and early disease prevention. AgriTwin-GH, a software-based AI-powered digital twin framework for smart greenhouse management, is presented in this project. The Greenhouse Plant Growth Metrics Dataset, Smart Agriculture Dataset, Plant Village Dataset, Tomato Plant Stages Dataset, and Ripe Strawberries Detection Dataset are just a few of the tabular time-series greenhouse datasets and plant image datasets that the system incorporates. Convolutional Neural Networks (CNN) use leaf pictures to detect plant diseases, whereas Recurrent Neural Networks (RNN) estimate disease development and future danger. In order to calculate indicators like vapor pressure deficit and disease risk indices, environmental and crop factors including temperature, humidity, CO₂ concentration, light intensity, soil moisture, pH, and nutrient levels are processed. Short-term forecasting models forecast greenhouse conditions, which are assessed using a digital twin and a Model Predictive Control (MPC) technique to generate optimal and safety-validated control actions. The system </w:t>
      </w:r>
      <w:proofErr w:type="gramStart"/>
      <w:r w:rsidRPr="001175FE">
        <w:t>generate</w:t>
      </w:r>
      <w:proofErr w:type="gramEnd"/>
      <w:r w:rsidRPr="001175FE">
        <w:t xml:space="preserve"> disease-aware predictions and simple nonverbal operational alerts, allowing for efficient, scalable, and user-friendly smart greenhouse management. By enabling early disease risk awareness and optimized resource utilization, the proposed system significantly improves crop productivity while reducing water, energy, and fertilizer waste. The AgriTwin-GH framework offers a scalable and cost-effective decision-support solution for precision greenhouse horticulture, particularly suitable for labor-intensive and resource-constrained farming environments.</w:t>
      </w:r>
    </w:p>
    <w:p w14:paraId="62299C8D" w14:textId="77777777" w:rsidR="001175FE" w:rsidRPr="001175FE" w:rsidRDefault="001175FE" w:rsidP="00240F07">
      <w:pPr>
        <w:jc w:val="both"/>
      </w:pPr>
      <w:r w:rsidRPr="001175FE">
        <w:rPr>
          <w:b/>
          <w:bCs/>
        </w:rPr>
        <w:t>Keywords</w:t>
      </w:r>
    </w:p>
    <w:p w14:paraId="7167B1EC" w14:textId="77777777" w:rsidR="001175FE" w:rsidRPr="001175FE" w:rsidRDefault="001175FE" w:rsidP="00240F07">
      <w:pPr>
        <w:jc w:val="both"/>
      </w:pPr>
      <w:r w:rsidRPr="001175FE">
        <w:t>Digital Twin, Smart Greenhouse, Time-Series Dataset, Plant Image Dataset, CNN, RNN, Model Predictive Control, Disease Prediction, Precision Agriculture</w:t>
      </w:r>
    </w:p>
    <w:p w14:paraId="3221AFBC" w14:textId="77777777" w:rsidR="001175FE" w:rsidRPr="001175FE" w:rsidRDefault="001175FE" w:rsidP="00240F07">
      <w:pPr>
        <w:jc w:val="both"/>
      </w:pPr>
    </w:p>
    <w:p w14:paraId="515F82A8" w14:textId="77777777" w:rsidR="001175FE" w:rsidRPr="001175FE" w:rsidRDefault="001175FE" w:rsidP="00240F07">
      <w:pPr>
        <w:jc w:val="both"/>
      </w:pPr>
      <w:r w:rsidRPr="001175FE">
        <w:rPr>
          <w:b/>
          <w:bCs/>
        </w:rPr>
        <w:t>INTRODUCTION</w:t>
      </w:r>
    </w:p>
    <w:p w14:paraId="765A7583" w14:textId="77777777" w:rsidR="00A31514" w:rsidRPr="00A31514" w:rsidRDefault="00A31514" w:rsidP="00A31514">
      <w:pPr>
        <w:jc w:val="both"/>
      </w:pPr>
      <w:r w:rsidRPr="00A31514">
        <w:t>Greenhouse cultivation has become an essential component of modern agriculture due to rising food demand, climate variability, and the need for consistent, high-quality crop production throughout the year. Unlike open-field farming, greenhouse systems provide controlled environments where key climatic parameters such as temperature, humidity, light intensity, and carbon dioxide concentration are regulated to optimize plant growth. This approach is particularly important for high-value horticultural crops like tomato and strawberry, which are highly sensitive to environmental stress and disease pressure. As agriculture shifts toward sustainable and resilient production systems, greenhouse-based cultivation plays a vital role in improving productivity while minimizing environmental impact.</w:t>
      </w:r>
    </w:p>
    <w:p w14:paraId="075B0AAB" w14:textId="77777777" w:rsidR="00A31514" w:rsidRPr="00A31514" w:rsidRDefault="00A31514" w:rsidP="00A31514">
      <w:pPr>
        <w:jc w:val="both"/>
      </w:pPr>
      <w:r w:rsidRPr="00A31514">
        <w:lastRenderedPageBreak/>
        <w:t>The success of greenhouse cultivation depends on precise environmental regulation and timely decision-making. Tomato and strawberry crops require narrow optimal ranges of temperature, relative humidity, soil moisture, nutrient concentration, and photoperiod that vary across growth stages. Even small deviations can reduce yield, compromise fruit quality, or increase susceptibility to diseases such as powdery mildew, leaf mold, and leaf scorch. Environmental stress also affects fruit uniformity, firmness, and shelf life—key factors in commercial markets. Therefore, maintaining stable greenhouse conditions is both an agronomic and economic necessity.</w:t>
      </w:r>
    </w:p>
    <w:p w14:paraId="4AB50123" w14:textId="77777777" w:rsidR="00A31514" w:rsidRPr="00A31514" w:rsidRDefault="00A31514" w:rsidP="00A31514">
      <w:pPr>
        <w:jc w:val="both"/>
      </w:pPr>
      <w:r w:rsidRPr="00A31514">
        <w:t>Traditional greenhouse management relies largely on manual observation, periodic sensor inspection, and operator experience. Environmental monitoring is often conducted at discrete intervals, with corrective actions taken only after visible symptoms appear. Such reactive approaches delay intervention and may lead to excessive use of water, energy, fertilizers, and chemicals. Decision-making quality varies depending on operator expertise and may suffer from fatigue or inconsistency. Furthermore, historical data collected in many greenhouses are underutilized, limiting the system’s ability to learn from past patterns related to seasonal variability, disease recurrence, and plant response trends.</w:t>
      </w:r>
    </w:p>
    <w:p w14:paraId="1CF96C57" w14:textId="77777777" w:rsidR="00A31514" w:rsidRPr="00A31514" w:rsidRDefault="00A31514" w:rsidP="00A31514">
      <w:pPr>
        <w:jc w:val="both"/>
      </w:pPr>
      <w:r w:rsidRPr="00A31514">
        <w:t>Modern greenhouse systems are complex, comprising interconnected subsystems such as climate control, irrigation, ventilation, lighting, and nutrient management. Actions in one subsystem often affect others—for example, ventilation to reduce humidity may unintentionally lower temperature or carbon dioxide levels. These interdependencies make static or rule-based control strategies insufficient. Additionally, greenhouse operations face uncertainty from external weather disturbances, sensor noise, and biological variability, requiring adaptive and dynamic decision-making approaches.</w:t>
      </w:r>
    </w:p>
    <w:p w14:paraId="27BE0A2B" w14:textId="77777777" w:rsidR="00A31514" w:rsidRPr="00A31514" w:rsidRDefault="00A31514" w:rsidP="00A31514">
      <w:pPr>
        <w:jc w:val="both"/>
      </w:pPr>
      <w:r w:rsidRPr="00A31514">
        <w:t>Recent advances in data-driven analysis enable improved interpretation of greenhouse data by identifying patterns in plant growth, disease development, and resource usage. These methods support early detection of unfavorable trends and allow preventive interventions before visible damage occurs. Preventive adjustments, such as minor airflow or irrigation changes, are often more efficient and less disruptive than corrective measures. This shift from reactive to predictive management enhances yield stability and reduces operational costs.</w:t>
      </w:r>
    </w:p>
    <w:p w14:paraId="4098CED1" w14:textId="77777777" w:rsidR="00A31514" w:rsidRPr="00A31514" w:rsidRDefault="00A31514" w:rsidP="00A31514">
      <w:pPr>
        <w:jc w:val="both"/>
      </w:pPr>
      <w:r w:rsidRPr="00A31514">
        <w:t>The use of virtual representations of physical systems further strengthens greenhouse management. By creating a digital model that mirrors real greenhouse behavior, environmental changes and control decisions can be simulated before real-world implementation. This improves reliability, clarifies cause-and-effect relationships, and enhances trust in intelligent systems. Predictive decision-making enables proactive interventions, particularly during sensitive growth stages where short delays can significantly impact yield and quality.</w:t>
      </w:r>
    </w:p>
    <w:p w14:paraId="4142EE6F" w14:textId="77777777" w:rsidR="00A31514" w:rsidRPr="00A31514" w:rsidRDefault="00A31514" w:rsidP="00A31514">
      <w:pPr>
        <w:jc w:val="both"/>
      </w:pPr>
      <w:r w:rsidRPr="00A31514">
        <w:lastRenderedPageBreak/>
        <w:t>Human interaction is also critical. In many agricultural settings, workers may be illiterate or semi-literate, making complex dashboards difficult to interpret. Therefore, greenhouse management systems must prioritize simple, non-verbal communication through intuitive visual or auditory cues to ensure safe and effective operation.</w:t>
      </w:r>
    </w:p>
    <w:p w14:paraId="3FC1EF3E" w14:textId="77777777" w:rsidR="00A31514" w:rsidRPr="00A31514" w:rsidRDefault="00A31514" w:rsidP="00A31514">
      <w:pPr>
        <w:jc w:val="both"/>
      </w:pPr>
      <w:r w:rsidRPr="00A31514">
        <w:t>Scalability and adaptability are equally important, as greenhouse facilities vary in size, crop type, and technological capability. A flexible, software-based framework using real agricultural datasets provides a cost-effective and scalable solution.</w:t>
      </w:r>
    </w:p>
    <w:p w14:paraId="0E03EBFA" w14:textId="77777777" w:rsidR="00A31514" w:rsidRPr="00A31514" w:rsidRDefault="00A31514" w:rsidP="00A31514">
      <w:pPr>
        <w:jc w:val="both"/>
      </w:pPr>
      <w:r w:rsidRPr="00A31514">
        <w:t xml:space="preserve">Motivated by these challenges, this work proposes </w:t>
      </w:r>
      <w:r w:rsidRPr="00A31514">
        <w:rPr>
          <w:b/>
          <w:bCs/>
        </w:rPr>
        <w:t>AgriTwin-GH</w:t>
      </w:r>
      <w:r w:rsidRPr="00A31514">
        <w:t>, a software-based intelligent greenhouse management framework focused on tomato and strawberry cultivation. The approach integrates data-driven analysis, virtual system modeling, and predictive decision support to enable early risk detection, efficient resource use, and worker-friendly interaction, ultimately improving yield, reducing waste, and enhancing operational safety.</w:t>
      </w:r>
    </w:p>
    <w:p w14:paraId="70781CF2" w14:textId="6B08861F" w:rsidR="00F337C7" w:rsidRPr="00F337C7" w:rsidRDefault="00F337C7" w:rsidP="00F337C7">
      <w:pPr>
        <w:jc w:val="both"/>
      </w:pPr>
    </w:p>
    <w:p w14:paraId="4AFB6CBF" w14:textId="77777777" w:rsidR="00F337C7" w:rsidRPr="00F337C7" w:rsidRDefault="00F337C7" w:rsidP="00F337C7">
      <w:pPr>
        <w:jc w:val="both"/>
        <w:rPr>
          <w:b/>
          <w:bCs/>
        </w:rPr>
      </w:pPr>
      <w:r w:rsidRPr="00F337C7">
        <w:rPr>
          <w:b/>
          <w:bCs/>
        </w:rPr>
        <w:t>LITERATURE SURVEY</w:t>
      </w:r>
    </w:p>
    <w:p w14:paraId="2A87A68B" w14:textId="77777777" w:rsidR="00F337C7" w:rsidRPr="00F337C7" w:rsidRDefault="00F337C7" w:rsidP="00F337C7">
      <w:pPr>
        <w:jc w:val="both"/>
        <w:rPr>
          <w:b/>
          <w:bCs/>
        </w:rPr>
      </w:pPr>
      <w:r w:rsidRPr="00F337C7">
        <w:rPr>
          <w:b/>
          <w:bCs/>
        </w:rPr>
        <w:t>Advances in Intelligent and Autonomous Greenhouse Systems</w:t>
      </w:r>
    </w:p>
    <w:p w14:paraId="310CDD17" w14:textId="77777777" w:rsidR="00F337C7" w:rsidRPr="00F337C7" w:rsidRDefault="00F337C7" w:rsidP="00F337C7">
      <w:pPr>
        <w:jc w:val="both"/>
      </w:pPr>
      <w:r w:rsidRPr="00F337C7">
        <w:t>Rawan Al-Najadi et al. provide a comprehensive review of recent developments in intelligent and autonomous greenhouse systems, focusing on the integration of Internet of Things (IoT), Artificial Intelligence (AI), Machine Learning (ML), Deep Learning (DL), and robotics. The study addresses challenges such as climate variability, shrinking arable land, and increasing food demand, highlighting the importance of controlled environment agriculture.</w:t>
      </w:r>
    </w:p>
    <w:p w14:paraId="558A96D8" w14:textId="77777777" w:rsidR="00F337C7" w:rsidRPr="00F337C7" w:rsidRDefault="00F337C7" w:rsidP="00F337C7">
      <w:pPr>
        <w:jc w:val="both"/>
      </w:pPr>
      <w:r w:rsidRPr="00F337C7">
        <w:t>The review analyzes over 100 research articles published between 2020 and 2025, categorizing them into applications including climate control, disease detection, yield prediction, and robotic automation. The findings show that IoT-enabled sensor networks combined with AI-based decision-making improve energy efficiency, water conservation, and crop productivity. However, limitations such as sensor fusion complexity, limited datasets, computational overhead, and lack of real-world deployment are identified, emphasizing the need for fully integrated autonomous greenhouse frameworks rather than isolated implementations.</w:t>
      </w:r>
    </w:p>
    <w:p w14:paraId="40C9ADFE" w14:textId="410E5364" w:rsidR="00F337C7" w:rsidRPr="00F337C7" w:rsidRDefault="00F337C7" w:rsidP="00F337C7">
      <w:pPr>
        <w:jc w:val="both"/>
      </w:pPr>
    </w:p>
    <w:p w14:paraId="1424B4BB" w14:textId="77777777" w:rsidR="00F337C7" w:rsidRPr="00F337C7" w:rsidRDefault="00F337C7" w:rsidP="00F337C7">
      <w:pPr>
        <w:jc w:val="both"/>
        <w:rPr>
          <w:b/>
          <w:bCs/>
        </w:rPr>
      </w:pPr>
      <w:r w:rsidRPr="00F337C7">
        <w:rPr>
          <w:b/>
          <w:bCs/>
        </w:rPr>
        <w:t>Greenhouse Industry 4.0 – Digital Twin Technology for Commercial Greenhouses</w:t>
      </w:r>
    </w:p>
    <w:p w14:paraId="5F361A09" w14:textId="77777777" w:rsidR="00F337C7" w:rsidRPr="00F337C7" w:rsidRDefault="00F337C7" w:rsidP="00F337C7">
      <w:pPr>
        <w:jc w:val="both"/>
      </w:pPr>
      <w:r w:rsidRPr="00F337C7">
        <w:t xml:space="preserve">Daniel Anthony Howard et al. propose an Industry 4.0–based Digital Twin framework for commercial greenhouse systems. The approach digitally replicates physical greenhouse operations to enhance monitoring, simulation, and optimization through IoT, cloud </w:t>
      </w:r>
      <w:r w:rsidRPr="00F337C7">
        <w:lastRenderedPageBreak/>
        <w:t>computing, big data analytics, and AI. This virtual representation enables data-driven decision-making without disrupting real-world operations.</w:t>
      </w:r>
    </w:p>
    <w:p w14:paraId="3991BCA3" w14:textId="77777777" w:rsidR="00F337C7" w:rsidRPr="00F337C7" w:rsidRDefault="00F337C7" w:rsidP="00F337C7">
      <w:pPr>
        <w:jc w:val="both"/>
      </w:pPr>
      <w:r w:rsidRPr="00F337C7">
        <w:t>The framework integrates multiple specialized Digital Twins modeling climate, energy consumption, production scheduling, and labor management. Simulation results demonstrate co-optimization of energy usage, productivity, and operational cost while maintaining crop quality. The study also highlights the potential for smart grid integration, establishing a scalable foundation for large-scale digital greenhouse management.</w:t>
      </w:r>
    </w:p>
    <w:p w14:paraId="26FE8C3D" w14:textId="5DA1EE2E" w:rsidR="00F337C7" w:rsidRPr="00F337C7" w:rsidRDefault="00F337C7" w:rsidP="00F337C7">
      <w:pPr>
        <w:jc w:val="both"/>
      </w:pPr>
    </w:p>
    <w:p w14:paraId="0E56BD88" w14:textId="77777777" w:rsidR="00F337C7" w:rsidRPr="00F337C7" w:rsidRDefault="00F337C7" w:rsidP="00F337C7">
      <w:pPr>
        <w:jc w:val="both"/>
        <w:rPr>
          <w:b/>
          <w:bCs/>
        </w:rPr>
      </w:pPr>
      <w:r w:rsidRPr="00F337C7">
        <w:rPr>
          <w:b/>
          <w:bCs/>
        </w:rPr>
        <w:t>Integrating Digital Twins and MPC for Sustainable Greenhouse Management</w:t>
      </w:r>
    </w:p>
    <w:p w14:paraId="30B1B4D1" w14:textId="77777777" w:rsidR="00F337C7" w:rsidRPr="00F337C7" w:rsidRDefault="00F337C7" w:rsidP="00F337C7">
      <w:pPr>
        <w:jc w:val="both"/>
      </w:pPr>
      <w:r w:rsidRPr="00F337C7">
        <w:t>Abdellatif Soussi et al. introduce a greenhouse management system combining Digital Twin technology with Model Predictive Control (MPC) to achieve adaptive and sustainable climate regulation. The study addresses the limitations of rule-based control strategies by incorporating predictive modeling through a virtual greenhouse representation.</w:t>
      </w:r>
    </w:p>
    <w:p w14:paraId="2C72886C" w14:textId="77777777" w:rsidR="00F337C7" w:rsidRPr="00F337C7" w:rsidRDefault="00F337C7" w:rsidP="00F337C7">
      <w:pPr>
        <w:jc w:val="both"/>
      </w:pPr>
      <w:r w:rsidRPr="00F337C7">
        <w:t>A state-space model captures greenhouse thermal dynamics, and MPC regulates parameters such as temperature, ventilation, shading, and heating. Validation using multi-season meteorological data demonstrates stable climate maintenance, improved energy efficiency, and enhanced robustness. The results confirm that Digital Twin–based predictive control outperforms traditional static approaches.</w:t>
      </w:r>
    </w:p>
    <w:p w14:paraId="40E8708D" w14:textId="283B4629" w:rsidR="00F337C7" w:rsidRPr="00F337C7" w:rsidRDefault="00F337C7" w:rsidP="00F337C7">
      <w:pPr>
        <w:jc w:val="both"/>
      </w:pPr>
    </w:p>
    <w:p w14:paraId="3032987B" w14:textId="77777777" w:rsidR="00F337C7" w:rsidRPr="00F337C7" w:rsidRDefault="00F337C7" w:rsidP="00F337C7">
      <w:pPr>
        <w:jc w:val="both"/>
        <w:rPr>
          <w:b/>
          <w:bCs/>
        </w:rPr>
      </w:pPr>
      <w:r w:rsidRPr="00F337C7">
        <w:rPr>
          <w:b/>
          <w:bCs/>
        </w:rPr>
        <w:t>Leaf Disease Detection and Classification Using Machine Learning</w:t>
      </w:r>
    </w:p>
    <w:p w14:paraId="2010768F" w14:textId="77777777" w:rsidR="00F337C7" w:rsidRPr="00F337C7" w:rsidRDefault="00F337C7" w:rsidP="00F337C7">
      <w:pPr>
        <w:jc w:val="both"/>
      </w:pPr>
      <w:r w:rsidRPr="00F337C7">
        <w:t>B. V. Nikitha et al. explore machine learning techniques for early detection and classification of plant leaf diseases, aiming to reduce crop loss through automated diagnosis. The study evaluates Support Vector Machine (SVM), K-Nearest Neighbor (KNN), and Convolutional Neural Network (CNN) models using a soybean leaf disease dataset.</w:t>
      </w:r>
    </w:p>
    <w:p w14:paraId="32A1178E" w14:textId="77777777" w:rsidR="00F337C7" w:rsidRPr="00F337C7" w:rsidRDefault="00F337C7" w:rsidP="00F337C7">
      <w:pPr>
        <w:jc w:val="both"/>
      </w:pPr>
      <w:r w:rsidRPr="00F337C7">
        <w:t>After image preprocessing and feature extraction, experimental results show that CNN achieves the highest accuracy (96%), outperforming SVM and KNN. While demonstrating the effectiveness of deep learning for disease detection, the study highlights challenges related to computational demands and the requirement for large labeled datasets.</w:t>
      </w:r>
    </w:p>
    <w:p w14:paraId="79C02B0B" w14:textId="77777777" w:rsidR="00DD1FF7" w:rsidRPr="00F337C7" w:rsidRDefault="00DD1FF7" w:rsidP="00240F07">
      <w:pPr>
        <w:jc w:val="both"/>
      </w:pPr>
    </w:p>
    <w:p w14:paraId="0276FD57" w14:textId="105CC697" w:rsidR="00634D83" w:rsidRDefault="00634D83" w:rsidP="00240F07">
      <w:pPr>
        <w:jc w:val="both"/>
        <w:rPr>
          <w:b/>
          <w:bCs/>
        </w:rPr>
      </w:pPr>
      <w:r>
        <w:rPr>
          <w:b/>
          <w:bCs/>
        </w:rPr>
        <w:t>EXISTING SYSTEM</w:t>
      </w:r>
    </w:p>
    <w:p w14:paraId="24D409B0" w14:textId="77777777" w:rsidR="00C60AFC" w:rsidRDefault="00C60AFC" w:rsidP="00C60AFC">
      <w:pPr>
        <w:jc w:val="both"/>
      </w:pPr>
      <w:r w:rsidRPr="00C60AFC">
        <w:t xml:space="preserve">The existing system taken as a baseline combines an AI-based agriculture support module with a lightweight “digital twin–style” greenhouse visualization. Rather than implementing a full control-oriented twin, it primarily demonstrates how key greenhouse </w:t>
      </w:r>
      <w:r w:rsidRPr="00C60AFC">
        <w:lastRenderedPageBreak/>
        <w:t>readings can be displayed live, while AI models provide advisory outputs (disease identification from images and crop recommendation from tabular inputs). Fig. 1 illustrates the greenhouse simulation dashboard where a small set of core parameters—temperature, soil moisture, and light intensity—are continuously shown as the main state indicators. The same screen exposes an actuator status panel for common greenhouse devices (fan, pump, and light), presented as ON/OFF states, enabling users to understand whether ventilation, irrigation, or lighting is active at that moment. The interface also includes a simplified crop growth indicator as a single progress bar with a harvest marker, representing crop development in an abstract manner rather than detailed stage-wise growth modeling. In addition, the dashboard tracks basic resource consumption metrics such as water used and energy used, which helps in summarizing operational usage, but does not explicitly link these values to optimization objectives or constraint-based decisions.</w:t>
      </w:r>
    </w:p>
    <w:p w14:paraId="589FE14F" w14:textId="672D3B45" w:rsidR="00C60AFC" w:rsidRPr="00C60AFC" w:rsidRDefault="00C60AFC" w:rsidP="00C60AFC">
      <w:pPr>
        <w:jc w:val="both"/>
      </w:pPr>
      <w:r w:rsidRPr="00C60AFC">
        <w:rPr>
          <w:noProof/>
        </w:rPr>
        <w:drawing>
          <wp:inline distT="0" distB="0" distL="0" distR="0" wp14:anchorId="08C715E7" wp14:editId="011A9F64">
            <wp:extent cx="5731510" cy="25323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32380"/>
                    </a:xfrm>
                    <a:prstGeom prst="rect">
                      <a:avLst/>
                    </a:prstGeom>
                    <a:noFill/>
                    <a:ln>
                      <a:noFill/>
                    </a:ln>
                  </pic:spPr>
                </pic:pic>
              </a:graphicData>
            </a:graphic>
          </wp:inline>
        </w:drawing>
      </w:r>
    </w:p>
    <w:p w14:paraId="5F238A6A" w14:textId="74401FBE" w:rsidR="00C60AFC" w:rsidRPr="00C60AFC" w:rsidRDefault="00F6692D" w:rsidP="00F6692D">
      <w:pPr>
        <w:jc w:val="center"/>
      </w:pPr>
      <w:r w:rsidRPr="00F6692D">
        <w:t>Fig. 1. Real-Time Greenhouse Simulation Dashboard</w:t>
      </w:r>
    </w:p>
    <w:p w14:paraId="7584618D" w14:textId="77777777" w:rsidR="00C60AFC" w:rsidRDefault="00C60AFC" w:rsidP="00C60AFC">
      <w:pPr>
        <w:jc w:val="both"/>
      </w:pPr>
      <w:r w:rsidRPr="00C60AFC">
        <w:t>To support the idea of continuously changing greenhouse conditions, Fig. 2 illustrates a live time-series visualization of temperature and humidity. The plotted curves show that the system can generate or stream evolving environmental values over time, giving users a quick view of fluctuations and variability. This is important as greenhouse management depends on understanding trends rather than single readings; however, the visualization remains descriptive and does not indicate the use of forecasting, what-if simulation, or predictive control. In particular, although humidity is displayed as a key factor, the system presentation does not show derived greenhouse decision metrics such as vapor pressure deficit, dew point, or cumulative high-humidity duration, which are often required for disease-risk-aware management in controlled environments.</w:t>
      </w:r>
    </w:p>
    <w:p w14:paraId="075F6398" w14:textId="717C81BA" w:rsidR="00C60AFC" w:rsidRDefault="00C60AFC" w:rsidP="00F6692D">
      <w:pPr>
        <w:jc w:val="center"/>
      </w:pPr>
      <w:r>
        <w:rPr>
          <w:noProof/>
        </w:rPr>
        <w:lastRenderedPageBreak/>
        <w:drawing>
          <wp:inline distT="0" distB="0" distL="0" distR="0" wp14:anchorId="5089AFA9" wp14:editId="4D24C03C">
            <wp:extent cx="5165725" cy="3740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5725" cy="3740785"/>
                    </a:xfrm>
                    <a:prstGeom prst="rect">
                      <a:avLst/>
                    </a:prstGeom>
                    <a:noFill/>
                    <a:ln>
                      <a:noFill/>
                    </a:ln>
                  </pic:spPr>
                </pic:pic>
              </a:graphicData>
            </a:graphic>
          </wp:inline>
        </w:drawing>
      </w:r>
    </w:p>
    <w:p w14:paraId="5BFE030E" w14:textId="3BF6F188" w:rsidR="00D64999" w:rsidRPr="00C60AFC" w:rsidRDefault="00D64999" w:rsidP="00F6692D">
      <w:pPr>
        <w:jc w:val="center"/>
      </w:pPr>
      <w:r w:rsidRPr="00D64999">
        <w:t>Fig. 2. Live Time-Series Visualization of Greenhouse Temperature and Humidity Dynamics</w:t>
      </w:r>
    </w:p>
    <w:p w14:paraId="729F5C66" w14:textId="77777777" w:rsidR="00C60AFC" w:rsidRPr="00C60AFC" w:rsidRDefault="00C60AFC" w:rsidP="00C60AFC">
      <w:pPr>
        <w:jc w:val="both"/>
      </w:pPr>
      <w:r w:rsidRPr="00C60AFC">
        <w:t>Alongside this visualization layer, the existing system incorporates an image-driven disease identification model and a crop recommendation module. The disease component is implemented using a CNN-based classifier that takes a leaf image, applies standard preprocessing (fixed resizing and normalization), and outputs the most probable disease label with a confidence score. The crop recommendation component uses classical machine learning on soil and environmental inputs to recommend a suitable crop label. In the shown baseline, these AI modules act as decision-support utilities that can be integrated into a web interface, but they are not tightly coupled to the greenhouse simulation visuals in a way that closes the loop between environment sensing, risk prediction, and automatic actuation.</w:t>
      </w:r>
    </w:p>
    <w:p w14:paraId="66A8B0C2" w14:textId="77777777" w:rsidR="00C60AFC" w:rsidRPr="00C60AFC" w:rsidRDefault="00C60AFC" w:rsidP="00C60AFC">
      <w:pPr>
        <w:jc w:val="both"/>
      </w:pPr>
      <w:r w:rsidRPr="00C60AFC">
        <w:t xml:space="preserve">Overall, this existing system is best characterized as a dashboard-centric greenhouse monitoring and demonstration setup augmented with AI advisory models. It provides (i) visibility into a few environmental parameters and actuator states (Fig. 1), and (ii) simple trend visualization for key climate variables (Fig. 2), which together establish an initial digital representation of greenhouse conditions. At the same time, it does not reflect a full digital twin that synchronizes a greenhouse model with continuous multi-sensor data, performs what-if validation of actions, or optimizes actuator commands under crop-stage and disease-risk constraints. These characteristics make it a suitable baseline for comparison with a greenhouse-focused digital twin framework that extends </w:t>
      </w:r>
      <w:r w:rsidRPr="00C60AFC">
        <w:lastRenderedPageBreak/>
        <w:t>beyond visualization into prediction, simulation-based validation, and resource-aware control.</w:t>
      </w:r>
    </w:p>
    <w:p w14:paraId="45C2F02E" w14:textId="77777777" w:rsidR="00634D83" w:rsidRPr="00634D83" w:rsidRDefault="00634D83" w:rsidP="00240F07">
      <w:pPr>
        <w:jc w:val="both"/>
      </w:pPr>
    </w:p>
    <w:p w14:paraId="29F33888" w14:textId="1F14F7E6" w:rsidR="00DD1FF7" w:rsidRDefault="00DD1FF7" w:rsidP="00240F07">
      <w:pPr>
        <w:jc w:val="both"/>
        <w:rPr>
          <w:b/>
          <w:bCs/>
        </w:rPr>
      </w:pPr>
      <w:r w:rsidRPr="00DD1FF7">
        <w:rPr>
          <w:b/>
          <w:bCs/>
        </w:rPr>
        <w:t>METHODOLOGY</w:t>
      </w:r>
    </w:p>
    <w:p w14:paraId="0D9C2523" w14:textId="6489DB04" w:rsidR="00281BBA" w:rsidRPr="00281BBA" w:rsidRDefault="00281BBA" w:rsidP="00281BBA">
      <w:pPr>
        <w:jc w:val="both"/>
      </w:pPr>
      <w:r w:rsidRPr="00281BBA">
        <w:t xml:space="preserve">This section describes the methodological framework adopted for the proposed </w:t>
      </w:r>
      <w:r w:rsidRPr="00281BBA">
        <w:rPr>
          <w:b/>
          <w:bCs/>
        </w:rPr>
        <w:t>AgriTwin-GH</w:t>
      </w:r>
      <w:r w:rsidRPr="00281BBA">
        <w:t>. The methodology integrates open-source data acquisition, artificial intelligence–based analytics, and a digital twin–driven predictive control mechanism to enable intelligent, sensor-independent greenhouse management. The overall approach is modular, data-driven, and simulation-validated, ensuring scalability, safety, and practical applicability.</w:t>
      </w:r>
    </w:p>
    <w:p w14:paraId="32A97EA7" w14:textId="77777777" w:rsidR="007223A3" w:rsidRDefault="007223A3" w:rsidP="00281BBA">
      <w:pPr>
        <w:jc w:val="both"/>
        <w:rPr>
          <w:b/>
          <w:bCs/>
        </w:rPr>
      </w:pPr>
    </w:p>
    <w:p w14:paraId="3A495FE5" w14:textId="1F8B00C6" w:rsidR="00281BBA" w:rsidRPr="00281BBA" w:rsidRDefault="00281BBA" w:rsidP="00281BBA">
      <w:pPr>
        <w:jc w:val="both"/>
        <w:rPr>
          <w:b/>
          <w:bCs/>
        </w:rPr>
      </w:pPr>
      <w:r w:rsidRPr="00281BBA">
        <w:rPr>
          <w:b/>
          <w:bCs/>
        </w:rPr>
        <w:t>Overall Methodological Framework</w:t>
      </w:r>
    </w:p>
    <w:p w14:paraId="2BF0A62A" w14:textId="19AA162E" w:rsidR="00281BBA" w:rsidRDefault="00281BBA" w:rsidP="00281BBA">
      <w:pPr>
        <w:jc w:val="both"/>
      </w:pPr>
      <w:r w:rsidRPr="00281BBA">
        <w:t xml:space="preserve">The proposed methodology follows a layered and sequential workflow, as illustrated in </w:t>
      </w:r>
      <w:r w:rsidRPr="00281BBA">
        <w:rPr>
          <w:b/>
          <w:bCs/>
        </w:rPr>
        <w:t>Fig. 1</w:t>
      </w:r>
      <w:r w:rsidRPr="00281BBA">
        <w:t>, which presents the high-level architecture of the AgriTwin-GH framework. This figure depicts the complete data flow starting from raw environmental and image data acquisition, progressing through core processing and intelligence modules, and culminating in actionable greenhouse decision signals.</w:t>
      </w:r>
    </w:p>
    <w:p w14:paraId="72B1FA81" w14:textId="78E4C6B4" w:rsidR="00281BBA" w:rsidRDefault="00281BBA" w:rsidP="00281BBA">
      <w:pPr>
        <w:jc w:val="center"/>
      </w:pPr>
      <w:r>
        <w:rPr>
          <w:rFonts w:ascii="Calibri" w:hAnsi="Calibri" w:cs="Calibri"/>
          <w:noProof/>
          <w:color w:val="000000"/>
          <w:sz w:val="22"/>
          <w:szCs w:val="22"/>
          <w:bdr w:val="none" w:sz="0" w:space="0" w:color="auto" w:frame="1"/>
        </w:rPr>
        <w:drawing>
          <wp:inline distT="0" distB="0" distL="0" distR="0" wp14:anchorId="7BA7DC33" wp14:editId="09C8F9A2">
            <wp:extent cx="5731510" cy="3617595"/>
            <wp:effectExtent l="0" t="0" r="2540" b="1905"/>
            <wp:docPr id="5" name="Picture 5" descr="A diagram of a soft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oftware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A8331CC" w14:textId="65668929" w:rsidR="00281BBA" w:rsidRPr="00281BBA" w:rsidRDefault="00281BBA" w:rsidP="00281BBA">
      <w:pPr>
        <w:jc w:val="center"/>
      </w:pPr>
      <w:r w:rsidRPr="00281BBA">
        <w:t xml:space="preserve">Fig. </w:t>
      </w:r>
      <w:r w:rsidR="00667DB5">
        <w:t>3</w:t>
      </w:r>
      <w:r w:rsidRPr="00281BBA">
        <w:t xml:space="preserve"> High-Level Architecture Diagram for Proposed Work</w:t>
      </w:r>
    </w:p>
    <w:p w14:paraId="4A236828" w14:textId="77777777" w:rsidR="00281BBA" w:rsidRPr="00281BBA" w:rsidRDefault="00281BBA" w:rsidP="00281BBA">
      <w:pPr>
        <w:jc w:val="both"/>
      </w:pPr>
      <w:r w:rsidRPr="00281BBA">
        <w:t>At a high level, the methodology consists of three tightly coupled stages:</w:t>
      </w:r>
    </w:p>
    <w:p w14:paraId="4B5FAAA3" w14:textId="77777777" w:rsidR="00281BBA" w:rsidRPr="00281BBA" w:rsidRDefault="00281BBA" w:rsidP="00281BBA">
      <w:pPr>
        <w:numPr>
          <w:ilvl w:val="0"/>
          <w:numId w:val="1"/>
        </w:numPr>
        <w:jc w:val="both"/>
      </w:pPr>
      <w:r w:rsidRPr="00281BBA">
        <w:rPr>
          <w:b/>
          <w:bCs/>
        </w:rPr>
        <w:lastRenderedPageBreak/>
        <w:t>Unified data acquisition and preprocessing</w:t>
      </w:r>
      <w:r w:rsidRPr="00281BBA">
        <w:t>,</w:t>
      </w:r>
    </w:p>
    <w:p w14:paraId="3021FC78" w14:textId="77777777" w:rsidR="00281BBA" w:rsidRPr="00281BBA" w:rsidRDefault="00281BBA" w:rsidP="00281BBA">
      <w:pPr>
        <w:numPr>
          <w:ilvl w:val="0"/>
          <w:numId w:val="1"/>
        </w:numPr>
        <w:jc w:val="both"/>
      </w:pPr>
      <w:r w:rsidRPr="00281BBA">
        <w:rPr>
          <w:b/>
          <w:bCs/>
        </w:rPr>
        <w:t>Predictive analytics and crop intelligence generation</w:t>
      </w:r>
      <w:r w:rsidRPr="00281BBA">
        <w:t>, and</w:t>
      </w:r>
    </w:p>
    <w:p w14:paraId="22DF457D" w14:textId="77777777" w:rsidR="00281BBA" w:rsidRPr="00281BBA" w:rsidRDefault="00281BBA" w:rsidP="00281BBA">
      <w:pPr>
        <w:numPr>
          <w:ilvl w:val="0"/>
          <w:numId w:val="1"/>
        </w:numPr>
        <w:jc w:val="both"/>
      </w:pPr>
      <w:r w:rsidRPr="00281BBA">
        <w:rPr>
          <w:b/>
          <w:bCs/>
        </w:rPr>
        <w:t>Digital twin–based simulation and model predictive control</w:t>
      </w:r>
      <w:r w:rsidRPr="00281BBA">
        <w:t>.</w:t>
      </w:r>
    </w:p>
    <w:p w14:paraId="525FB6CF" w14:textId="7636ADE8" w:rsidR="00281BBA" w:rsidRPr="00281BBA" w:rsidRDefault="00281BBA" w:rsidP="00281BBA">
      <w:pPr>
        <w:jc w:val="both"/>
      </w:pPr>
      <w:r w:rsidRPr="00281BBA">
        <w:t>These stages operate in a continuous feedback loop, enabling real-time system state updates and adaptive decision refinement.</w:t>
      </w:r>
    </w:p>
    <w:p w14:paraId="55B1C2CC" w14:textId="77777777" w:rsidR="007223A3" w:rsidRDefault="007223A3" w:rsidP="00281BBA">
      <w:pPr>
        <w:jc w:val="both"/>
        <w:rPr>
          <w:b/>
          <w:bCs/>
        </w:rPr>
      </w:pPr>
    </w:p>
    <w:p w14:paraId="3CF4FF23" w14:textId="50C5F76C" w:rsidR="00281BBA" w:rsidRPr="00281BBA" w:rsidRDefault="00281BBA" w:rsidP="00281BBA">
      <w:pPr>
        <w:jc w:val="both"/>
        <w:rPr>
          <w:b/>
          <w:bCs/>
        </w:rPr>
      </w:pPr>
      <w:r w:rsidRPr="00281BBA">
        <w:rPr>
          <w:b/>
          <w:bCs/>
        </w:rPr>
        <w:t>Data Acquisition and Unified Processing Methodology</w:t>
      </w:r>
    </w:p>
    <w:p w14:paraId="1DECB6B0" w14:textId="77777777" w:rsidR="00281BBA" w:rsidRPr="00281BBA" w:rsidRDefault="00281BBA" w:rsidP="00281BBA">
      <w:pPr>
        <w:jc w:val="both"/>
      </w:pPr>
      <w:r w:rsidRPr="00281BBA">
        <w:t>The first stage of the methodology focuses on transforming heterogeneous agricultural datasets into standardized, machine-interpretable representations suitable for advanced analytics and simulation.</w:t>
      </w:r>
    </w:p>
    <w:p w14:paraId="1D2930AB" w14:textId="2B8CFF61" w:rsidR="00281BBA" w:rsidRDefault="00281BBA" w:rsidP="00281BBA">
      <w:pPr>
        <w:jc w:val="both"/>
      </w:pPr>
      <w:r w:rsidRPr="00281BBA">
        <w:t xml:space="preserve">As illustrated in </w:t>
      </w:r>
      <w:r w:rsidRPr="00281BBA">
        <w:rPr>
          <w:b/>
          <w:bCs/>
        </w:rPr>
        <w:t>Fig. 2</w:t>
      </w:r>
      <w:r w:rsidRPr="00281BBA">
        <w:t>, the Unified Data Processing module implements a structured pipeline beginning with the ingestion of raw environmental time-series data and plant image datasets sourced from open-access greenhouse repositories. These datasets emulate real greenhouse sensor streams and visual observations, enabling experimentation without physical sensor deployment.</w:t>
      </w:r>
    </w:p>
    <w:p w14:paraId="7F8AB9EF" w14:textId="13FDF1A1" w:rsidR="007223A3" w:rsidRDefault="007223A3" w:rsidP="007223A3">
      <w:pPr>
        <w:jc w:val="center"/>
      </w:pPr>
      <w:r>
        <w:rPr>
          <w:rFonts w:ascii="Calibri" w:hAnsi="Calibri" w:cs="Calibri"/>
          <w:noProof/>
          <w:color w:val="000000"/>
          <w:sz w:val="22"/>
          <w:szCs w:val="22"/>
          <w:bdr w:val="none" w:sz="0" w:space="0" w:color="auto" w:frame="1"/>
        </w:rPr>
        <w:drawing>
          <wp:inline distT="0" distB="0" distL="0" distR="0" wp14:anchorId="102B5AF9" wp14:editId="522218B4">
            <wp:extent cx="5724525" cy="838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838200"/>
                    </a:xfrm>
                    <a:prstGeom prst="rect">
                      <a:avLst/>
                    </a:prstGeom>
                    <a:noFill/>
                    <a:ln>
                      <a:noFill/>
                    </a:ln>
                  </pic:spPr>
                </pic:pic>
              </a:graphicData>
            </a:graphic>
          </wp:inline>
        </w:drawing>
      </w:r>
    </w:p>
    <w:p w14:paraId="699388F0" w14:textId="745811E9" w:rsidR="007223A3" w:rsidRPr="00281BBA" w:rsidRDefault="007223A3" w:rsidP="007223A3">
      <w:pPr>
        <w:jc w:val="center"/>
      </w:pPr>
      <w:r w:rsidRPr="007223A3">
        <w:t xml:space="preserve">Fig. </w:t>
      </w:r>
      <w:r w:rsidR="00667DB5">
        <w:t>4</w:t>
      </w:r>
      <w:r w:rsidRPr="007223A3">
        <w:t xml:space="preserve"> Module-Level Workflow of Unified Data Processing </w:t>
      </w:r>
    </w:p>
    <w:p w14:paraId="503CC279" w14:textId="77777777" w:rsidR="00281BBA" w:rsidRPr="00281BBA" w:rsidRDefault="00281BBA" w:rsidP="00281BBA">
      <w:pPr>
        <w:jc w:val="both"/>
      </w:pPr>
      <w:r w:rsidRPr="00281BBA">
        <w:t>The methodology applies the following processing steps:</w:t>
      </w:r>
    </w:p>
    <w:p w14:paraId="45FD7832" w14:textId="77777777" w:rsidR="00281BBA" w:rsidRPr="00281BBA" w:rsidRDefault="00281BBA" w:rsidP="00281BBA">
      <w:pPr>
        <w:numPr>
          <w:ilvl w:val="0"/>
          <w:numId w:val="2"/>
        </w:numPr>
        <w:jc w:val="both"/>
      </w:pPr>
      <w:r w:rsidRPr="00281BBA">
        <w:rPr>
          <w:b/>
          <w:bCs/>
        </w:rPr>
        <w:t>Data ingestion and parsing</w:t>
      </w:r>
      <w:r w:rsidRPr="00281BBA">
        <w:t>, where heterogeneous dataset formats are converted into a unified internal representation.</w:t>
      </w:r>
    </w:p>
    <w:p w14:paraId="27F8E0A5" w14:textId="77777777" w:rsidR="00281BBA" w:rsidRPr="00281BBA" w:rsidRDefault="00281BBA" w:rsidP="00281BBA">
      <w:pPr>
        <w:numPr>
          <w:ilvl w:val="0"/>
          <w:numId w:val="2"/>
        </w:numPr>
        <w:jc w:val="both"/>
      </w:pPr>
      <w:r w:rsidRPr="00281BBA">
        <w:rPr>
          <w:b/>
          <w:bCs/>
        </w:rPr>
        <w:t>Data validation and cleansing</w:t>
      </w:r>
      <w:r w:rsidRPr="00281BBA">
        <w:t>, including handling missing values, removing outliers, and correcting noisy measurements commonly present in agricultural datasets.</w:t>
      </w:r>
    </w:p>
    <w:p w14:paraId="11CEE28D" w14:textId="77777777" w:rsidR="00281BBA" w:rsidRPr="00281BBA" w:rsidRDefault="00281BBA" w:rsidP="00281BBA">
      <w:pPr>
        <w:numPr>
          <w:ilvl w:val="0"/>
          <w:numId w:val="2"/>
        </w:numPr>
        <w:jc w:val="both"/>
      </w:pPr>
      <w:r w:rsidRPr="00281BBA">
        <w:rPr>
          <w:b/>
          <w:bCs/>
        </w:rPr>
        <w:t>Time-series alignment</w:t>
      </w:r>
      <w:r w:rsidRPr="00281BBA">
        <w:t>, ensuring temporal synchronization across multiple environmental variables such as temperature, humidity, CO₂ concentration, soil moisture, electrical conductivity, and pH.</w:t>
      </w:r>
    </w:p>
    <w:p w14:paraId="48D5EF13" w14:textId="77777777" w:rsidR="00281BBA" w:rsidRPr="00281BBA" w:rsidRDefault="00281BBA" w:rsidP="00281BBA">
      <w:pPr>
        <w:numPr>
          <w:ilvl w:val="0"/>
          <w:numId w:val="2"/>
        </w:numPr>
        <w:jc w:val="both"/>
      </w:pPr>
      <w:r w:rsidRPr="00281BBA">
        <w:rPr>
          <w:b/>
          <w:bCs/>
        </w:rPr>
        <w:t>Feature engineering and normalization</w:t>
      </w:r>
      <w:r w:rsidRPr="00281BBA">
        <w:t>, where agronomically relevant features (e.g., trend indicators, rolling averages, stress proxies) are extracted and scaled to maintain comparability across variables.</w:t>
      </w:r>
    </w:p>
    <w:p w14:paraId="52417A0D" w14:textId="77777777" w:rsidR="00281BBA" w:rsidRPr="00281BBA" w:rsidRDefault="00281BBA" w:rsidP="00281BBA">
      <w:pPr>
        <w:numPr>
          <w:ilvl w:val="0"/>
          <w:numId w:val="2"/>
        </w:numPr>
        <w:jc w:val="both"/>
      </w:pPr>
      <w:r w:rsidRPr="00281BBA">
        <w:rPr>
          <w:b/>
          <w:bCs/>
        </w:rPr>
        <w:t>Image preprocessing</w:t>
      </w:r>
      <w:r w:rsidRPr="00281BBA">
        <w:t>, including resizing, normalization, and feature extraction to generate model-ready visual representations of crop conditions.</w:t>
      </w:r>
    </w:p>
    <w:p w14:paraId="34F42FDF" w14:textId="77777777" w:rsidR="00281BBA" w:rsidRPr="00281BBA" w:rsidRDefault="00281BBA" w:rsidP="00281BBA">
      <w:pPr>
        <w:jc w:val="both"/>
      </w:pPr>
      <w:r w:rsidRPr="00281BBA">
        <w:lastRenderedPageBreak/>
        <w:t>By standardizing both numerical and visual data streams, this stage establishes a reliable and consistent foundation for downstream predictive modeling and digital twin simulation.</w:t>
      </w:r>
    </w:p>
    <w:p w14:paraId="16DD4E1D" w14:textId="477BD236" w:rsidR="00281BBA" w:rsidRPr="00281BBA" w:rsidRDefault="00281BBA" w:rsidP="00281BBA">
      <w:pPr>
        <w:jc w:val="both"/>
      </w:pPr>
    </w:p>
    <w:p w14:paraId="430A68AE" w14:textId="743C48A4" w:rsidR="00281BBA" w:rsidRPr="00281BBA" w:rsidRDefault="00281BBA" w:rsidP="00281BBA">
      <w:pPr>
        <w:jc w:val="both"/>
        <w:rPr>
          <w:b/>
          <w:bCs/>
        </w:rPr>
      </w:pPr>
      <w:r w:rsidRPr="00281BBA">
        <w:rPr>
          <w:b/>
          <w:bCs/>
        </w:rPr>
        <w:t>Predictive Analytics and Crop Intelligence Generation</w:t>
      </w:r>
    </w:p>
    <w:p w14:paraId="4DADD0F1" w14:textId="20358C56" w:rsidR="00A56DA3" w:rsidRDefault="00281BBA" w:rsidP="00281BBA">
      <w:pPr>
        <w:jc w:val="both"/>
      </w:pPr>
      <w:r w:rsidRPr="00281BBA">
        <w:t xml:space="preserve">The second stage of the methodology constitutes the analytical core of the system. As depicted in </w:t>
      </w:r>
      <w:r w:rsidRPr="00281BBA">
        <w:rPr>
          <w:b/>
          <w:bCs/>
        </w:rPr>
        <w:t>Fig. 3</w:t>
      </w:r>
      <w:r w:rsidRPr="00281BBA">
        <w:t>, the Predictive Analytics and Classification module transforms standardized data streams into high-level crop intelligence using a combination of machine learning and deep learning techniques.</w:t>
      </w:r>
    </w:p>
    <w:p w14:paraId="115C0B35" w14:textId="3E10B9B2" w:rsidR="00A56DA3" w:rsidRDefault="00A56DA3" w:rsidP="00281BBA">
      <w:pPr>
        <w:jc w:val="both"/>
      </w:pPr>
      <w:r>
        <w:rPr>
          <w:rFonts w:ascii="Calibri" w:hAnsi="Calibri" w:cs="Calibri"/>
          <w:noProof/>
          <w:color w:val="000000"/>
          <w:sz w:val="22"/>
          <w:szCs w:val="22"/>
          <w:bdr w:val="none" w:sz="0" w:space="0" w:color="auto" w:frame="1"/>
        </w:rPr>
        <w:drawing>
          <wp:inline distT="0" distB="0" distL="0" distR="0" wp14:anchorId="22B0C120" wp14:editId="71EDABD5">
            <wp:extent cx="5724525" cy="971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971550"/>
                    </a:xfrm>
                    <a:prstGeom prst="rect">
                      <a:avLst/>
                    </a:prstGeom>
                    <a:noFill/>
                    <a:ln>
                      <a:noFill/>
                    </a:ln>
                  </pic:spPr>
                </pic:pic>
              </a:graphicData>
            </a:graphic>
          </wp:inline>
        </w:drawing>
      </w:r>
    </w:p>
    <w:p w14:paraId="1D8A113A" w14:textId="5ACE8B03" w:rsidR="00A56DA3" w:rsidRPr="00281BBA" w:rsidRDefault="00A56DA3" w:rsidP="00A56DA3">
      <w:pPr>
        <w:jc w:val="center"/>
      </w:pPr>
      <w:r w:rsidRPr="00A56DA3">
        <w:t xml:space="preserve">Fig. </w:t>
      </w:r>
      <w:r w:rsidR="00667DB5">
        <w:t>5</w:t>
      </w:r>
      <w:r w:rsidRPr="00A56DA3">
        <w:t xml:space="preserve"> Module-Level Workflow of Predictive Analytics &amp; Classification </w:t>
      </w:r>
    </w:p>
    <w:p w14:paraId="62005EFA" w14:textId="77777777" w:rsidR="00CB2B2F" w:rsidRPr="00CB2B2F" w:rsidRDefault="00CB2B2F" w:rsidP="00CB2B2F">
      <w:pPr>
        <w:jc w:val="both"/>
      </w:pPr>
      <w:r w:rsidRPr="00CB2B2F">
        <w:t>Feature fusion techniques integrate environmental sensor data with image-derived visual features, enabling a comprehensive assessment of greenhouse conditions. The module supports multiple predictive tasks:</w:t>
      </w:r>
    </w:p>
    <w:p w14:paraId="434891EF" w14:textId="77777777" w:rsidR="00CB2B2F" w:rsidRPr="00CB2B2F" w:rsidRDefault="00CB2B2F" w:rsidP="00CB2B2F">
      <w:pPr>
        <w:jc w:val="both"/>
      </w:pPr>
      <w:r w:rsidRPr="00CB2B2F">
        <w:t xml:space="preserve">• </w:t>
      </w:r>
      <w:r w:rsidRPr="00CB2B2F">
        <w:rPr>
          <w:b/>
          <w:bCs/>
        </w:rPr>
        <w:t>Crop health assessment</w:t>
      </w:r>
      <w:r w:rsidRPr="00CB2B2F">
        <w:t>, where plant stress and disease indicators are inferred from combined data sources.</w:t>
      </w:r>
      <w:r w:rsidRPr="00CB2B2F">
        <w:br/>
        <w:t xml:space="preserve">• </w:t>
      </w:r>
      <w:r w:rsidRPr="00CB2B2F">
        <w:rPr>
          <w:b/>
          <w:bCs/>
        </w:rPr>
        <w:t>Disease detection and risk estimation</w:t>
      </w:r>
      <w:r w:rsidRPr="00CB2B2F">
        <w:t>, enabling early identification of disease onset and progression.</w:t>
      </w:r>
      <w:r w:rsidRPr="00CB2B2F">
        <w:br/>
        <w:t xml:space="preserve">• </w:t>
      </w:r>
      <w:r w:rsidRPr="00CB2B2F">
        <w:rPr>
          <w:b/>
          <w:bCs/>
        </w:rPr>
        <w:t>Growth stage classification</w:t>
      </w:r>
      <w:r w:rsidRPr="00CB2B2F">
        <w:t>, identifying vegetative, flowering, fruiting, and harvest-ready stages using visual and temporal patterns.</w:t>
      </w:r>
      <w:r w:rsidRPr="00CB2B2F">
        <w:br/>
        <w:t xml:space="preserve">• </w:t>
      </w:r>
      <w:r w:rsidRPr="00CB2B2F">
        <w:rPr>
          <w:b/>
          <w:bCs/>
        </w:rPr>
        <w:t>Temporal risk prediction</w:t>
      </w:r>
      <w:r w:rsidRPr="00CB2B2F">
        <w:t>, forecasting short-term future risks based on historical trends and environmental dynamics.</w:t>
      </w:r>
    </w:p>
    <w:p w14:paraId="521353FE" w14:textId="77777777" w:rsidR="00CB2B2F" w:rsidRPr="00CB2B2F" w:rsidRDefault="00CB2B2F" w:rsidP="00CB2B2F">
      <w:pPr>
        <w:jc w:val="both"/>
      </w:pPr>
      <w:r w:rsidRPr="00CB2B2F">
        <w:t>The outputs consist of continuously updated intelligence signals representing both current and predicted crop states. These signals are not directly deployed but are forwarded to the digital twin layer for validation and optimization.</w:t>
      </w:r>
    </w:p>
    <w:p w14:paraId="4A8A0CC4" w14:textId="77777777" w:rsidR="00CB2B2F" w:rsidRPr="00CB2B2F" w:rsidRDefault="00CB2B2F" w:rsidP="00CB2B2F">
      <w:pPr>
        <w:jc w:val="both"/>
      </w:pPr>
      <w:r w:rsidRPr="00CB2B2F">
        <w:t>The module applies supervised learning and temporal modeling algorithms to generate crop intelligence:</w:t>
      </w:r>
    </w:p>
    <w:p w14:paraId="2D189EB6" w14:textId="0775966A" w:rsidR="00CB2B2F" w:rsidRPr="00CB2B2F" w:rsidRDefault="00CB2B2F" w:rsidP="00CB2B2F">
      <w:pPr>
        <w:jc w:val="both"/>
      </w:pPr>
      <w:r w:rsidRPr="00CB2B2F">
        <w:rPr>
          <w:b/>
          <w:bCs/>
        </w:rPr>
        <w:t>Disease Detection:</w:t>
      </w:r>
      <w:r>
        <w:t xml:space="preserve"> </w:t>
      </w:r>
      <w:r w:rsidRPr="00CB2B2F">
        <w:t xml:space="preserve">Convolutional Neural Networks (CNNs) are used for image-based disease classification due to their ability to extract hierarchical spatial features such as textures and lesion patterns. CNN models are trained on labeled tomato and strawberry leaf images to detect diseases like powdery mildew and leaf mold. Instead of binary labels, the network produces probabilistic confidence scores, enabling early risk </w:t>
      </w:r>
      <w:r w:rsidRPr="00CB2B2F">
        <w:lastRenderedPageBreak/>
        <w:t>estimation. These predictions are correlated with environmental data to improve robustness.</w:t>
      </w:r>
    </w:p>
    <w:p w14:paraId="248D67FD" w14:textId="4A8F3C04" w:rsidR="00CB2B2F" w:rsidRPr="00CB2B2F" w:rsidRDefault="00CB2B2F" w:rsidP="00CB2B2F">
      <w:pPr>
        <w:jc w:val="both"/>
      </w:pPr>
      <w:r w:rsidRPr="00CB2B2F">
        <w:rPr>
          <w:b/>
          <w:bCs/>
        </w:rPr>
        <w:t>Growth Stage Classification:</w:t>
      </w:r>
      <w:r>
        <w:t xml:space="preserve"> </w:t>
      </w:r>
      <w:r w:rsidRPr="00CB2B2F">
        <w:t>Supervised classification algorithms use combined image features and historical environmental trends to distinguish plant development stages. The resulting stage-aware information supports adaptive control strategies within the digital twin.</w:t>
      </w:r>
    </w:p>
    <w:p w14:paraId="5FDB0D68" w14:textId="7D308202" w:rsidR="00CB2B2F" w:rsidRPr="00CB2B2F" w:rsidRDefault="00CB2B2F" w:rsidP="00CB2B2F">
      <w:pPr>
        <w:jc w:val="both"/>
      </w:pPr>
      <w:r w:rsidRPr="00CB2B2F">
        <w:rPr>
          <w:b/>
          <w:bCs/>
        </w:rPr>
        <w:t>Temporal Risk Prediction:</w:t>
      </w:r>
      <w:r>
        <w:t xml:space="preserve"> </w:t>
      </w:r>
      <w:r w:rsidRPr="00CB2B2F">
        <w:t>Time-series models capture sequential dependencies to forecast short-term disease escalation and environmental stress accumulation. By analyzing sensor trends and recent visual cues, the system predicts near-future risks, enabling proactive intervention.</w:t>
      </w:r>
    </w:p>
    <w:p w14:paraId="719E26F8" w14:textId="001578F5" w:rsidR="00CB2B2F" w:rsidRPr="00CB2B2F" w:rsidRDefault="00CB2B2F" w:rsidP="00CB2B2F">
      <w:pPr>
        <w:jc w:val="both"/>
      </w:pPr>
      <w:r w:rsidRPr="00CB2B2F">
        <w:rPr>
          <w:b/>
          <w:bCs/>
        </w:rPr>
        <w:t>Feature Fusion Strategy:</w:t>
      </w:r>
      <w:r>
        <w:t xml:space="preserve"> </w:t>
      </w:r>
      <w:r w:rsidRPr="00CB2B2F">
        <w:t>Feature fusion integrates environmental and image-derived features into a unified representation prior to classification and prediction. This approach improves predictive accuracy by linking visual symptoms with underlying climatic causes, enhancing the reliability of intelligence signals forwarded to the digital twin.</w:t>
      </w:r>
    </w:p>
    <w:p w14:paraId="7A66CF5B" w14:textId="1B68EC80" w:rsidR="00281BBA" w:rsidRPr="00281BBA" w:rsidRDefault="00281BBA" w:rsidP="00281BBA">
      <w:pPr>
        <w:jc w:val="both"/>
      </w:pPr>
    </w:p>
    <w:p w14:paraId="552DC0E8" w14:textId="3EF5C6D4" w:rsidR="00281BBA" w:rsidRPr="00281BBA" w:rsidRDefault="00281BBA" w:rsidP="00281BBA">
      <w:pPr>
        <w:jc w:val="both"/>
        <w:rPr>
          <w:b/>
          <w:bCs/>
        </w:rPr>
      </w:pPr>
      <w:r w:rsidRPr="00281BBA">
        <w:rPr>
          <w:b/>
          <w:bCs/>
        </w:rPr>
        <w:t>Digital Twin–Driven Simulation and Model Predictive Control</w:t>
      </w:r>
    </w:p>
    <w:p w14:paraId="574E5F05" w14:textId="3761EF32" w:rsidR="00281BBA" w:rsidRDefault="00281BBA" w:rsidP="00281BBA">
      <w:pPr>
        <w:jc w:val="both"/>
      </w:pPr>
      <w:r w:rsidRPr="00281BBA">
        <w:t xml:space="preserve">The third stage of the methodology implements a </w:t>
      </w:r>
      <w:r w:rsidRPr="00281BBA">
        <w:rPr>
          <w:b/>
          <w:bCs/>
        </w:rPr>
        <w:t>software-based digital twin coupled with Model Predictive Control (MPC)</w:t>
      </w:r>
      <w:r w:rsidRPr="00281BBA">
        <w:t xml:space="preserve">, as illustrated in </w:t>
      </w:r>
      <w:r w:rsidRPr="00281BBA">
        <w:rPr>
          <w:b/>
          <w:bCs/>
        </w:rPr>
        <w:t>Fig. 4</w:t>
      </w:r>
      <w:r w:rsidRPr="00281BBA">
        <w:t>. This module represents a virtual replica of the greenhouse system constructed using learned system dynamics and historical data patterns.</w:t>
      </w:r>
    </w:p>
    <w:p w14:paraId="0EF5ACC4" w14:textId="24BD8901" w:rsidR="00A56DA3" w:rsidRDefault="00A56DA3" w:rsidP="00A56DA3">
      <w:pPr>
        <w:jc w:val="center"/>
      </w:pPr>
      <w:r>
        <w:rPr>
          <w:rFonts w:ascii="Calibri" w:hAnsi="Calibri" w:cs="Calibri"/>
          <w:noProof/>
          <w:color w:val="000000"/>
          <w:sz w:val="22"/>
          <w:szCs w:val="22"/>
          <w:bdr w:val="none" w:sz="0" w:space="0" w:color="auto" w:frame="1"/>
        </w:rPr>
        <w:drawing>
          <wp:inline distT="0" distB="0" distL="0" distR="0" wp14:anchorId="2D00B47E" wp14:editId="71F830B3">
            <wp:extent cx="5731510" cy="7899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89940"/>
                    </a:xfrm>
                    <a:prstGeom prst="rect">
                      <a:avLst/>
                    </a:prstGeom>
                    <a:noFill/>
                    <a:ln>
                      <a:noFill/>
                    </a:ln>
                  </pic:spPr>
                </pic:pic>
              </a:graphicData>
            </a:graphic>
          </wp:inline>
        </w:drawing>
      </w:r>
    </w:p>
    <w:p w14:paraId="65C8E73C" w14:textId="2D889AD9" w:rsidR="00A56DA3" w:rsidRPr="00281BBA" w:rsidRDefault="00A56DA3" w:rsidP="00A56DA3">
      <w:pPr>
        <w:jc w:val="center"/>
      </w:pPr>
      <w:r w:rsidRPr="00A56DA3">
        <w:t xml:space="preserve">Fig. </w:t>
      </w:r>
      <w:r w:rsidR="00667DB5">
        <w:t>6</w:t>
      </w:r>
      <w:r w:rsidRPr="00A56DA3">
        <w:t xml:space="preserve"> Module-Level Workflow of Digital Twin &amp; Model Predictive Control</w:t>
      </w:r>
    </w:p>
    <w:p w14:paraId="74A01B61" w14:textId="77777777" w:rsidR="00281BBA" w:rsidRPr="00281BBA" w:rsidRDefault="00281BBA" w:rsidP="00281BBA">
      <w:pPr>
        <w:jc w:val="both"/>
      </w:pPr>
      <w:r w:rsidRPr="00281BBA">
        <w:t>The digital twin maintains a real-time virtual state of the greenhouse environment by continuously incorporating AI-generated crop intelligence. Using this virtual model, the methodology simulates environmental evolution under alternative control strategies such as changes in irrigation, ventilation, lighting, humidity regulation, and temperature control.</w:t>
      </w:r>
    </w:p>
    <w:p w14:paraId="3D474CE7" w14:textId="77777777" w:rsidR="00281BBA" w:rsidRPr="00281BBA" w:rsidRDefault="00281BBA" w:rsidP="00281BBA">
      <w:pPr>
        <w:jc w:val="both"/>
      </w:pPr>
      <w:r w:rsidRPr="00281BBA">
        <w:t>Model Predictive Control is applied to:</w:t>
      </w:r>
    </w:p>
    <w:p w14:paraId="735E0CB6" w14:textId="77777777" w:rsidR="00281BBA" w:rsidRPr="00281BBA" w:rsidRDefault="00281BBA" w:rsidP="00281BBA">
      <w:pPr>
        <w:numPr>
          <w:ilvl w:val="0"/>
          <w:numId w:val="4"/>
        </w:numPr>
        <w:jc w:val="both"/>
      </w:pPr>
      <w:r w:rsidRPr="00281BBA">
        <w:t>Predict future system behavior over a finite time horizon,</w:t>
      </w:r>
    </w:p>
    <w:p w14:paraId="7A1A974D" w14:textId="77777777" w:rsidR="00281BBA" w:rsidRPr="00281BBA" w:rsidRDefault="00281BBA" w:rsidP="00281BBA">
      <w:pPr>
        <w:numPr>
          <w:ilvl w:val="0"/>
          <w:numId w:val="4"/>
        </w:numPr>
        <w:jc w:val="both"/>
      </w:pPr>
      <w:r w:rsidRPr="00281BBA">
        <w:t>Evaluate multiple candidate control actions within safety and agronomic constraints, and</w:t>
      </w:r>
    </w:p>
    <w:p w14:paraId="692B6878" w14:textId="77777777" w:rsidR="00281BBA" w:rsidRPr="00281BBA" w:rsidRDefault="00281BBA" w:rsidP="00281BBA">
      <w:pPr>
        <w:numPr>
          <w:ilvl w:val="0"/>
          <w:numId w:val="4"/>
        </w:numPr>
        <w:jc w:val="both"/>
      </w:pPr>
      <w:r w:rsidRPr="00281BBA">
        <w:lastRenderedPageBreak/>
        <w:t>Select the optimal control sequence that minimizes risk while maximizing crop performance and resource efficiency.</w:t>
      </w:r>
    </w:p>
    <w:p w14:paraId="020BB322" w14:textId="385AAFD1" w:rsidR="00C2268F" w:rsidRPr="00C2268F" w:rsidRDefault="00281BBA" w:rsidP="00C2268F">
      <w:pPr>
        <w:jc w:val="both"/>
      </w:pPr>
      <w:r w:rsidRPr="00281BBA">
        <w:t xml:space="preserve">Before any recommendation is considered valid, the methodology performs </w:t>
      </w:r>
      <w:r w:rsidRPr="00281BBA">
        <w:rPr>
          <w:b/>
          <w:bCs/>
        </w:rPr>
        <w:t>simulation-based safety validation</w:t>
      </w:r>
      <w:r w:rsidRPr="00281BBA">
        <w:t>, ensuring that proposed actions do not violate crop safety thresholds or environmental stability conditions. This step significantly reduces the risk associated with purely data-driven control decisions.</w:t>
      </w:r>
    </w:p>
    <w:p w14:paraId="691DCB0A" w14:textId="0089ACDA" w:rsidR="00C2268F" w:rsidRPr="00C2268F" w:rsidRDefault="00C2268F" w:rsidP="00C2268F">
      <w:pPr>
        <w:jc w:val="both"/>
        <w:rPr>
          <w:b/>
          <w:bCs/>
        </w:rPr>
      </w:pPr>
      <w:r w:rsidRPr="00C2268F">
        <w:rPr>
          <w:b/>
          <w:bCs/>
        </w:rPr>
        <w:t>Model Predictive Control (MPC) Algorithm</w:t>
      </w:r>
      <w:r w:rsidR="00304435">
        <w:t xml:space="preserve">: </w:t>
      </w:r>
      <w:r w:rsidRPr="00C2268F">
        <w:t>Model Predictive Control is an optimization-based algorithm that predicts future system states over a finite horizon, evaluates candidate control actions using an objective function, and applies the optimal action in a receding horizon manner.</w:t>
      </w:r>
      <w:r w:rsidRPr="00C2268F">
        <w:br/>
        <w:t>The MPC algorithm operates on the digital twin to optimize greenhouse control actions such as irrigation scheduling, ventilation adjustment, lighting regulation, humidity control, and temperature management. The optimization objective balances crop safety, disease risk reduction, and resource efficiency while enforcing agronomic constraints. Control decisions are validated through simulation before being issued as optimized control recommendations.</w:t>
      </w:r>
    </w:p>
    <w:p w14:paraId="44494944" w14:textId="7C76D9B9" w:rsidR="00281BBA" w:rsidRPr="00281BBA" w:rsidRDefault="00281BBA" w:rsidP="00281BBA">
      <w:pPr>
        <w:jc w:val="both"/>
      </w:pPr>
    </w:p>
    <w:p w14:paraId="4A8C904B" w14:textId="768B91DA" w:rsidR="00281BBA" w:rsidRPr="00281BBA" w:rsidRDefault="00281BBA" w:rsidP="00281BBA">
      <w:pPr>
        <w:jc w:val="both"/>
        <w:rPr>
          <w:b/>
          <w:bCs/>
        </w:rPr>
      </w:pPr>
      <w:r w:rsidRPr="00281BBA">
        <w:rPr>
          <w:b/>
          <w:bCs/>
        </w:rPr>
        <w:t>Integrated Decision Support and System Behavior</w:t>
      </w:r>
    </w:p>
    <w:p w14:paraId="0D8857E1" w14:textId="77777777" w:rsidR="00281BBA" w:rsidRPr="00281BBA" w:rsidRDefault="00281BBA" w:rsidP="00281BBA">
      <w:pPr>
        <w:jc w:val="both"/>
      </w:pPr>
      <w:r w:rsidRPr="00281BBA">
        <w:t xml:space="preserve">The final methodological outcome is a closed-loop, predictive decision-support mechanism that continuously senses, predicts, simulates, and optimizes greenhouse operations. Instead of direct actuator deployment, the system generates </w:t>
      </w:r>
      <w:r w:rsidRPr="00281BBA">
        <w:rPr>
          <w:b/>
          <w:bCs/>
        </w:rPr>
        <w:t>interpretable decision signals</w:t>
      </w:r>
      <w:r w:rsidRPr="00281BBA">
        <w:t>, such as crop health indicators, disease risk alerts, growth stage identification, and harvest readiness signals.</w:t>
      </w:r>
    </w:p>
    <w:p w14:paraId="42A002EB" w14:textId="77777777" w:rsidR="00281BBA" w:rsidRPr="00281BBA" w:rsidRDefault="00281BBA" w:rsidP="00281BBA">
      <w:pPr>
        <w:jc w:val="both"/>
      </w:pPr>
      <w:r w:rsidRPr="00281BBA">
        <w:t xml:space="preserve">This methodology demonstrates a </w:t>
      </w:r>
      <w:r w:rsidRPr="00281BBA">
        <w:rPr>
          <w:b/>
          <w:bCs/>
        </w:rPr>
        <w:t>sensor-independent digital twin paradigm</w:t>
      </w:r>
      <w:r w:rsidRPr="00281BBA">
        <w:t>, where open-source datasets function as virtual sensors, enabling scalable experimentation, reduced infrastructure cost, and safe validation of intelligent control strategies.</w:t>
      </w:r>
    </w:p>
    <w:p w14:paraId="4A5F89C1" w14:textId="77777777" w:rsidR="00281BBA" w:rsidRDefault="00281BBA" w:rsidP="00281BBA">
      <w:pPr>
        <w:jc w:val="both"/>
      </w:pPr>
      <w:r w:rsidRPr="00281BBA">
        <w:t>By integrating unified data processing, AI-based predictive analytics, and digital twin–driven MPC into a single coherent framework, the proposed methodology advances beyond conventional greenhouse monitoring systems. It enables proactive, simulation-validated decision-making, early risk awareness, and intelligent resource optimization, thereby establishing a robust foundation for precision greenhouse horticulture.</w:t>
      </w:r>
    </w:p>
    <w:p w14:paraId="75A5CBC4" w14:textId="00920457" w:rsidR="00AA3DD7" w:rsidRDefault="00AA3DD7" w:rsidP="00281BBA">
      <w:pPr>
        <w:jc w:val="both"/>
      </w:pPr>
    </w:p>
    <w:p w14:paraId="028C333C" w14:textId="060FA9FC" w:rsidR="00AA3DD7" w:rsidRDefault="00AA3DD7" w:rsidP="00281BBA">
      <w:pPr>
        <w:jc w:val="both"/>
        <w:rPr>
          <w:b/>
          <w:bCs/>
        </w:rPr>
      </w:pPr>
      <w:r>
        <w:rPr>
          <w:b/>
          <w:bCs/>
        </w:rPr>
        <w:t>RESULT ANALYSIS</w:t>
      </w:r>
    </w:p>
    <w:p w14:paraId="7A3ED010" w14:textId="77777777" w:rsidR="00CA74BE" w:rsidRPr="00CA74BE" w:rsidRDefault="00CA74BE" w:rsidP="00CA74BE">
      <w:pPr>
        <w:jc w:val="both"/>
      </w:pPr>
      <w:r w:rsidRPr="00CA74BE">
        <w:t xml:space="preserve">The experimental evaluation was carried out using the AgriTwin-GH feature demonstrations implemented in Jupyter notebooks, where a multi-parameter greenhouse time-series was generated and processed to reproduce baseline monitoring </w:t>
      </w:r>
      <w:r w:rsidRPr="00CA74BE">
        <w:lastRenderedPageBreak/>
        <w:t>behavior and then extend it with predictive analytics, risk-aware control, and outcome comparison. The results are presented with three figures to keep the discussion directly comparable with existing monitoring-oriented systems, while still highlighting the additional outcomes enabled by the proposed digital-twin workflow.</w:t>
      </w:r>
    </w:p>
    <w:p w14:paraId="56C0F6B0" w14:textId="62631CB8" w:rsidR="00CA74BE" w:rsidRPr="007D157A" w:rsidRDefault="00CA74BE" w:rsidP="00CA74BE">
      <w:pPr>
        <w:jc w:val="both"/>
      </w:pPr>
      <w:r w:rsidRPr="00CA74BE">
        <w:t xml:space="preserve">Fig. </w:t>
      </w:r>
      <w:r w:rsidRPr="007D157A">
        <w:t>7</w:t>
      </w:r>
      <w:r w:rsidRPr="00CA74BE">
        <w:t xml:space="preserve"> illustrates the baseline-compatible environmental monitoring view by plotting air temperature and relative humidity over time in a format typically used in conventional greenhouse dashboards. The temperature trajectory shows a stable diurnal pattern with periodic peaks and troughs, reflecting day–night variations. In parallel, the humidity curve exhibits the expected inverse tendency relative to temperature, with a marked reference line indicating a high-risk humidity threshold. This figure is intentionally aligned with “existing system” behavior: it demonstrates that AgriTwin-GH retains the same fundamental capability of continuous temperature–humidity tracking and threshold-based visibility, enabling direct one-to-one comparison with baseline monitoring solutions that primarily stop at visualization and simple limits.</w:t>
      </w:r>
    </w:p>
    <w:p w14:paraId="67693278" w14:textId="3348508B" w:rsidR="00CA74BE" w:rsidRPr="007D157A" w:rsidRDefault="00CA74BE" w:rsidP="00CA74BE">
      <w:pPr>
        <w:jc w:val="both"/>
      </w:pPr>
      <w:r w:rsidRPr="007D157A">
        <w:drawing>
          <wp:inline distT="0" distB="0" distL="0" distR="0" wp14:anchorId="7846A502" wp14:editId="0E0DF231">
            <wp:extent cx="5731510" cy="32518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51835"/>
                    </a:xfrm>
                    <a:prstGeom prst="rect">
                      <a:avLst/>
                    </a:prstGeom>
                  </pic:spPr>
                </pic:pic>
              </a:graphicData>
            </a:graphic>
          </wp:inline>
        </w:drawing>
      </w:r>
    </w:p>
    <w:p w14:paraId="4EA9E171" w14:textId="7256707B" w:rsidR="00CA74BE" w:rsidRPr="00CA74BE" w:rsidRDefault="00CA74BE" w:rsidP="00CA74BE">
      <w:pPr>
        <w:jc w:val="center"/>
      </w:pPr>
      <w:r w:rsidRPr="007D157A">
        <w:t xml:space="preserve">Fig. </w:t>
      </w:r>
      <w:r w:rsidRPr="007D157A">
        <w:t>7</w:t>
      </w:r>
      <w:r w:rsidRPr="007D157A">
        <w:t xml:space="preserve"> </w:t>
      </w:r>
      <w:r w:rsidR="000C1052" w:rsidRPr="000C1052">
        <w:t>Baseline-Compatible Temperature and Humidity Monitoring</w:t>
      </w:r>
    </w:p>
    <w:p w14:paraId="43C4A7F6" w14:textId="6944597D" w:rsidR="00CA74BE" w:rsidRPr="007D157A" w:rsidRDefault="00CA74BE" w:rsidP="00CA74BE">
      <w:pPr>
        <w:jc w:val="both"/>
      </w:pPr>
      <w:r w:rsidRPr="00CA74BE">
        <w:t xml:space="preserve">Building on the baseline visibility, Fig. </w:t>
      </w:r>
      <w:r w:rsidRPr="007D157A">
        <w:t>8</w:t>
      </w:r>
      <w:r w:rsidRPr="00CA74BE">
        <w:t xml:space="preserve"> reports the disease intelligence layer introduced in AgriTwin-GH through a risk indexing mechanism derived from environmental exposure patterns. Fig. </w:t>
      </w:r>
      <w:r w:rsidRPr="007D157A">
        <w:t>8</w:t>
      </w:r>
      <w:r w:rsidRPr="00CA74BE">
        <w:t xml:space="preserve">(A) shows a unified Disease Risk Index, where the index remains mostly within the safe-to-moderate region and is interpreted in relation to medium/high thresholds and highlighted critical zones. Fig. </w:t>
      </w:r>
      <w:r w:rsidRPr="007D157A">
        <w:t>8</w:t>
      </w:r>
      <w:r w:rsidRPr="00CA74BE">
        <w:t xml:space="preserve">(B) further decomposes the unified index into disease-specific risk scores (e.g., leaf mold and spider mites), demonstrating that the system does not treat “disease risk” as a single generic alarm; instead, it separates risk signatures that arise under different environmental conditions. Finally, Fig. </w:t>
      </w:r>
      <w:r w:rsidRPr="007D157A">
        <w:t>8</w:t>
      </w:r>
      <w:r w:rsidRPr="00CA74BE">
        <w:t>(C) summarizes cumulative high-humidity exposure (risk budget), which captures duration-</w:t>
      </w:r>
      <w:r w:rsidRPr="00CA74BE">
        <w:lastRenderedPageBreak/>
        <w:t xml:space="preserve">based stress rather than instantaneous spikes alone. This is important for greenhouse pathology because sustained exposure windows are often more informative than single-point threshold crossings. In comparison terms, the existing monitoring-style approach in Fig. </w:t>
      </w:r>
      <w:r w:rsidRPr="007D157A">
        <w:t>7</w:t>
      </w:r>
      <w:r w:rsidRPr="00CA74BE">
        <w:t xml:space="preserve"> can reveal “what happened” (humidity crossing a line), whereas Fig. </w:t>
      </w:r>
      <w:r w:rsidRPr="007D157A">
        <w:t>8</w:t>
      </w:r>
      <w:r w:rsidRPr="00CA74BE">
        <w:t xml:space="preserve"> provides structured evidence of why it matters (risk accumulation) and what it implies (disease-specific risk characterization), which becomes directly actionable for control decisions.</w:t>
      </w:r>
    </w:p>
    <w:p w14:paraId="1FE8FB17" w14:textId="539DF0AD" w:rsidR="00CA74BE" w:rsidRPr="007D157A" w:rsidRDefault="00CA74BE" w:rsidP="00CA74BE">
      <w:pPr>
        <w:jc w:val="center"/>
      </w:pPr>
      <w:r w:rsidRPr="007D157A">
        <w:drawing>
          <wp:inline distT="0" distB="0" distL="0" distR="0" wp14:anchorId="6D270CDD" wp14:editId="1EEA5D64">
            <wp:extent cx="5731510" cy="4070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070350"/>
                    </a:xfrm>
                    <a:prstGeom prst="rect">
                      <a:avLst/>
                    </a:prstGeom>
                  </pic:spPr>
                </pic:pic>
              </a:graphicData>
            </a:graphic>
          </wp:inline>
        </w:drawing>
      </w:r>
    </w:p>
    <w:p w14:paraId="43BFFBE4" w14:textId="53E1A819" w:rsidR="00CA74BE" w:rsidRPr="00CA74BE" w:rsidRDefault="00CA74BE" w:rsidP="00CA74BE">
      <w:pPr>
        <w:jc w:val="center"/>
      </w:pPr>
      <w:r w:rsidRPr="007D157A">
        <w:t xml:space="preserve">Fig. </w:t>
      </w:r>
      <w:r w:rsidRPr="007D157A">
        <w:t>8</w:t>
      </w:r>
      <w:r w:rsidRPr="007D157A">
        <w:t xml:space="preserve"> </w:t>
      </w:r>
      <w:r w:rsidR="000C1052" w:rsidRPr="000C1052">
        <w:t>Disease Risk Index and Exposure Analysis</w:t>
      </w:r>
    </w:p>
    <w:p w14:paraId="6A6C6307" w14:textId="1B01C37E" w:rsidR="00CA74BE" w:rsidRPr="007D157A" w:rsidRDefault="00CA74BE" w:rsidP="00CA74BE">
      <w:pPr>
        <w:jc w:val="both"/>
      </w:pPr>
      <w:r w:rsidRPr="00CA74BE">
        <w:t xml:space="preserve">Fig. </w:t>
      </w:r>
      <w:r w:rsidRPr="007D157A">
        <w:t>9</w:t>
      </w:r>
      <w:r w:rsidRPr="00CA74BE">
        <w:t xml:space="preserve"> presents the core outcome comparison that distinguishes AgriTwin-GH from baseline systems: controlled vs. uncontrolled greenhouse management over a representative 7-day period. Fig. </w:t>
      </w:r>
      <w:r w:rsidRPr="007D157A">
        <w:t>9</w:t>
      </w:r>
      <w:r w:rsidRPr="00CA74BE">
        <w:t xml:space="preserve">(A) shows that closed-loop control produces a tighter temperature trajectory compared with the uncontrolled case, indicating improved setpoint tracking and reduced drift. Fig. </w:t>
      </w:r>
      <w:r w:rsidRPr="007D157A">
        <w:t>9</w:t>
      </w:r>
      <w:r w:rsidRPr="00CA74BE">
        <w:t xml:space="preserve">(B) similarly demonstrates humidity regulation relative to the marked critical threshold, where the controlled profile remains more consistently within the safe operating band. Fig. </w:t>
      </w:r>
      <w:r w:rsidRPr="007D157A">
        <w:t>9</w:t>
      </w:r>
      <w:r w:rsidRPr="00CA74BE">
        <w:t xml:space="preserve">(C) links these improvements to the intended objective by showing disease risk reduction under control, where the controlled risk curve stays suppressed relative to the uncontrolled curve and avoids risk excursions. Fig. </w:t>
      </w:r>
      <w:r w:rsidRPr="007D157A">
        <w:t>9</w:t>
      </w:r>
      <w:r w:rsidRPr="00CA74BE">
        <w:t xml:space="preserve">(D) complements the climate and risk results by showing soil moisture behavior with irrigation control, illustrating how actuator logic stabilizes moisture around an operational trigger threshold instead of allowing wide depletion/recovery swings. Overall, this figure provides a direct, report-ready comparison: baseline monitoring can only </w:t>
      </w:r>
      <w:r w:rsidRPr="00CA74BE">
        <w:lastRenderedPageBreak/>
        <w:t>display deviations, while AgriTwin-GH demonstrates measurable improvement in stability and risk containment through a digital-twin-informed control policy, which is the key requirement for a meaningful “system outcome” beyond visualization.</w:t>
      </w:r>
    </w:p>
    <w:p w14:paraId="61C4B35E" w14:textId="7D4E0346" w:rsidR="00AA3DD7" w:rsidRPr="007D157A" w:rsidRDefault="00CA74BE" w:rsidP="00281BBA">
      <w:pPr>
        <w:jc w:val="both"/>
      </w:pPr>
      <w:r w:rsidRPr="007D157A">
        <w:drawing>
          <wp:inline distT="0" distB="0" distL="0" distR="0" wp14:anchorId="56608276" wp14:editId="6464779F">
            <wp:extent cx="5731510" cy="49168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916805"/>
                    </a:xfrm>
                    <a:prstGeom prst="rect">
                      <a:avLst/>
                    </a:prstGeom>
                  </pic:spPr>
                </pic:pic>
              </a:graphicData>
            </a:graphic>
          </wp:inline>
        </w:drawing>
      </w:r>
    </w:p>
    <w:p w14:paraId="7847AD3E" w14:textId="2BAEDADC" w:rsidR="00FB1D77" w:rsidRPr="007D157A" w:rsidRDefault="00CA74BE" w:rsidP="00CA74BE">
      <w:pPr>
        <w:jc w:val="center"/>
      </w:pPr>
      <w:r w:rsidRPr="007D157A">
        <w:t xml:space="preserve">Fig. </w:t>
      </w:r>
      <w:r w:rsidRPr="007D157A">
        <w:t>9</w:t>
      </w:r>
      <w:r w:rsidRPr="007D157A">
        <w:t xml:space="preserve"> </w:t>
      </w:r>
      <w:r w:rsidR="000C1052" w:rsidRPr="000C1052">
        <w:t>Controlled vs. Uncontrolled Greenhouse Performance</w:t>
      </w:r>
    </w:p>
    <w:p w14:paraId="2459E492" w14:textId="77777777" w:rsidR="00CA74BE" w:rsidRDefault="00CA74BE" w:rsidP="00CA74BE">
      <w:pPr>
        <w:jc w:val="center"/>
      </w:pPr>
    </w:p>
    <w:p w14:paraId="79DC4E33" w14:textId="653024F7" w:rsidR="0013200F" w:rsidRPr="0013200F" w:rsidRDefault="008B368D" w:rsidP="0013200F">
      <w:pPr>
        <w:jc w:val="both"/>
        <w:rPr>
          <w:b/>
          <w:bCs/>
        </w:rPr>
      </w:pPr>
      <w:r w:rsidRPr="008B368D">
        <w:rPr>
          <w:b/>
          <w:bCs/>
        </w:rPr>
        <w:t>CONCLUSION</w:t>
      </w:r>
      <w:r w:rsidR="00426BB7">
        <w:rPr>
          <w:b/>
          <w:bCs/>
        </w:rPr>
        <w:t xml:space="preserve"> AND FUTURE SCOPE</w:t>
      </w:r>
    </w:p>
    <w:p w14:paraId="5AADF4C5" w14:textId="77777777" w:rsidR="007A719A" w:rsidRPr="007A719A" w:rsidRDefault="007A719A" w:rsidP="007A719A">
      <w:pPr>
        <w:jc w:val="both"/>
      </w:pPr>
      <w:r w:rsidRPr="007A719A">
        <w:t xml:space="preserve">The proposed </w:t>
      </w:r>
      <w:r w:rsidRPr="007A719A">
        <w:rPr>
          <w:b/>
          <w:bCs/>
        </w:rPr>
        <w:t>AgriTwin-GH</w:t>
      </w:r>
      <w:r w:rsidRPr="007A719A">
        <w:t xml:space="preserve"> framework demonstrates the effectiveness of a software-based, AI-driven digital twin for intelligent greenhouse management in tomato and strawberry cultivation. By integrating environmental analytics, image-based disease detection, and virtual greenhouse modeling, the system enables a shift from reactive control to predictive, simulation-validated decision-making.</w:t>
      </w:r>
    </w:p>
    <w:p w14:paraId="5E94208D" w14:textId="77777777" w:rsidR="007A719A" w:rsidRPr="007A719A" w:rsidRDefault="007A719A" w:rsidP="007A719A">
      <w:pPr>
        <w:jc w:val="both"/>
      </w:pPr>
      <w:r w:rsidRPr="007A719A">
        <w:t>Unlike conventional systems that act after visible stress appears, AgriTwin-GH continuously analyzes multi-modal data to detect early crop stress and disease risk. AI models infer crop health, growth stages, and potential disease progression, while the digital twin validates control strategies under agronomic and safety constraints.</w:t>
      </w:r>
    </w:p>
    <w:p w14:paraId="0225E901" w14:textId="76903752" w:rsidR="007A719A" w:rsidRPr="007A719A" w:rsidRDefault="007A719A" w:rsidP="007A719A">
      <w:pPr>
        <w:jc w:val="both"/>
      </w:pPr>
      <w:r w:rsidRPr="007A719A">
        <w:lastRenderedPageBreak/>
        <w:t>A key contribution is the sensor-independent digital twin paradigm, where open-source datasets function as virtual sensor streams. This reduces infrastructure dependency while maintaining realistic greenhouse representation. The results confirm that the framework effectively supports climate regulation, irrigation scheduling, and disease risk mitigation.</w:t>
      </w:r>
      <w:r>
        <w:t xml:space="preserve"> </w:t>
      </w:r>
      <w:r w:rsidRPr="007A719A">
        <w:t>Overall, AgriTwin-GH provides a scalable decision-support system that enhances crop health, optimizes resource use, and reduces operational risk without requiring immediate physical sensor deployment.</w:t>
      </w:r>
    </w:p>
    <w:p w14:paraId="57F6F0E3" w14:textId="203AFA65" w:rsidR="007A719A" w:rsidRPr="007A719A" w:rsidRDefault="007A719A" w:rsidP="007A719A">
      <w:pPr>
        <w:jc w:val="both"/>
      </w:pPr>
      <w:r w:rsidRPr="007A719A">
        <w:t>Future work will focus on integrating real-time IoT sensors for full cyber-physical synchronization, extending the framework to additional crops and disease models, and incorporating reinforcement learning for adaptive control. Edge-based AI architectures may also be adopted to reduce latency and improve robustness in resource-constrained environments.</w:t>
      </w:r>
      <w:r w:rsidR="00C56162">
        <w:t xml:space="preserve"> </w:t>
      </w:r>
      <w:r w:rsidRPr="007A719A">
        <w:t>These enhancements will further establish AgriTwin-GH as a flexible and intelligent digital twin platform for precision greenhouse management and sustainable smart agriculture.</w:t>
      </w:r>
    </w:p>
    <w:p w14:paraId="4CA6D1E4" w14:textId="77777777" w:rsidR="008B368D" w:rsidRPr="008B368D" w:rsidRDefault="008B368D" w:rsidP="00240F07">
      <w:pPr>
        <w:jc w:val="both"/>
      </w:pPr>
    </w:p>
    <w:p w14:paraId="6572A7E4" w14:textId="54F76DAC" w:rsidR="00643FFD" w:rsidRPr="00643FFD" w:rsidRDefault="00643FFD" w:rsidP="00643FFD">
      <w:pPr>
        <w:jc w:val="both"/>
      </w:pPr>
      <w:r w:rsidRPr="00643FFD">
        <w:rPr>
          <w:b/>
          <w:bCs/>
        </w:rPr>
        <w:t>REFERENCES</w:t>
      </w:r>
    </w:p>
    <w:p w14:paraId="7A9FC551" w14:textId="77777777" w:rsidR="00643FFD" w:rsidRPr="00643FFD" w:rsidRDefault="00643FFD" w:rsidP="00643FFD">
      <w:pPr>
        <w:jc w:val="both"/>
      </w:pPr>
      <w:r w:rsidRPr="00643FFD">
        <w:t xml:space="preserve">[1] M. Ghiasi, Z. Wang, M. Mehrandezh, and A. Mohammadi, “Optimal strategy for energy-efficient management of greenhouse climate control,” </w:t>
      </w:r>
      <w:r w:rsidRPr="00643FFD">
        <w:rPr>
          <w:i/>
          <w:iCs/>
        </w:rPr>
        <w:t>IEEE Open Access Journal of Power and Energy</w:t>
      </w:r>
      <w:r w:rsidRPr="00643FFD">
        <w:t>, vol. 12, pp. 1–14, December 5, 2025.</w:t>
      </w:r>
    </w:p>
    <w:p w14:paraId="5E61BF6B" w14:textId="77777777" w:rsidR="00643FFD" w:rsidRPr="00643FFD" w:rsidRDefault="00643FFD" w:rsidP="00643FFD">
      <w:pPr>
        <w:jc w:val="both"/>
      </w:pPr>
      <w:r w:rsidRPr="00643FFD">
        <w:t xml:space="preserve">[2] D. A. Howard, Z. Ma, C. Veje, A. Clausen, J. M. Aaslyng, and B. N. Jørgensen, “Greenhouse industry 4.0 – digital twin technology for commercial greenhouses,” </w:t>
      </w:r>
      <w:r w:rsidRPr="00643FFD">
        <w:rPr>
          <w:i/>
          <w:iCs/>
        </w:rPr>
        <w:t>Energy Informatics</w:t>
      </w:r>
      <w:r w:rsidRPr="00643FFD">
        <w:t>, vol. 4, no. 1, pp. 1–20, May 2021.</w:t>
      </w:r>
    </w:p>
    <w:p w14:paraId="66F9439C" w14:textId="77777777" w:rsidR="00643FFD" w:rsidRPr="00643FFD" w:rsidRDefault="00643FFD" w:rsidP="00643FFD">
      <w:pPr>
        <w:jc w:val="both"/>
      </w:pPr>
      <w:r w:rsidRPr="00643FFD">
        <w:t xml:space="preserve">[3] D. S. Joseph, P. M. Pawar, and K. Chakradeo, “Real-time plant disease dataset development and detection of plant disease using deep learning,” </w:t>
      </w:r>
      <w:r w:rsidRPr="00643FFD">
        <w:rPr>
          <w:i/>
          <w:iCs/>
        </w:rPr>
        <w:t>IEEE Access</w:t>
      </w:r>
      <w:r w:rsidRPr="00643FFD">
        <w:t>, vol. 11, pp. 1–15, 2023.</w:t>
      </w:r>
    </w:p>
    <w:p w14:paraId="03A3AC6A" w14:textId="77777777" w:rsidR="00643FFD" w:rsidRPr="00643FFD" w:rsidRDefault="00643FFD" w:rsidP="00643FFD">
      <w:pPr>
        <w:jc w:val="both"/>
      </w:pPr>
      <w:r w:rsidRPr="00643FFD">
        <w:t xml:space="preserve">[4] A. Kaur and R. Kaur, “AI-enabled energy management for sustainable smart greenhouses: An integrated review,” </w:t>
      </w:r>
      <w:r w:rsidRPr="00643FFD">
        <w:rPr>
          <w:i/>
          <w:iCs/>
        </w:rPr>
        <w:t>Journal of Cleaner Production</w:t>
      </w:r>
      <w:r w:rsidRPr="00643FFD">
        <w:t>, vol. 382, pp. 1–15, 2024.</w:t>
      </w:r>
    </w:p>
    <w:p w14:paraId="391A11D6" w14:textId="77777777" w:rsidR="00643FFD" w:rsidRPr="00643FFD" w:rsidRDefault="00643FFD" w:rsidP="00643FFD">
      <w:pPr>
        <w:jc w:val="both"/>
      </w:pPr>
      <w:r w:rsidRPr="00643FFD">
        <w:t xml:space="preserve">[5] D. K. Lee, B. K. Kang, Y. J. Kim, T. G. An, and Y. T. Chae, “A digital twin-based framework for precision tomato cultivation: Integrating XGBoost-based prediction with model predictive control,” </w:t>
      </w:r>
      <w:r w:rsidRPr="00643FFD">
        <w:rPr>
          <w:i/>
          <w:iCs/>
        </w:rPr>
        <w:t>SSRN Electronic Journal</w:t>
      </w:r>
      <w:r w:rsidRPr="00643FFD">
        <w:t>, 2024.</w:t>
      </w:r>
    </w:p>
    <w:p w14:paraId="382B027A" w14:textId="77777777" w:rsidR="00643FFD" w:rsidRPr="00643FFD" w:rsidRDefault="00643FFD" w:rsidP="00643FFD">
      <w:pPr>
        <w:jc w:val="both"/>
      </w:pPr>
      <w:r w:rsidRPr="00643FFD">
        <w:t xml:space="preserve">[6] S. R. Luna, M. P. García, and J. R. Torres, “Digital twin technology in greenhouse-based precision agriculture,” </w:t>
      </w:r>
      <w:r w:rsidRPr="00643FFD">
        <w:rPr>
          <w:i/>
          <w:iCs/>
        </w:rPr>
        <w:t>Computers and Electronics in Agriculture</w:t>
      </w:r>
      <w:r w:rsidRPr="00643FFD">
        <w:t>, vol. 209, pp. 107–119, 2023.</w:t>
      </w:r>
    </w:p>
    <w:p w14:paraId="650AE3F3" w14:textId="77777777" w:rsidR="00643FFD" w:rsidRPr="00643FFD" w:rsidRDefault="00643FFD" w:rsidP="00643FFD">
      <w:pPr>
        <w:jc w:val="both"/>
      </w:pPr>
      <w:r w:rsidRPr="00643FFD">
        <w:t xml:space="preserve">[7] B. V. Nikitha, N. K. S. Keerthan, P. Praneeth, and T. Amrita, “Leaf disease detection and classification,” </w:t>
      </w:r>
      <w:r w:rsidRPr="00643FFD">
        <w:rPr>
          <w:i/>
          <w:iCs/>
        </w:rPr>
        <w:t>Procedia Computer Science</w:t>
      </w:r>
      <w:r w:rsidRPr="00643FFD">
        <w:t>, vol. 218, pp. 291–300, January 2023.</w:t>
      </w:r>
    </w:p>
    <w:p w14:paraId="6DD7D51D" w14:textId="77777777" w:rsidR="00643FFD" w:rsidRPr="00643FFD" w:rsidRDefault="00643FFD" w:rsidP="00643FFD">
      <w:pPr>
        <w:jc w:val="both"/>
      </w:pPr>
      <w:r w:rsidRPr="00643FFD">
        <w:lastRenderedPageBreak/>
        <w:t xml:space="preserve">[8] A. Oad, S. S. Abbas, A. Zafar, and others, “Plant leaf disease detection using ensemble learning and explainable AI,” </w:t>
      </w:r>
      <w:r w:rsidRPr="00643FFD">
        <w:rPr>
          <w:i/>
          <w:iCs/>
        </w:rPr>
        <w:t>IEEE Access</w:t>
      </w:r>
      <w:r w:rsidRPr="00643FFD">
        <w:t>, vol. 12, pp. 156038–156052, 2024.</w:t>
      </w:r>
    </w:p>
    <w:p w14:paraId="0C17B2B3" w14:textId="77777777" w:rsidR="00643FFD" w:rsidRPr="00643FFD" w:rsidRDefault="00643FFD" w:rsidP="00643FFD">
      <w:pPr>
        <w:jc w:val="both"/>
      </w:pPr>
      <w:r w:rsidRPr="00643FFD">
        <w:t xml:space="preserve">[9] A. Soussi, E. Zero, C. D. C. Herrera, and others, “Integrating digital twins and model predictive control for sustainable greenhouse management in smart agriculture,” </w:t>
      </w:r>
      <w:r w:rsidRPr="00643FFD">
        <w:rPr>
          <w:i/>
          <w:iCs/>
        </w:rPr>
        <w:t>IEEE Transactions on AgriFood Electronics</w:t>
      </w:r>
      <w:r w:rsidRPr="00643FFD">
        <w:t>, vol. 1, no. 1, pp. 1–17, 2025.</w:t>
      </w:r>
    </w:p>
    <w:p w14:paraId="042F2591" w14:textId="77777777" w:rsidR="00643FFD" w:rsidRPr="00643FFD" w:rsidRDefault="00643FFD" w:rsidP="00643FFD">
      <w:pPr>
        <w:jc w:val="both"/>
      </w:pPr>
      <w:r w:rsidRPr="00643FFD">
        <w:t xml:space="preserve">[10] A. F. Subahi and K. E. Bouazza, “An intelligent IoT-based system design for controlling and monitoring greenhouse temperature,” </w:t>
      </w:r>
      <w:r w:rsidRPr="00643FFD">
        <w:rPr>
          <w:i/>
          <w:iCs/>
        </w:rPr>
        <w:t>IEEE Access</w:t>
      </w:r>
      <w:r w:rsidRPr="00643FFD">
        <w:t>, vol. 10, pp. 1–12, 2022.</w:t>
      </w:r>
    </w:p>
    <w:p w14:paraId="1FC0E96B" w14:textId="77777777" w:rsidR="00643FFD" w:rsidRPr="00643FFD" w:rsidRDefault="00643FFD" w:rsidP="00643FFD">
      <w:pPr>
        <w:jc w:val="both"/>
      </w:pPr>
      <w:r w:rsidRPr="00643FFD">
        <w:t xml:space="preserve">[11] R. A. Tathed, “Designing AI-driven platforms to transform agricultural ecosystems,” </w:t>
      </w:r>
      <w:r w:rsidRPr="00643FFD">
        <w:rPr>
          <w:i/>
          <w:iCs/>
        </w:rPr>
        <w:t>International Journal for Research Publication and Seminar</w:t>
      </w:r>
      <w:r w:rsidRPr="00643FFD">
        <w:t>, vol. 16, no. 2, pp. 249–268, April–June 2025.</w:t>
      </w:r>
    </w:p>
    <w:p w14:paraId="46C77B1F" w14:textId="77777777" w:rsidR="00643FFD" w:rsidRPr="00643FFD" w:rsidRDefault="00643FFD" w:rsidP="00643FFD">
      <w:pPr>
        <w:jc w:val="both"/>
      </w:pPr>
      <w:r w:rsidRPr="00643FFD">
        <w:t xml:space="preserve">[12] M. Umar, S. Altaf, S. Ahmad, H. Mahmoud, A. S. N. Mohamed, and R. Ayub, “Precision agriculture through deep learning: Tomato plant multiple diseases recognition with CNN and improved YOLOv7,” </w:t>
      </w:r>
      <w:r w:rsidRPr="00643FFD">
        <w:rPr>
          <w:i/>
          <w:iCs/>
        </w:rPr>
        <w:t>IEEE Access</w:t>
      </w:r>
      <w:r w:rsidRPr="00643FFD">
        <w:t>, vol. 12, pp. 49167–49180, April 1, 2024.</w:t>
      </w:r>
    </w:p>
    <w:p w14:paraId="4F02F585" w14:textId="0AA93E7E" w:rsidR="00643FFD" w:rsidRDefault="00643FFD" w:rsidP="00240F07">
      <w:pPr>
        <w:jc w:val="both"/>
      </w:pPr>
    </w:p>
    <w:sectPr w:rsidR="00643FFD" w:rsidSect="007A7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64BF"/>
    <w:multiLevelType w:val="multilevel"/>
    <w:tmpl w:val="5CC4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E43BA"/>
    <w:multiLevelType w:val="multilevel"/>
    <w:tmpl w:val="E59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77209"/>
    <w:multiLevelType w:val="multilevel"/>
    <w:tmpl w:val="34B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E4ACD"/>
    <w:multiLevelType w:val="multilevel"/>
    <w:tmpl w:val="E3A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276651">
    <w:abstractNumId w:val="0"/>
  </w:num>
  <w:num w:numId="2" w16cid:durableId="65733519">
    <w:abstractNumId w:val="2"/>
  </w:num>
  <w:num w:numId="3" w16cid:durableId="1217013892">
    <w:abstractNumId w:val="1"/>
  </w:num>
  <w:num w:numId="4" w16cid:durableId="790321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86"/>
    <w:rsid w:val="000C1052"/>
    <w:rsid w:val="001175FE"/>
    <w:rsid w:val="0013200F"/>
    <w:rsid w:val="00225E7F"/>
    <w:rsid w:val="00240F07"/>
    <w:rsid w:val="00280B1B"/>
    <w:rsid w:val="00281BBA"/>
    <w:rsid w:val="00304435"/>
    <w:rsid w:val="00313DA0"/>
    <w:rsid w:val="003600DA"/>
    <w:rsid w:val="00426BB7"/>
    <w:rsid w:val="004572CD"/>
    <w:rsid w:val="004D70A0"/>
    <w:rsid w:val="00526B13"/>
    <w:rsid w:val="00634D83"/>
    <w:rsid w:val="00643FFD"/>
    <w:rsid w:val="00667DB5"/>
    <w:rsid w:val="007223A3"/>
    <w:rsid w:val="007A719A"/>
    <w:rsid w:val="007D157A"/>
    <w:rsid w:val="008B368D"/>
    <w:rsid w:val="009A2386"/>
    <w:rsid w:val="00A31514"/>
    <w:rsid w:val="00A56DA3"/>
    <w:rsid w:val="00AA3DD7"/>
    <w:rsid w:val="00C2268F"/>
    <w:rsid w:val="00C56162"/>
    <w:rsid w:val="00C60AFC"/>
    <w:rsid w:val="00C72E4D"/>
    <w:rsid w:val="00CA74BE"/>
    <w:rsid w:val="00CB2B2F"/>
    <w:rsid w:val="00D64999"/>
    <w:rsid w:val="00DD1FF7"/>
    <w:rsid w:val="00E61277"/>
    <w:rsid w:val="00EE440E"/>
    <w:rsid w:val="00F337C7"/>
    <w:rsid w:val="00F6692D"/>
    <w:rsid w:val="00FB1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8C47"/>
  <w15:chartTrackingRefBased/>
  <w15:docId w15:val="{79D49DD5-BB41-4494-A01C-4AD3BCD6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386"/>
    <w:rPr>
      <w:rFonts w:eastAsiaTheme="majorEastAsia" w:cstheme="majorBidi"/>
      <w:color w:val="272727" w:themeColor="text1" w:themeTint="D8"/>
    </w:rPr>
  </w:style>
  <w:style w:type="paragraph" w:styleId="Title">
    <w:name w:val="Title"/>
    <w:basedOn w:val="Normal"/>
    <w:next w:val="Normal"/>
    <w:link w:val="TitleChar"/>
    <w:uiPriority w:val="10"/>
    <w:qFormat/>
    <w:rsid w:val="009A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386"/>
    <w:pPr>
      <w:spacing w:before="160"/>
      <w:jc w:val="center"/>
    </w:pPr>
    <w:rPr>
      <w:i/>
      <w:iCs/>
      <w:color w:val="404040" w:themeColor="text1" w:themeTint="BF"/>
    </w:rPr>
  </w:style>
  <w:style w:type="character" w:customStyle="1" w:styleId="QuoteChar">
    <w:name w:val="Quote Char"/>
    <w:basedOn w:val="DefaultParagraphFont"/>
    <w:link w:val="Quote"/>
    <w:uiPriority w:val="29"/>
    <w:rsid w:val="009A2386"/>
    <w:rPr>
      <w:i/>
      <w:iCs/>
      <w:color w:val="404040" w:themeColor="text1" w:themeTint="BF"/>
    </w:rPr>
  </w:style>
  <w:style w:type="paragraph" w:styleId="ListParagraph">
    <w:name w:val="List Paragraph"/>
    <w:basedOn w:val="Normal"/>
    <w:uiPriority w:val="34"/>
    <w:qFormat/>
    <w:rsid w:val="009A2386"/>
    <w:pPr>
      <w:ind w:left="720"/>
      <w:contextualSpacing/>
    </w:pPr>
  </w:style>
  <w:style w:type="character" w:styleId="IntenseEmphasis">
    <w:name w:val="Intense Emphasis"/>
    <w:basedOn w:val="DefaultParagraphFont"/>
    <w:uiPriority w:val="21"/>
    <w:qFormat/>
    <w:rsid w:val="009A2386"/>
    <w:rPr>
      <w:i/>
      <w:iCs/>
      <w:color w:val="0F4761" w:themeColor="accent1" w:themeShade="BF"/>
    </w:rPr>
  </w:style>
  <w:style w:type="paragraph" w:styleId="IntenseQuote">
    <w:name w:val="Intense Quote"/>
    <w:basedOn w:val="Normal"/>
    <w:next w:val="Normal"/>
    <w:link w:val="IntenseQuoteChar"/>
    <w:uiPriority w:val="30"/>
    <w:qFormat/>
    <w:rsid w:val="009A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86"/>
    <w:rPr>
      <w:i/>
      <w:iCs/>
      <w:color w:val="0F4761" w:themeColor="accent1" w:themeShade="BF"/>
    </w:rPr>
  </w:style>
  <w:style w:type="character" w:styleId="IntenseReference">
    <w:name w:val="Intense Reference"/>
    <w:basedOn w:val="DefaultParagraphFont"/>
    <w:uiPriority w:val="32"/>
    <w:qFormat/>
    <w:rsid w:val="009A2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0038">
      <w:bodyDiv w:val="1"/>
      <w:marLeft w:val="0"/>
      <w:marRight w:val="0"/>
      <w:marTop w:val="0"/>
      <w:marBottom w:val="0"/>
      <w:divBdr>
        <w:top w:val="none" w:sz="0" w:space="0" w:color="auto"/>
        <w:left w:val="none" w:sz="0" w:space="0" w:color="auto"/>
        <w:bottom w:val="none" w:sz="0" w:space="0" w:color="auto"/>
        <w:right w:val="none" w:sz="0" w:space="0" w:color="auto"/>
      </w:divBdr>
    </w:div>
    <w:div w:id="9337721">
      <w:bodyDiv w:val="1"/>
      <w:marLeft w:val="0"/>
      <w:marRight w:val="0"/>
      <w:marTop w:val="0"/>
      <w:marBottom w:val="0"/>
      <w:divBdr>
        <w:top w:val="none" w:sz="0" w:space="0" w:color="auto"/>
        <w:left w:val="none" w:sz="0" w:space="0" w:color="auto"/>
        <w:bottom w:val="none" w:sz="0" w:space="0" w:color="auto"/>
        <w:right w:val="none" w:sz="0" w:space="0" w:color="auto"/>
      </w:divBdr>
    </w:div>
    <w:div w:id="67655499">
      <w:bodyDiv w:val="1"/>
      <w:marLeft w:val="0"/>
      <w:marRight w:val="0"/>
      <w:marTop w:val="0"/>
      <w:marBottom w:val="0"/>
      <w:divBdr>
        <w:top w:val="none" w:sz="0" w:space="0" w:color="auto"/>
        <w:left w:val="none" w:sz="0" w:space="0" w:color="auto"/>
        <w:bottom w:val="none" w:sz="0" w:space="0" w:color="auto"/>
        <w:right w:val="none" w:sz="0" w:space="0" w:color="auto"/>
      </w:divBdr>
    </w:div>
    <w:div w:id="166403265">
      <w:bodyDiv w:val="1"/>
      <w:marLeft w:val="0"/>
      <w:marRight w:val="0"/>
      <w:marTop w:val="0"/>
      <w:marBottom w:val="0"/>
      <w:divBdr>
        <w:top w:val="none" w:sz="0" w:space="0" w:color="auto"/>
        <w:left w:val="none" w:sz="0" w:space="0" w:color="auto"/>
        <w:bottom w:val="none" w:sz="0" w:space="0" w:color="auto"/>
        <w:right w:val="none" w:sz="0" w:space="0" w:color="auto"/>
      </w:divBdr>
    </w:div>
    <w:div w:id="220407633">
      <w:bodyDiv w:val="1"/>
      <w:marLeft w:val="0"/>
      <w:marRight w:val="0"/>
      <w:marTop w:val="0"/>
      <w:marBottom w:val="0"/>
      <w:divBdr>
        <w:top w:val="none" w:sz="0" w:space="0" w:color="auto"/>
        <w:left w:val="none" w:sz="0" w:space="0" w:color="auto"/>
        <w:bottom w:val="none" w:sz="0" w:space="0" w:color="auto"/>
        <w:right w:val="none" w:sz="0" w:space="0" w:color="auto"/>
      </w:divBdr>
    </w:div>
    <w:div w:id="259988981">
      <w:bodyDiv w:val="1"/>
      <w:marLeft w:val="0"/>
      <w:marRight w:val="0"/>
      <w:marTop w:val="0"/>
      <w:marBottom w:val="0"/>
      <w:divBdr>
        <w:top w:val="none" w:sz="0" w:space="0" w:color="auto"/>
        <w:left w:val="none" w:sz="0" w:space="0" w:color="auto"/>
        <w:bottom w:val="none" w:sz="0" w:space="0" w:color="auto"/>
        <w:right w:val="none" w:sz="0" w:space="0" w:color="auto"/>
      </w:divBdr>
    </w:div>
    <w:div w:id="301540872">
      <w:bodyDiv w:val="1"/>
      <w:marLeft w:val="0"/>
      <w:marRight w:val="0"/>
      <w:marTop w:val="0"/>
      <w:marBottom w:val="0"/>
      <w:divBdr>
        <w:top w:val="none" w:sz="0" w:space="0" w:color="auto"/>
        <w:left w:val="none" w:sz="0" w:space="0" w:color="auto"/>
        <w:bottom w:val="none" w:sz="0" w:space="0" w:color="auto"/>
        <w:right w:val="none" w:sz="0" w:space="0" w:color="auto"/>
      </w:divBdr>
    </w:div>
    <w:div w:id="325522253">
      <w:bodyDiv w:val="1"/>
      <w:marLeft w:val="0"/>
      <w:marRight w:val="0"/>
      <w:marTop w:val="0"/>
      <w:marBottom w:val="0"/>
      <w:divBdr>
        <w:top w:val="none" w:sz="0" w:space="0" w:color="auto"/>
        <w:left w:val="none" w:sz="0" w:space="0" w:color="auto"/>
        <w:bottom w:val="none" w:sz="0" w:space="0" w:color="auto"/>
        <w:right w:val="none" w:sz="0" w:space="0" w:color="auto"/>
      </w:divBdr>
    </w:div>
    <w:div w:id="508564174">
      <w:bodyDiv w:val="1"/>
      <w:marLeft w:val="0"/>
      <w:marRight w:val="0"/>
      <w:marTop w:val="0"/>
      <w:marBottom w:val="0"/>
      <w:divBdr>
        <w:top w:val="none" w:sz="0" w:space="0" w:color="auto"/>
        <w:left w:val="none" w:sz="0" w:space="0" w:color="auto"/>
        <w:bottom w:val="none" w:sz="0" w:space="0" w:color="auto"/>
        <w:right w:val="none" w:sz="0" w:space="0" w:color="auto"/>
      </w:divBdr>
    </w:div>
    <w:div w:id="523711445">
      <w:bodyDiv w:val="1"/>
      <w:marLeft w:val="0"/>
      <w:marRight w:val="0"/>
      <w:marTop w:val="0"/>
      <w:marBottom w:val="0"/>
      <w:divBdr>
        <w:top w:val="none" w:sz="0" w:space="0" w:color="auto"/>
        <w:left w:val="none" w:sz="0" w:space="0" w:color="auto"/>
        <w:bottom w:val="none" w:sz="0" w:space="0" w:color="auto"/>
        <w:right w:val="none" w:sz="0" w:space="0" w:color="auto"/>
      </w:divBdr>
    </w:div>
    <w:div w:id="577177630">
      <w:bodyDiv w:val="1"/>
      <w:marLeft w:val="0"/>
      <w:marRight w:val="0"/>
      <w:marTop w:val="0"/>
      <w:marBottom w:val="0"/>
      <w:divBdr>
        <w:top w:val="none" w:sz="0" w:space="0" w:color="auto"/>
        <w:left w:val="none" w:sz="0" w:space="0" w:color="auto"/>
        <w:bottom w:val="none" w:sz="0" w:space="0" w:color="auto"/>
        <w:right w:val="none" w:sz="0" w:space="0" w:color="auto"/>
      </w:divBdr>
    </w:div>
    <w:div w:id="590242735">
      <w:bodyDiv w:val="1"/>
      <w:marLeft w:val="0"/>
      <w:marRight w:val="0"/>
      <w:marTop w:val="0"/>
      <w:marBottom w:val="0"/>
      <w:divBdr>
        <w:top w:val="none" w:sz="0" w:space="0" w:color="auto"/>
        <w:left w:val="none" w:sz="0" w:space="0" w:color="auto"/>
        <w:bottom w:val="none" w:sz="0" w:space="0" w:color="auto"/>
        <w:right w:val="none" w:sz="0" w:space="0" w:color="auto"/>
      </w:divBdr>
    </w:div>
    <w:div w:id="594946599">
      <w:bodyDiv w:val="1"/>
      <w:marLeft w:val="0"/>
      <w:marRight w:val="0"/>
      <w:marTop w:val="0"/>
      <w:marBottom w:val="0"/>
      <w:divBdr>
        <w:top w:val="none" w:sz="0" w:space="0" w:color="auto"/>
        <w:left w:val="none" w:sz="0" w:space="0" w:color="auto"/>
        <w:bottom w:val="none" w:sz="0" w:space="0" w:color="auto"/>
        <w:right w:val="none" w:sz="0" w:space="0" w:color="auto"/>
      </w:divBdr>
    </w:div>
    <w:div w:id="688917469">
      <w:bodyDiv w:val="1"/>
      <w:marLeft w:val="0"/>
      <w:marRight w:val="0"/>
      <w:marTop w:val="0"/>
      <w:marBottom w:val="0"/>
      <w:divBdr>
        <w:top w:val="none" w:sz="0" w:space="0" w:color="auto"/>
        <w:left w:val="none" w:sz="0" w:space="0" w:color="auto"/>
        <w:bottom w:val="none" w:sz="0" w:space="0" w:color="auto"/>
        <w:right w:val="none" w:sz="0" w:space="0" w:color="auto"/>
      </w:divBdr>
    </w:div>
    <w:div w:id="764617992">
      <w:bodyDiv w:val="1"/>
      <w:marLeft w:val="0"/>
      <w:marRight w:val="0"/>
      <w:marTop w:val="0"/>
      <w:marBottom w:val="0"/>
      <w:divBdr>
        <w:top w:val="none" w:sz="0" w:space="0" w:color="auto"/>
        <w:left w:val="none" w:sz="0" w:space="0" w:color="auto"/>
        <w:bottom w:val="none" w:sz="0" w:space="0" w:color="auto"/>
        <w:right w:val="none" w:sz="0" w:space="0" w:color="auto"/>
      </w:divBdr>
    </w:div>
    <w:div w:id="793328573">
      <w:bodyDiv w:val="1"/>
      <w:marLeft w:val="0"/>
      <w:marRight w:val="0"/>
      <w:marTop w:val="0"/>
      <w:marBottom w:val="0"/>
      <w:divBdr>
        <w:top w:val="none" w:sz="0" w:space="0" w:color="auto"/>
        <w:left w:val="none" w:sz="0" w:space="0" w:color="auto"/>
        <w:bottom w:val="none" w:sz="0" w:space="0" w:color="auto"/>
        <w:right w:val="none" w:sz="0" w:space="0" w:color="auto"/>
      </w:divBdr>
    </w:div>
    <w:div w:id="830562942">
      <w:bodyDiv w:val="1"/>
      <w:marLeft w:val="0"/>
      <w:marRight w:val="0"/>
      <w:marTop w:val="0"/>
      <w:marBottom w:val="0"/>
      <w:divBdr>
        <w:top w:val="none" w:sz="0" w:space="0" w:color="auto"/>
        <w:left w:val="none" w:sz="0" w:space="0" w:color="auto"/>
        <w:bottom w:val="none" w:sz="0" w:space="0" w:color="auto"/>
        <w:right w:val="none" w:sz="0" w:space="0" w:color="auto"/>
      </w:divBdr>
    </w:div>
    <w:div w:id="1268469016">
      <w:bodyDiv w:val="1"/>
      <w:marLeft w:val="0"/>
      <w:marRight w:val="0"/>
      <w:marTop w:val="0"/>
      <w:marBottom w:val="0"/>
      <w:divBdr>
        <w:top w:val="none" w:sz="0" w:space="0" w:color="auto"/>
        <w:left w:val="none" w:sz="0" w:space="0" w:color="auto"/>
        <w:bottom w:val="none" w:sz="0" w:space="0" w:color="auto"/>
        <w:right w:val="none" w:sz="0" w:space="0" w:color="auto"/>
      </w:divBdr>
    </w:div>
    <w:div w:id="1279221800">
      <w:bodyDiv w:val="1"/>
      <w:marLeft w:val="0"/>
      <w:marRight w:val="0"/>
      <w:marTop w:val="0"/>
      <w:marBottom w:val="0"/>
      <w:divBdr>
        <w:top w:val="none" w:sz="0" w:space="0" w:color="auto"/>
        <w:left w:val="none" w:sz="0" w:space="0" w:color="auto"/>
        <w:bottom w:val="none" w:sz="0" w:space="0" w:color="auto"/>
        <w:right w:val="none" w:sz="0" w:space="0" w:color="auto"/>
      </w:divBdr>
    </w:div>
    <w:div w:id="1287006673">
      <w:bodyDiv w:val="1"/>
      <w:marLeft w:val="0"/>
      <w:marRight w:val="0"/>
      <w:marTop w:val="0"/>
      <w:marBottom w:val="0"/>
      <w:divBdr>
        <w:top w:val="none" w:sz="0" w:space="0" w:color="auto"/>
        <w:left w:val="none" w:sz="0" w:space="0" w:color="auto"/>
        <w:bottom w:val="none" w:sz="0" w:space="0" w:color="auto"/>
        <w:right w:val="none" w:sz="0" w:space="0" w:color="auto"/>
      </w:divBdr>
    </w:div>
    <w:div w:id="1347515503">
      <w:bodyDiv w:val="1"/>
      <w:marLeft w:val="0"/>
      <w:marRight w:val="0"/>
      <w:marTop w:val="0"/>
      <w:marBottom w:val="0"/>
      <w:divBdr>
        <w:top w:val="none" w:sz="0" w:space="0" w:color="auto"/>
        <w:left w:val="none" w:sz="0" w:space="0" w:color="auto"/>
        <w:bottom w:val="none" w:sz="0" w:space="0" w:color="auto"/>
        <w:right w:val="none" w:sz="0" w:space="0" w:color="auto"/>
      </w:divBdr>
    </w:div>
    <w:div w:id="1386951663">
      <w:bodyDiv w:val="1"/>
      <w:marLeft w:val="0"/>
      <w:marRight w:val="0"/>
      <w:marTop w:val="0"/>
      <w:marBottom w:val="0"/>
      <w:divBdr>
        <w:top w:val="none" w:sz="0" w:space="0" w:color="auto"/>
        <w:left w:val="none" w:sz="0" w:space="0" w:color="auto"/>
        <w:bottom w:val="none" w:sz="0" w:space="0" w:color="auto"/>
        <w:right w:val="none" w:sz="0" w:space="0" w:color="auto"/>
      </w:divBdr>
    </w:div>
    <w:div w:id="1533762484">
      <w:bodyDiv w:val="1"/>
      <w:marLeft w:val="0"/>
      <w:marRight w:val="0"/>
      <w:marTop w:val="0"/>
      <w:marBottom w:val="0"/>
      <w:divBdr>
        <w:top w:val="none" w:sz="0" w:space="0" w:color="auto"/>
        <w:left w:val="none" w:sz="0" w:space="0" w:color="auto"/>
        <w:bottom w:val="none" w:sz="0" w:space="0" w:color="auto"/>
        <w:right w:val="none" w:sz="0" w:space="0" w:color="auto"/>
      </w:divBdr>
    </w:div>
    <w:div w:id="1688100749">
      <w:bodyDiv w:val="1"/>
      <w:marLeft w:val="0"/>
      <w:marRight w:val="0"/>
      <w:marTop w:val="0"/>
      <w:marBottom w:val="0"/>
      <w:divBdr>
        <w:top w:val="none" w:sz="0" w:space="0" w:color="auto"/>
        <w:left w:val="none" w:sz="0" w:space="0" w:color="auto"/>
        <w:bottom w:val="none" w:sz="0" w:space="0" w:color="auto"/>
        <w:right w:val="none" w:sz="0" w:space="0" w:color="auto"/>
      </w:divBdr>
    </w:div>
    <w:div w:id="1712799603">
      <w:bodyDiv w:val="1"/>
      <w:marLeft w:val="0"/>
      <w:marRight w:val="0"/>
      <w:marTop w:val="0"/>
      <w:marBottom w:val="0"/>
      <w:divBdr>
        <w:top w:val="none" w:sz="0" w:space="0" w:color="auto"/>
        <w:left w:val="none" w:sz="0" w:space="0" w:color="auto"/>
        <w:bottom w:val="none" w:sz="0" w:space="0" w:color="auto"/>
        <w:right w:val="none" w:sz="0" w:space="0" w:color="auto"/>
      </w:divBdr>
    </w:div>
    <w:div w:id="1744984170">
      <w:bodyDiv w:val="1"/>
      <w:marLeft w:val="0"/>
      <w:marRight w:val="0"/>
      <w:marTop w:val="0"/>
      <w:marBottom w:val="0"/>
      <w:divBdr>
        <w:top w:val="none" w:sz="0" w:space="0" w:color="auto"/>
        <w:left w:val="none" w:sz="0" w:space="0" w:color="auto"/>
        <w:bottom w:val="none" w:sz="0" w:space="0" w:color="auto"/>
        <w:right w:val="none" w:sz="0" w:space="0" w:color="auto"/>
      </w:divBdr>
    </w:div>
    <w:div w:id="1848598357">
      <w:bodyDiv w:val="1"/>
      <w:marLeft w:val="0"/>
      <w:marRight w:val="0"/>
      <w:marTop w:val="0"/>
      <w:marBottom w:val="0"/>
      <w:divBdr>
        <w:top w:val="none" w:sz="0" w:space="0" w:color="auto"/>
        <w:left w:val="none" w:sz="0" w:space="0" w:color="auto"/>
        <w:bottom w:val="none" w:sz="0" w:space="0" w:color="auto"/>
        <w:right w:val="none" w:sz="0" w:space="0" w:color="auto"/>
      </w:divBdr>
    </w:div>
    <w:div w:id="1890728437">
      <w:bodyDiv w:val="1"/>
      <w:marLeft w:val="0"/>
      <w:marRight w:val="0"/>
      <w:marTop w:val="0"/>
      <w:marBottom w:val="0"/>
      <w:divBdr>
        <w:top w:val="none" w:sz="0" w:space="0" w:color="auto"/>
        <w:left w:val="none" w:sz="0" w:space="0" w:color="auto"/>
        <w:bottom w:val="none" w:sz="0" w:space="0" w:color="auto"/>
        <w:right w:val="none" w:sz="0" w:space="0" w:color="auto"/>
      </w:divBdr>
    </w:div>
    <w:div w:id="1912423311">
      <w:bodyDiv w:val="1"/>
      <w:marLeft w:val="0"/>
      <w:marRight w:val="0"/>
      <w:marTop w:val="0"/>
      <w:marBottom w:val="0"/>
      <w:divBdr>
        <w:top w:val="none" w:sz="0" w:space="0" w:color="auto"/>
        <w:left w:val="none" w:sz="0" w:space="0" w:color="auto"/>
        <w:bottom w:val="none" w:sz="0" w:space="0" w:color="auto"/>
        <w:right w:val="none" w:sz="0" w:space="0" w:color="auto"/>
      </w:divBdr>
    </w:div>
    <w:div w:id="1963730793">
      <w:bodyDiv w:val="1"/>
      <w:marLeft w:val="0"/>
      <w:marRight w:val="0"/>
      <w:marTop w:val="0"/>
      <w:marBottom w:val="0"/>
      <w:divBdr>
        <w:top w:val="none" w:sz="0" w:space="0" w:color="auto"/>
        <w:left w:val="none" w:sz="0" w:space="0" w:color="auto"/>
        <w:bottom w:val="none" w:sz="0" w:space="0" w:color="auto"/>
        <w:right w:val="none" w:sz="0" w:space="0" w:color="auto"/>
      </w:divBdr>
    </w:div>
    <w:div w:id="1964799055">
      <w:bodyDiv w:val="1"/>
      <w:marLeft w:val="0"/>
      <w:marRight w:val="0"/>
      <w:marTop w:val="0"/>
      <w:marBottom w:val="0"/>
      <w:divBdr>
        <w:top w:val="none" w:sz="0" w:space="0" w:color="auto"/>
        <w:left w:val="none" w:sz="0" w:space="0" w:color="auto"/>
        <w:bottom w:val="none" w:sz="0" w:space="0" w:color="auto"/>
        <w:right w:val="none" w:sz="0" w:space="0" w:color="auto"/>
      </w:divBdr>
    </w:div>
    <w:div w:id="2019768561">
      <w:bodyDiv w:val="1"/>
      <w:marLeft w:val="0"/>
      <w:marRight w:val="0"/>
      <w:marTop w:val="0"/>
      <w:marBottom w:val="0"/>
      <w:divBdr>
        <w:top w:val="none" w:sz="0" w:space="0" w:color="auto"/>
        <w:left w:val="none" w:sz="0" w:space="0" w:color="auto"/>
        <w:bottom w:val="none" w:sz="0" w:space="0" w:color="auto"/>
        <w:right w:val="none" w:sz="0" w:space="0" w:color="auto"/>
      </w:divBdr>
    </w:div>
    <w:div w:id="2066683012">
      <w:bodyDiv w:val="1"/>
      <w:marLeft w:val="0"/>
      <w:marRight w:val="0"/>
      <w:marTop w:val="0"/>
      <w:marBottom w:val="0"/>
      <w:divBdr>
        <w:top w:val="none" w:sz="0" w:space="0" w:color="auto"/>
        <w:left w:val="none" w:sz="0" w:space="0" w:color="auto"/>
        <w:bottom w:val="none" w:sz="0" w:space="0" w:color="auto"/>
        <w:right w:val="none" w:sz="0" w:space="0" w:color="auto"/>
      </w:divBdr>
    </w:div>
    <w:div w:id="207246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4787</Words>
  <Characters>27290</Characters>
  <Application>Microsoft Office Word</Application>
  <DocSecurity>0</DocSecurity>
  <Lines>227</Lines>
  <Paragraphs>64</Paragraphs>
  <ScaleCrop>false</ScaleCrop>
  <Company/>
  <LinksUpToDate>false</LinksUpToDate>
  <CharactersWithSpaces>32013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ARJUN CHRISTOPHER</cp:lastModifiedBy>
  <cp:revision>32</cp:revision>
  <dcterms:created xsi:type="dcterms:W3CDTF">2026-02-10T03:42:00Z</dcterms:created>
  <dcterms:modified xsi:type="dcterms:W3CDTF">2026-02-13T09:48:00Z</dcterms:modified>
</cp:coreProperties>
</file>