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KATHAI Gen Alpha Customer Journey and Persona Map</w:t>
      </w:r>
    </w:p>
    <w:p>
      <w:r>
        <w:t>Bengaluru first  |  India expansion lens  |  October 2026</w:t>
      </w:r>
    </w:p>
    <w:p>
      <w:r>
        <w:t>Artisan self-heating hot chocolate for discovery, enjoyment and shared moments</w:t>
      </w:r>
    </w:p>
    <w:p>
      <w:pPr>
        <w:pStyle w:val="Heading1"/>
        <w:spacing w:before="280"/>
      </w:pPr>
      <w:r>
        <w:t>1 Scope and purpose</w:t>
      </w:r>
    </w:p>
    <w:p>
      <w:r>
        <w:t>We should treat Gen Alpha as both a consumer and an influence on family purchases. The child may discover Kathai and request a flavour, while a parent decides whether the product, price and preparation are suitable. This map follows both roles from discovery to repeat purchase.</w:t>
      </w:r>
    </w:p>
    <w:p>
      <w:r>
        <w:t>The lead persona is Aarav Sharma, the Social Trend Explorer, from the supplied image. His profile is an illustrative hypothesis to validate, rather than a description of all Gen Alpha consumers. We should begin with Bengaluru families before applying the findings across India.</w:t>
      </w:r>
    </w:p>
    <w:p>
      <w:pPr>
        <w:pStyle w:val="Heading2"/>
      </w:pPr>
      <w:r>
        <w:t>Decisions this map should support</w:t>
      </w:r>
    </w:p>
    <w:p>
      <w:pPr>
        <w:pStyle w:val="ListBullet"/>
      </w:pPr>
      <w:r>
        <w:t>Which flavours and occasions attract interest that survives the first taste?</w:t>
      </w:r>
    </w:p>
    <w:p>
      <w:pPr>
        <w:pStyle w:val="ListBullet"/>
      </w:pPr>
      <w:r>
        <w:t>What information helps parents make a confident purchase decision?</w:t>
      </w:r>
    </w:p>
    <w:p>
      <w:pPr>
        <w:pStyle w:val="ListBullet"/>
      </w:pPr>
      <w:r>
        <w:t>Does self-heating add value to the experience, and who should operate it?</w:t>
      </w:r>
    </w:p>
    <w:p>
      <w:pPr>
        <w:pStyle w:val="ListBullet"/>
      </w:pPr>
      <w:r>
        <w:t>Which product, content and service changes lead to a family choosing Kathai again?</w:t>
      </w:r>
    </w:p>
    <w:p>
      <w:pPr>
        <w:pStyle w:val="Heading1"/>
        <w:spacing w:before="280"/>
      </w:pPr>
      <w:r>
        <w:t>2 Mapping framework</w:t>
      </w:r>
    </w:p>
    <w:p>
      <w:r>
        <w:t>We should capture the child’s goal, action, question and emotion at each stage, alongside the parent’s decision and the brand response. The journey can loop: a rejected purchase may lead to more research, while a friend’s recommendation may lead directly to a trial.</w:t>
      </w:r>
    </w:p>
    <w:tbl>
      <w:tblPr>
        <w:tblW w:type="auto" w:w="0"/>
        <w:jc w:val="center"/>
        <w:tblLayout w:type="fixed"/>
        <w:tblLook w:firstColumn="1" w:firstRow="1" w:lastColumn="0" w:lastRow="0" w:noHBand="0" w:noVBand="1" w:val="04A0"/>
      </w:tblPr>
      <w:tblGrid>
        <w:gridCol w:w="3312"/>
        <w:gridCol w:w="6768"/>
      </w:tblGrid>
      <w:tr>
        <w:trPr>
          <w:tblHeader/>
          <w:cantSplit/>
        </w:trPr>
        <w:tc>
          <w:tcPr>
            <w:tcW w:type="dxa" w:w="331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Image stage</w:t>
            </w:r>
          </w:p>
        </w:tc>
        <w:tc>
          <w:tcPr>
            <w:tcW w:type="dxa" w:w="676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Equivalent in the general map</w:t>
            </w:r>
          </w:p>
        </w:tc>
      </w:tr>
      <w:tr>
        <w:trPr>
          <w:cantSplit/>
        </w:trPr>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Awareness</w:t>
            </w:r>
          </w:p>
        </w:tc>
        <w:tc>
          <w:tcPr>
            <w:tcW w:type="dxa" w:w="676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Awareness</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Consideration</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Consideration</w:t>
            </w:r>
          </w:p>
        </w:tc>
      </w:tr>
      <w:tr>
        <w:trPr>
          <w:cantSplit/>
        </w:trPr>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Purchase decision</w:t>
            </w:r>
          </w:p>
        </w:tc>
        <w:tc>
          <w:tcPr>
            <w:tcW w:type="dxa" w:w="676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Purchase and experience begins</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Consumption</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Product experience after purchase</w:t>
            </w:r>
          </w:p>
        </w:tc>
      </w:tr>
      <w:tr>
        <w:trPr>
          <w:cantSplit/>
        </w:trPr>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Loyalty and advocacy</w:t>
            </w:r>
          </w:p>
        </w:tc>
        <w:tc>
          <w:tcPr>
            <w:tcW w:type="dxa" w:w="676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Retention and advocacy</w:t>
            </w:r>
          </w:p>
        </w:tc>
      </w:tr>
    </w:tbl>
    <w:p>
      <w:pPr>
        <w:spacing w:after="0"/>
      </w:pPr>
    </w:p>
    <w:p>
      <w:r>
        <w:t>The general map’s ₹450–₹600 premium price is a reference for testing. It is not a validated Gen Alpha price or a confirmed price for a packaged self-heating format.</w:t>
      </w:r>
    </w:p>
    <w:p>
      <w:pPr>
        <w:pStyle w:val="Heading1"/>
        <w:spacing w:before="280"/>
      </w:pPr>
      <w:r>
        <w:t>3 Lead persona</w:t>
      </w:r>
    </w:p>
    <w:p>
      <w:pPr>
        <w:pStyle w:val="Heading2"/>
      </w:pPr>
      <w:r>
        <w:t>Aarav Sharma the Social Trend Explorer</w:t>
      </w:r>
    </w:p>
    <w:p>
      <w:r>
        <w:t>“If it’s trending and tastes amazing, I want to try it!”</w:t>
      </w:r>
    </w:p>
    <w:p>
      <w:r>
        <w:t>Aarav enjoys exploring food and beverage experiences, watches creators and short videos, and discusses trends with friends. In this persona, hot chocolate is a fun premium treat that can be enjoyed at home and talked about afterwards.</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Dimension</w:t>
            </w:r>
          </w:p>
        </w:tc>
        <w:tc>
          <w:tcPr>
            <w:tcW w:type="dxa" w:w="7776"/>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Profile from the image</w:t>
            </w:r>
          </w:p>
        </w:tc>
      </w:tr>
      <w:tr>
        <w:trPr>
          <w:cantSplit/>
        </w:trPr>
        <w:tc>
          <w:tcPr>
            <w:tcW w:type="dxa" w:w="23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Age and location</w:t>
            </w:r>
          </w:p>
        </w:tc>
        <w:tc>
          <w:tcPr>
            <w:tcW w:type="dxa" w:w="777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12 years old; Bengaluru, India</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School</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International school</w:t>
            </w:r>
          </w:p>
        </w:tc>
      </w:tr>
      <w:tr>
        <w:trPr>
          <w:cantSplit/>
        </w:trPr>
        <w:tc>
          <w:tcPr>
            <w:tcW w:type="dxa" w:w="23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Family</w:t>
            </w:r>
          </w:p>
        </w:tc>
        <w:tc>
          <w:tcPr>
            <w:tcW w:type="dxa" w:w="777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Lives with parents and a younger sibling</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Household income</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Upper-middle to high; no numeric income specified</w:t>
            </w:r>
          </w:p>
        </w:tc>
      </w:tr>
      <w:tr>
        <w:trPr>
          <w:cantSplit/>
        </w:trPr>
        <w:tc>
          <w:tcPr>
            <w:tcW w:type="dxa" w:w="23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Digital usage</w:t>
            </w:r>
          </w:p>
        </w:tc>
        <w:tc>
          <w:tcPr>
            <w:tcW w:type="dxa" w:w="777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4–6 hours daily across YouTube, Instagram and gaming in the illustrative profile; not a recommended usage level</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Goals</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Try unique flavours; enjoy café-like experiences at home; share with friends; follow trends and creators</w:t>
            </w:r>
          </w:p>
        </w:tc>
      </w:tr>
      <w:tr>
        <w:trPr>
          <w:cantSplit/>
        </w:trPr>
        <w:tc>
          <w:tcPr>
            <w:tcW w:type="dxa" w:w="23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Motivations</w:t>
            </w:r>
          </w:p>
        </w:tc>
        <w:tc>
          <w:tcPr>
            <w:tcW w:type="dxa" w:w="777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Curiosity, exploration, fun, social validation and creator recommendations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Values</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Authenticity, creativity, fun and quality over quantity</w:t>
            </w:r>
          </w:p>
        </w:tc>
      </w:tr>
      <w:tr>
        <w:trPr>
          <w:cantSplit/>
        </w:trPr>
        <w:tc>
          <w:tcPr>
            <w:tcW w:type="dxa" w:w="23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Pain points</w:t>
            </w:r>
          </w:p>
        </w:tc>
        <w:tc>
          <w:tcPr>
            <w:tcW w:type="dxa" w:w="777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Generic products, complicated preparation and parents rejecting expensive purchases</w:t>
            </w:r>
          </w:p>
        </w:tc>
      </w:tr>
    </w:tbl>
    <w:p>
      <w:pPr>
        <w:spacing w:after="0"/>
      </w:pPr>
    </w:p>
    <w:p>
      <w:pPr>
        <w:pStyle w:val="Heading2"/>
      </w:pPr>
      <w:r>
        <w:t>Journey implications</w:t>
      </w:r>
    </w:p>
    <w:p>
      <w:r>
        <w:t>We should make flavour differences easy to understand, show the real preparation experience and give parents a clear view of ingredients, serving size and total cost. Interest from a child and approval from a parent should be recorded separately.</w:t>
      </w:r>
    </w:p>
    <w:p>
      <w:pPr>
        <w:pStyle w:val="Heading1"/>
        <w:spacing w:before="280"/>
      </w:pPr>
      <w:r>
        <w:t>4 Parent role and stage objectives</w:t>
      </w:r>
    </w:p>
    <w:tbl>
      <w:tblPr>
        <w:tblW w:type="auto" w:w="0"/>
        <w:jc w:val="center"/>
        <w:tblLayout w:type="fixed"/>
        <w:tblLook w:firstColumn="1" w:firstRow="1" w:lastColumn="0" w:lastRow="0" w:noHBand="0" w:noVBand="1" w:val="04A0"/>
      </w:tblPr>
      <w:tblGrid>
        <w:gridCol w:w="1872"/>
        <w:gridCol w:w="4104"/>
        <w:gridCol w:w="4104"/>
      </w:tblGrid>
      <w:tr>
        <w:trPr>
          <w:tblHeader/>
          <w:cantSplit/>
        </w:trPr>
        <w:tc>
          <w:tcPr>
            <w:tcW w:type="dxa" w:w="187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Stage</w:t>
            </w:r>
          </w:p>
        </w:tc>
        <w:tc>
          <w:tcPr>
            <w:tcW w:type="dxa" w:w="410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objective</w:t>
            </w:r>
          </w:p>
        </w:tc>
        <w:tc>
          <w:tcPr>
            <w:tcW w:type="dxa" w:w="410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Parent objective</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Awareness</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Notice something interesting</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Understand what the product is</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Consideration</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Decide if it looks worth trying</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Assess suitability and value</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Purchase decision</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Request a flavour or trial</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Choose, approve and pay</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Consumption</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Enjoy the flavour and experience</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Support preparation and judge quality</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Loyalty and advocacy</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Try again or tell friends</w:t>
            </w:r>
          </w:p>
        </w:tc>
        <w:tc>
          <w:tcPr>
            <w:tcW w:type="dxa" w:w="410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Decide whether to repurchase</w:t>
            </w:r>
          </w:p>
        </w:tc>
      </w:tr>
    </w:tbl>
    <w:p>
      <w:pPr>
        <w:spacing w:after="0"/>
      </w:pPr>
    </w:p>
    <w:p>
      <w:r>
        <w:t>For this map, a parent is a supporting decision role rather than a second fully researched persona. Their preferences require separate validation.</w:t>
      </w:r>
    </w:p>
    <w:p>
      <w:pPr>
        <w:pStyle w:val="Heading1"/>
        <w:spacing w:before="280"/>
      </w:pPr>
      <w:r>
        <w:t>5 Master journey map</w:t>
      </w:r>
    </w:p>
    <w:p>
      <w:pPr>
        <w:pStyle w:val="Heading2"/>
      </w:pPr>
      <w:r>
        <w:t>Awareness</w:t>
      </w:r>
    </w:p>
    <w:p>
      <w:r>
        <w:t>Aarav notices an influencer drinking premium hot chocolate or hears about it from friends. His first question is “This looks cool, but what is it?” Curiosity must become a clear understanding of Kathai.</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Journey element</w:t>
            </w:r>
          </w:p>
        </w:tc>
        <w:tc>
          <w:tcPr>
            <w:tcW w:type="dxa" w:w="799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and parent experience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Actions</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Child watches, asks friends and remembers the flavour or heating demonstration. Parent may first encounter Kathai when the child mentions it.</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Touchpoints</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YouTube, short-form content and friends at school in the image; proposed parent touchpoints include family-facing content and the brand website.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Emotion and friction</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Curious, but overwhelmed by competing brands. Parent may be unfamiliar with the product or wary of a novelty purchase.</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Our response</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Show the drink, flavour, occasion and preparation clearly. Use credible, age-appropriate creator content that parents can also understand.</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Evidence to collect</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What the child remembers; whether parent and child correctly explain the product; which source prompted interest.</w:t>
            </w:r>
          </w:p>
        </w:tc>
      </w:tr>
    </w:tbl>
    <w:p>
      <w:pPr>
        <w:spacing w:after="0"/>
      </w:pPr>
    </w:p>
    <w:p>
      <w:pPr>
        <w:pStyle w:val="Heading2"/>
      </w:pPr>
      <w:r>
        <w:t>Consideration</w:t>
      </w:r>
    </w:p>
    <w:p>
      <w:r>
        <w:t>Aarav searches for the brand and checks reviews. “Is it worth trying?” includes taste and fun for him, while his parent needs information about ingredients, preparation and price.</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Journey element</w:t>
            </w:r>
          </w:p>
        </w:tc>
        <w:tc>
          <w:tcPr>
            <w:tcW w:type="dxa" w:w="799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and parent experience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Actions</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Child compares flavours and reviews. Parent checks practical product details and alternatives.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Touchpoints</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Brand website, creator reviews and Amazon in the image; any actual retail listing should be confirmed before launch.</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Emotion and friction</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Excitement with uncertainty about whether quality matches price. Unclear ingredients or heating instructions can delay parent approval.</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Our response</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Show flavours, genuine reviews when available, preparation steps and transparent pricing. Offer simple flavour comparisons and parent guidance.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Evidence to collect</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Questions left unanswered; preferred flavour; reasons to accept or reject the product at the displayed price.</w:t>
            </w:r>
          </w:p>
        </w:tc>
      </w:tr>
    </w:tbl>
    <w:p>
      <w:pPr>
        <w:spacing w:after="0"/>
      </w:pPr>
    </w:p>
    <w:p>
      <w:r>
        <w:t>We should test an easy-to-read, age-appropriate product page without requiring children to create accounts or use a social platform.</w:t>
      </w:r>
    </w:p>
    <w:p>
      <w:pPr>
        <w:pStyle w:val="Heading1"/>
        <w:spacing w:before="280"/>
      </w:pPr>
      <w:r>
        <w:t>5 Master journey map continued</w:t>
      </w:r>
    </w:p>
    <w:p>
      <w:pPr>
        <w:pStyle w:val="Heading2"/>
      </w:pPr>
      <w:r>
        <w:t>Purchase decision</w:t>
      </w:r>
    </w:p>
    <w:p>
      <w:r>
        <w:t>Aarav asks his parents to buy Kathai or adds it to a wishlist. The key question is “How do I convince my parents?” We should answer the family’s concerns through clear information and a suitable trial format.</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Journey element</w:t>
            </w:r>
          </w:p>
        </w:tc>
        <w:tc>
          <w:tcPr>
            <w:tcW w:type="dxa" w:w="799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and parent experience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Actions</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Child requests a flavour and explains the appeal. Parent chooses a pack, checks the total price and delivery, and pays.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Touchpoints</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Parents, e-commerce and specialty stores, as proposed in the image.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Emotion and friction</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Child is hopeful; parent approval is the central hurdle. Price, novelty, preparation and delivery uncertainty may cause rejection.</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Our response</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Test trial packs and family bundles. Make pack size, cost per serving, ingredients and preparation responsibilities visible.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Evidence to collect</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 approval or rejection and why; actual paid trial; selected pack; abandoned purchase reasons.</w:t>
            </w:r>
          </w:p>
        </w:tc>
      </w:tr>
    </w:tbl>
    <w:p>
      <w:pPr>
        <w:spacing w:after="0"/>
      </w:pPr>
    </w:p>
    <w:p>
      <w:pPr>
        <w:pStyle w:val="Heading2"/>
      </w:pPr>
      <w:r>
        <w:t>Consumption</w:t>
      </w:r>
    </w:p>
    <w:p>
      <w:r>
        <w:t>Aarav enjoys hot chocolate at home and may want to photograph it. His question becomes “Does it taste better than the hot chocolate I already know?” The product now has to deliver on the discovery promise.</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Journey element</w:t>
            </w:r>
          </w:p>
        </w:tc>
        <w:tc>
          <w:tcPr>
            <w:tcW w:type="dxa" w:w="799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and parent experience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Actions</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 supports preparation and heating as appropriate to the validated product instructions. Child tastes, reacts and discusses the experience.</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Touchpoints</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Packaging, instructions, preparation, cup, drink and home setting.</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Emotion and friction</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Expected delight; disappointment if taste, sweetness, texture or temperature misses expectations. Difficult handling can interrupt enjoyment.</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Our response</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Prioritise a consistent first cup, understandable instructions and a clear adult role for heating. Separate taste enjoyment from fascination with the mechanism.</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Evidence to collect</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Taste preference; preparation errors; parent confidence; actual waiting time; leftovers; willingness to choose the same flavour again.</w:t>
            </w:r>
          </w:p>
        </w:tc>
      </w:tr>
    </w:tbl>
    <w:p>
      <w:pPr>
        <w:spacing w:after="0"/>
      </w:pPr>
    </w:p>
    <w:p>
      <w:r>
        <w:t>Independent activation by a child should not be assumed. We should validate the product and instructions before deciding how a family uses the heating mechanism.</w:t>
      </w:r>
    </w:p>
    <w:p>
      <w:pPr>
        <w:pStyle w:val="Heading1"/>
        <w:spacing w:before="280"/>
      </w:pPr>
      <w:r>
        <w:t>5 Master journey map continued</w:t>
      </w:r>
    </w:p>
    <w:p>
      <w:pPr>
        <w:pStyle w:val="Heading2"/>
      </w:pPr>
      <w:r>
        <w:t>Loyalty and advocacy</w:t>
      </w:r>
    </w:p>
    <w:p>
      <w:r>
        <w:t>Aarav asks what other flavours are available, tells friends and looks for a reason to return. His parent decides whether the first experience was worth repeating.</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Journey element</w:t>
            </w:r>
          </w:p>
        </w:tc>
        <w:tc>
          <w:tcPr>
            <w:tcW w:type="dxa" w:w="799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and parent experience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Actions</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Child recommends a flavour or asks for another. Parent repurchases, chooses a new flavour or declines.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Touchpoints</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Family conversation, friends, packaging and a parent-managed brand relationship. Social media, loyalty programmes and community are proposed in the image.</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Emotion and friction</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Familiar enjoyment and anticipation. No new flavours may reduce interest, but novelty alone may not justify repeat spending.</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Our response</w:t>
            </w:r>
          </w:p>
        </w:tc>
        <w:tc>
          <w:tcPr>
            <w:tcW w:type="dxa" w:w="79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Keep a reliable favourite and test seasonal flavours, flavour clubs and family rewards. Make any feedback or sharing optional and parent-managed.</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Evidence to collect</w:t>
            </w:r>
          </w:p>
        </w:tc>
        <w:tc>
          <w:tcPr>
            <w:tcW w:type="dxa" w:w="799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Actual repeat orders; repeat reason; child request versus parent approval; flavour switching; referrals that lead to trial.</w:t>
            </w:r>
          </w:p>
        </w:tc>
      </w:tr>
    </w:tbl>
    <w:p>
      <w:pPr>
        <w:spacing w:after="0"/>
      </w:pPr>
    </w:p>
    <w:p>
      <w:pPr>
        <w:pStyle w:val="Heading1"/>
        <w:spacing w:before="280"/>
      </w:pPr>
      <w:r>
        <w:t>6 Touchpoints and interaction standards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Touchpoint</w:t>
            </w:r>
          </w:p>
        </w:tc>
        <w:tc>
          <w:tcPr>
            <w:tcW w:type="dxa" w:w="720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What we should make clear</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Creator or peer discovery</w:t>
            </w:r>
          </w:p>
        </w:tc>
        <w:tc>
          <w:tcPr>
            <w:tcW w:type="dxa" w:w="720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What Kathai is, what it tastes like and how it is prepared</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Website and retailer page</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Flavour, ingredients, allergens, serving size, price and preparation</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 purchase</w:t>
            </w:r>
          </w:p>
        </w:tc>
        <w:tc>
          <w:tcPr>
            <w:tcW w:type="dxa" w:w="720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Pack choice, total cost, delivery and support</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Packaging and heating</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Clear sequence, adult responsibilities, handling and disposal</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First sip</w:t>
            </w:r>
          </w:p>
        </w:tc>
        <w:tc>
          <w:tcPr>
            <w:tcW w:type="dxa" w:w="720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Consistent sensory quality and a way to report problems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Follow-up</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Relevant parent communication and a clear choice about contact</w:t>
            </w:r>
          </w:p>
        </w:tc>
      </w:tr>
    </w:tbl>
    <w:p>
      <w:pPr>
        <w:spacing w:after="0"/>
      </w:pPr>
    </w:p>
    <w:p>
      <w:pPr>
        <w:pStyle w:val="Heading1"/>
        <w:spacing w:before="280"/>
      </w:pPr>
      <w:r>
        <w:t>7 Emotions and moments that matter</w:t>
      </w:r>
    </w:p>
    <w:p>
      <w:r>
        <w:t>The image’s journey table moves from curiosity to excitement, hope, delight and loyalty. Its experience curve instead places the purchase stage at the lowest point. We should treat that dip as a hypothesis about parent approval, not as a measured emotional score.</w:t>
      </w:r>
    </w:p>
    <w:p>
      <w:r>
        <w:t>The critical moments are the first explanation to a parent, seeing the total price, understanding the heating steps, the first sip and the first repeat request. We should ask child and parent separately how each moment felt.</w:t>
      </w:r>
    </w:p>
    <w:p>
      <w:pPr>
        <w:pStyle w:val="Heading1"/>
        <w:spacing w:before="280"/>
      </w:pPr>
      <w:r>
        <w:t>8 Opportunities and priorities</w:t>
      </w:r>
    </w:p>
    <w:tbl>
      <w:tblPr>
        <w:tblW w:type="auto" w:w="0"/>
        <w:jc w:val="center"/>
        <w:tblLayout w:type="fixed"/>
        <w:tblLook w:firstColumn="1" w:firstRow="1" w:lastColumn="0" w:lastRow="0" w:noHBand="0" w:noVBand="1" w:val="04A0"/>
      </w:tblPr>
      <w:tblGrid>
        <w:gridCol w:w="936"/>
        <w:gridCol w:w="2664"/>
        <w:gridCol w:w="6480"/>
      </w:tblGrid>
      <w:tr>
        <w:trPr>
          <w:tblHeader/>
          <w:cantSplit/>
        </w:trPr>
        <w:tc>
          <w:tcPr>
            <w:tcW w:type="dxa" w:w="936"/>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Priority</w:t>
            </w:r>
          </w:p>
        </w:tc>
        <w:tc>
          <w:tcPr>
            <w:tcW w:type="dxa" w:w="266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Opportunity</w:t>
            </w:r>
          </w:p>
        </w:tc>
        <w:tc>
          <w:tcPr>
            <w:tcW w:type="dxa" w:w="648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Proposed action</w:t>
            </w:r>
          </w:p>
        </w:tc>
      </w:tr>
      <w:tr>
        <w:trPr>
          <w:cantSplit/>
        </w:trPr>
        <w:tc>
          <w:tcPr>
            <w:tcW w:type="dxa" w:w="9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P0</w:t>
            </w:r>
          </w:p>
        </w:tc>
        <w:tc>
          <w:tcPr>
            <w:tcW w:type="dxa" w:w="26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First-cup quality</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Test flavour balance, texture and enjoyment against familiar alternatives.</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P0</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 confidence</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Show ingredients, serving details, total price and preparation requirements.</w:t>
            </w:r>
          </w:p>
        </w:tc>
      </w:tr>
      <w:tr>
        <w:trPr>
          <w:cantSplit/>
        </w:trPr>
        <w:tc>
          <w:tcPr>
            <w:tcW w:type="dxa" w:w="9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P0</w:t>
            </w:r>
          </w:p>
        </w:tc>
        <w:tc>
          <w:tcPr>
            <w:tcW w:type="dxa" w:w="26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Self-heating experience</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Validate the adult role, instructions and handling before family trials.</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P1</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Accessible first trial</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Test smaller trial formats and family bundles at explicit prices.</w:t>
            </w:r>
          </w:p>
        </w:tc>
      </w:tr>
      <w:tr>
        <w:trPr>
          <w:cantSplit/>
        </w:trPr>
        <w:tc>
          <w:tcPr>
            <w:tcW w:type="dxa" w:w="9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P1</w:t>
            </w:r>
          </w:p>
        </w:tc>
        <w:tc>
          <w:tcPr>
            <w:tcW w:type="dxa" w:w="26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Flavour discovery</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Use simple comparisons and credible demonstrations.</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P1</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Repeat occasion</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Keep favourites consistent and test meaningful new flavours.</w:t>
            </w:r>
          </w:p>
        </w:tc>
      </w:tr>
      <w:tr>
        <w:trPr>
          <w:cantSplit/>
        </w:trPr>
        <w:tc>
          <w:tcPr>
            <w:tcW w:type="dxa" w:w="9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P2</w:t>
            </w:r>
          </w:p>
        </w:tc>
        <w:tc>
          <w:tcPr>
            <w:tcW w:type="dxa" w:w="26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Community and sharing</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Explore parent-managed feedback and optional sharing after the product is proven.</w:t>
            </w:r>
          </w:p>
        </w:tc>
      </w:tr>
    </w:tbl>
    <w:p>
      <w:pPr>
        <w:spacing w:after="0"/>
      </w:pPr>
    </w:p>
    <w:p>
      <w:pPr>
        <w:pStyle w:val="Heading1"/>
        <w:spacing w:before="280"/>
      </w:pPr>
      <w:r>
        <w:t>9 Persona and occasion overlays</w:t>
      </w:r>
    </w:p>
    <w:p>
      <w:r>
        <w:t>Aarav is the lead profile. These proposed occasions show how the same child’s journey may change; they should be tested rather than treated as additional established personas.</w:t>
      </w:r>
    </w:p>
    <w:tbl>
      <w:tblPr>
        <w:tblW w:type="auto" w:w="0"/>
        <w:jc w:val="center"/>
        <w:tblLayout w:type="fixed"/>
        <w:tblLook w:firstColumn="1" w:firstRow="1" w:lastColumn="0" w:lastRow="0" w:noHBand="0" w:noVBand="1" w:val="04A0"/>
      </w:tblPr>
      <w:tblGrid>
        <w:gridCol w:w="2448"/>
        <w:gridCol w:w="3672"/>
        <w:gridCol w:w="3960"/>
      </w:tblGrid>
      <w:tr>
        <w:trPr>
          <w:tblHeader/>
          <w:cantSplit/>
        </w:trPr>
        <w:tc>
          <w:tcPr>
            <w:tcW w:type="dxa" w:w="244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Occasion</w:t>
            </w:r>
          </w:p>
        </w:tc>
        <w:tc>
          <w:tcPr>
            <w:tcW w:type="dxa" w:w="367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Dominant need</w:t>
            </w:r>
          </w:p>
        </w:tc>
        <w:tc>
          <w:tcPr>
            <w:tcW w:type="dxa" w:w="396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Likely decision hurdle</w:t>
            </w:r>
          </w:p>
        </w:tc>
      </w:tr>
      <w:tr>
        <w:trPr>
          <w:cantSplit/>
        </w:trPr>
        <w:tc>
          <w:tcPr>
            <w:tcW w:type="dxa" w:w="244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After-school treat</w:t>
            </w:r>
          </w:p>
        </w:tc>
        <w:tc>
          <w:tcPr>
            <w:tcW w:type="dxa" w:w="36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Familiar enjoyment and easy preparation</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Frequency, serving size and price</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Weekend family experience</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Discovery and shared enjoyment</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Preparation effort and value for the family</w:t>
            </w:r>
          </w:p>
        </w:tc>
      </w:tr>
      <w:tr>
        <w:trPr>
          <w:cantSplit/>
        </w:trPr>
        <w:tc>
          <w:tcPr>
            <w:tcW w:type="dxa" w:w="244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Friends or birthday occasion</w:t>
            </w:r>
          </w:p>
        </w:tc>
        <w:tc>
          <w:tcPr>
            <w:tcW w:type="dxa" w:w="36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 flavour worth talking about</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Different tastes, quantities and suitability</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Family travel</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Warm drink away from usual facilities</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Handling, heating and disposal in the setting</w:t>
            </w:r>
          </w:p>
        </w:tc>
      </w:tr>
    </w:tbl>
    <w:p>
      <w:pPr>
        <w:spacing w:after="0"/>
      </w:pPr>
    </w:p>
    <w:p>
      <w:pPr>
        <w:pStyle w:val="Heading1"/>
        <w:spacing w:before="280"/>
      </w:pPr>
      <w:r>
        <w:t>10 Delivery alignment</w:t>
      </w:r>
    </w:p>
    <w:tbl>
      <w:tblPr>
        <w:tblW w:type="auto" w:w="0"/>
        <w:jc w:val="center"/>
        <w:tblLayout w:type="fixed"/>
        <w:tblLook w:firstColumn="1" w:firstRow="1" w:lastColumn="0" w:lastRow="0" w:noHBand="0" w:noVBand="1" w:val="04A0"/>
      </w:tblPr>
      <w:tblGrid>
        <w:gridCol w:w="2880"/>
        <w:gridCol w:w="4464"/>
        <w:gridCol w:w="2736"/>
      </w:tblGrid>
      <w:tr>
        <w:trPr>
          <w:tblHeader/>
          <w:cantSplit/>
        </w:trPr>
        <w:tc>
          <w:tcPr>
            <w:tcW w:type="dxa" w:w="288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Visible experience</w:t>
            </w:r>
          </w:p>
        </w:tc>
        <w:tc>
          <w:tcPr>
            <w:tcW w:type="dxa" w:w="446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Capability required</w:t>
            </w:r>
          </w:p>
        </w:tc>
        <w:tc>
          <w:tcPr>
            <w:tcW w:type="dxa" w:w="2736"/>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Suggested owner</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Clear product promise</w:t>
            </w:r>
          </w:p>
        </w:tc>
        <w:tc>
          <w:tcPr>
            <w:tcW w:type="dxa" w:w="44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Consistent approved product information</w:t>
            </w:r>
          </w:p>
        </w:tc>
        <w:tc>
          <w:tcPr>
            <w:tcW w:type="dxa" w:w="27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Brand and product</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Confident parent purchase</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Menu, pack and pricing clarity</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Commerce</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Understandable preparation</w:t>
            </w:r>
          </w:p>
        </w:tc>
        <w:tc>
          <w:tcPr>
            <w:tcW w:type="dxa" w:w="44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Validated instructions and support</w:t>
            </w:r>
          </w:p>
        </w:tc>
        <w:tc>
          <w:tcPr>
            <w:tcW w:type="dxa" w:w="27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Product and operations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Enjoyable first cup</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Recipe and quality controls</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Product</w:t>
            </w:r>
          </w:p>
        </w:tc>
      </w:tr>
      <w:tr>
        <w:trPr>
          <w:cantSplit/>
        </w:trPr>
        <w:tc>
          <w:tcPr>
            <w:tcW w:type="dxa" w:w="28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Relevant return offer</w:t>
            </w:r>
          </w:p>
        </w:tc>
        <w:tc>
          <w:tcPr>
            <w:tcW w:type="dxa" w:w="446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Family feedback and repeat tracking</w:t>
            </w:r>
          </w:p>
        </w:tc>
        <w:tc>
          <w:tcPr>
            <w:tcW w:type="dxa" w:w="27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Insights and CRM</w:t>
            </w:r>
          </w:p>
        </w:tc>
      </w:tr>
    </w:tbl>
    <w:p>
      <w:pPr>
        <w:spacing w:after="0"/>
      </w:pPr>
    </w:p>
    <w:p>
      <w:pPr>
        <w:pStyle w:val="Heading1"/>
        <w:spacing w:before="280"/>
      </w:pPr>
      <w:r>
        <w:t>11 Measurement and evidence</w:t>
      </w:r>
    </w:p>
    <w:p>
      <w:r>
        <w:t>We should distinguish creator engagement, child interest, parent approval, actual purchase and actual repeat purchase. A like or a positive tasting reaction cannot establish family demand.</w:t>
      </w:r>
    </w:p>
    <w:tbl>
      <w:tblPr>
        <w:tblW w:type="auto" w:w="0"/>
        <w:jc w:val="center"/>
        <w:tblLayout w:type="fixed"/>
        <w:tblLook w:firstColumn="1" w:firstRow="1" w:lastColumn="0" w:lastRow="0" w:noHBand="0" w:noVBand="1" w:val="04A0"/>
      </w:tblPr>
      <w:tblGrid>
        <w:gridCol w:w="2160"/>
        <w:gridCol w:w="3960"/>
        <w:gridCol w:w="3960"/>
      </w:tblGrid>
      <w:tr>
        <w:trPr>
          <w:tblHeader/>
          <w:cantSplit/>
        </w:trPr>
        <w:tc>
          <w:tcPr>
            <w:tcW w:type="dxa" w:w="216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Stage</w:t>
            </w:r>
          </w:p>
        </w:tc>
        <w:tc>
          <w:tcPr>
            <w:tcW w:type="dxa" w:w="396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Decision measure</w:t>
            </w:r>
          </w:p>
        </w:tc>
        <w:tc>
          <w:tcPr>
            <w:tcW w:type="dxa" w:w="396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Evidence method</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Awareness</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Correct understanding and source of discovery</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Separate child and parent recall</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Consideration</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Information resolved and flavour preference</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Observed page or menu task</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Purchase</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Paid trial and approval reasons</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 purchase observation</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Consumption</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Taste enjoyment and preparation success</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Supervised family product trial</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Loyalty and advocacy</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Repeat purchase and resulting referrals</w:t>
            </w:r>
          </w:p>
        </w:tc>
        <w:tc>
          <w:tcPr>
            <w:tcW w:type="dxa" w:w="39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Parent-managed order follow-up</w:t>
            </w:r>
          </w:p>
        </w:tc>
      </w:tr>
    </w:tbl>
    <w:p>
      <w:pPr>
        <w:spacing w:after="0"/>
      </w:pPr>
    </w:p>
    <w:p>
      <w:pPr>
        <w:pStyle w:val="Heading1"/>
        <w:spacing w:before="280"/>
      </w:pPr>
      <w:r>
        <w:t>12 Research and validation plan</w:t>
      </w:r>
    </w:p>
    <w:p>
      <w:r>
        <w:t>We should recruit child–parent pairs, beginning with the 12-year-old persona and comparing nearby ages to understand differences. Include families beyond international schools and affluent households before generalising the findings.</w:t>
      </w:r>
    </w:p>
    <w:tbl>
      <w:tblPr>
        <w:tblW w:type="auto" w:w="0"/>
        <w:jc w:val="center"/>
        <w:tblLayout w:type="fixed"/>
        <w:tblLook w:firstColumn="1" w:firstRow="1" w:lastColumn="0" w:lastRow="0" w:noHBand="0" w:noVBand="1" w:val="04A0"/>
      </w:tblPr>
      <w:tblGrid>
        <w:gridCol w:w="1728"/>
        <w:gridCol w:w="5040"/>
        <w:gridCol w:w="3312"/>
      </w:tblGrid>
      <w:tr>
        <w:trPr>
          <w:tblHeader/>
          <w:cantSplit/>
        </w:trPr>
        <w:tc>
          <w:tcPr>
            <w:tcW w:type="dxa" w:w="172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Phase</w:t>
            </w:r>
          </w:p>
        </w:tc>
        <w:tc>
          <w:tcPr>
            <w:tcW w:type="dxa" w:w="5040"/>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Method</w:t>
            </w:r>
          </w:p>
        </w:tc>
        <w:tc>
          <w:tcPr>
            <w:tcW w:type="dxa" w:w="3312"/>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Decision</w:t>
            </w:r>
          </w:p>
        </w:tc>
      </w:tr>
      <w:tr>
        <w:trPr>
          <w:cantSplit/>
        </w:trPr>
        <w:tc>
          <w:tcPr>
            <w:tcW w:type="dxa" w:w="172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Discovery</w:t>
            </w:r>
          </w:p>
        </w:tc>
        <w:tc>
          <w:tcPr>
            <w:tcW w:type="dxa" w:w="50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Ask about recent treats, creator discoveries and parent approvals</w:t>
            </w:r>
          </w:p>
        </w:tc>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Identify a real occasion and purchase hurdle</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Taste</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Compare flavours with familiar alternatives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Choose flavours that earn preference</w:t>
            </w:r>
          </w:p>
        </w:tc>
      </w:tr>
      <w:tr>
        <w:trPr>
          <w:cantSplit/>
        </w:trPr>
        <w:tc>
          <w:tcPr>
            <w:tcW w:type="dxa" w:w="172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Concept and price</w:t>
            </w:r>
          </w:p>
        </w:tc>
        <w:tc>
          <w:tcPr>
            <w:tcW w:type="dxa" w:w="50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Show pack options and explicit total prices</w:t>
            </w:r>
          </w:p>
        </w:tc>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Find a credible trial offer</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Preparation</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Observe adult-led use of a validated prototype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Remove confusion and handling friction</w:t>
            </w:r>
          </w:p>
        </w:tc>
      </w:tr>
      <w:tr>
        <w:trPr>
          <w:cantSplit/>
        </w:trPr>
        <w:tc>
          <w:tcPr>
            <w:tcW w:type="dxa" w:w="172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Paid pilot</w:t>
            </w:r>
          </w:p>
        </w:tc>
        <w:tc>
          <w:tcPr>
            <w:tcW w:type="dxa" w:w="50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Track parent purchases and subsequent requests</w:t>
            </w:r>
          </w:p>
        </w:tc>
        <w:tc>
          <w:tcPr>
            <w:tcW w:type="dxa" w:w="331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Assess trial and repeat demand</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India expansion</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Repeat in contrasting city and household contexts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Decide which findings transfer</w:t>
            </w:r>
          </w:p>
        </w:tc>
      </w:tr>
    </w:tbl>
    <w:p>
      <w:pPr>
        <w:spacing w:after="0"/>
      </w:pPr>
    </w:p>
    <w:p>
      <w:r>
        <w:t>For research with children, we should obtain parent permission and child agreement, use age-appropriate tasks and collect only information needed for the study. Results should be presented in aggregate.</w:t>
      </w:r>
    </w:p>
    <w:p>
      <w:pPr>
        <w:pStyle w:val="Heading1"/>
        <w:spacing w:before="280"/>
      </w:pPr>
      <w:r>
        <w:t>13 Updates and decision log</w:t>
      </w:r>
    </w:p>
    <w:p>
      <w:r>
        <w:t>Insights should own this map, with product and commerce reviewing the relevant changes after each research phase. Record the assumption, observed evidence, decision, owner and next review date. Revisit the persona after family interviews, the consumption stage after product trials and loyalty after the first repeat cohort.</w:t>
      </w:r>
    </w:p>
    <w:p>
      <w:pPr>
        <w:pStyle w:val="Heading1"/>
        <w:spacing w:before="280"/>
      </w:pPr>
      <w:r>
        <w:t>14 Compact journey summary</w:t>
      </w:r>
    </w:p>
    <w:tbl>
      <w:tblPr>
        <w:tblW w:type="auto" w:w="0"/>
        <w:jc w:val="center"/>
        <w:tblLayout w:type="fixed"/>
        <w:tblLook w:firstColumn="1" w:firstRow="1" w:lastColumn="0" w:lastRow="0" w:noHBand="0" w:noVBand="1" w:val="04A0"/>
      </w:tblPr>
      <w:tblGrid>
        <w:gridCol w:w="1944"/>
        <w:gridCol w:w="3888"/>
        <w:gridCol w:w="4248"/>
      </w:tblGrid>
      <w:tr>
        <w:trPr>
          <w:tblHeader/>
          <w:cantSplit/>
        </w:trPr>
        <w:tc>
          <w:tcPr>
            <w:tcW w:type="dxa" w:w="1944"/>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Stage</w:t>
            </w:r>
          </w:p>
        </w:tc>
        <w:tc>
          <w:tcPr>
            <w:tcW w:type="dxa" w:w="388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Child journey</w:t>
            </w:r>
          </w:p>
        </w:tc>
        <w:tc>
          <w:tcPr>
            <w:tcW w:type="dxa" w:w="4248"/>
            <w:vAlign w:val="center"/>
            <w:shd w:fill="263D4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color w:val="FFFFFF"/>
                <w:sz w:val="21"/>
              </w:rPr>
              <w:t>Parent role and Kathai response</w:t>
            </w:r>
          </w:p>
        </w:tc>
      </w:tr>
      <w:tr>
        <w:trPr>
          <w:cantSplit/>
        </w:trPr>
        <w:tc>
          <w:tcPr>
            <w:tcW w:type="dxa" w:w="194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Awareness</w:t>
            </w:r>
          </w:p>
        </w:tc>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Sees a creator or hears from friends; feels curious</w:t>
            </w:r>
          </w:p>
        </w:tc>
        <w:tc>
          <w:tcPr>
            <w:tcW w:type="dxa" w:w="424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Understand the proposition. Show a clear product and occasion.</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Consideration</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Explores flavours and reviews; feels excited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Check suitability and value. Provide practical information.</w:t>
            </w:r>
          </w:p>
        </w:tc>
      </w:tr>
      <w:tr>
        <w:trPr>
          <w:cantSplit/>
        </w:trPr>
        <w:tc>
          <w:tcPr>
            <w:tcW w:type="dxa" w:w="194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Purchase decision</w:t>
            </w:r>
          </w:p>
        </w:tc>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Requests a flavour; feels hopeful</w:t>
            </w:r>
          </w:p>
        </w:tc>
        <w:tc>
          <w:tcPr>
            <w:tcW w:type="dxa" w:w="424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Approve and pay. Offer transparent packs and trial choices.</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Consumption</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Tastes and discusses the drink; expects delight</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Support preparation. Deliver consistent flavour and clear instructions.</w:t>
            </w:r>
          </w:p>
        </w:tc>
      </w:tr>
      <w:tr>
        <w:trPr>
          <w:cantSplit/>
        </w:trPr>
        <w:tc>
          <w:tcPr>
            <w:tcW w:type="dxa" w:w="194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Loyalty and advocacy</w:t>
            </w:r>
          </w:p>
        </w:tc>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Asks for more and recommends to friends</w:t>
            </w:r>
          </w:p>
        </w:tc>
        <w:tc>
          <w:tcPr>
            <w:tcW w:type="dxa" w:w="424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7" w:lineRule="auto"/>
            </w:pPr>
            <w:r>
              <w:rPr>
                <w:b w:val="0"/>
                <w:color w:val="000000"/>
                <w:sz w:val="21"/>
              </w:rPr>
              <w:t>Choose repeat purchase. Keep favourites reliable and add relevant discovery.</w:t>
            </w:r>
          </w:p>
        </w:tc>
      </w:tr>
    </w:tbl>
    <w:p>
      <w:pPr>
        <w:spacing w:after="0"/>
      </w:pPr>
    </w:p>
    <w:p>
      <w:pPr>
        <w:pStyle w:val="Heading2"/>
      </w:pPr>
      <w:r>
        <w:t>Core journey principle</w:t>
      </w:r>
    </w:p>
    <w:p>
      <w:r>
        <w:t>We should earn the child’s interest, the parent’s confidence and a repeat choice from both. Taste and the family’s complete experience determine whether the initial excitement becomes a lasting preference.</w:t>
      </w:r>
    </w:p>
    <w:p>
      <w:pPr>
        <w:pStyle w:val="Heading1"/>
        <w:spacing w:before="280"/>
      </w:pPr>
      <w:r>
        <w:t>15 Source notes and validation status</w:t>
      </w:r>
    </w:p>
    <w:p>
      <w:r>
        <w:t>The persona details, quotations, original five journey stages, stated emotions and initial opportunities come from the supplied Gen Alpha image featuring Aarav Sharma. These are planning inputs, not evidence from observed customers.</w:t>
      </w:r>
    </w:p>
    <w:p>
      <w:r>
        <w:t>The supplied Kathai Complete Customer Journey Map provides the document structure, Bengaluru-first scope, premium experience context, measurement approach and living-document principles. Its general-audience positioning is adapted here to a child–parent journey.</w:t>
      </w:r>
    </w:p>
    <w:p>
      <w:r>
        <w:t>The parent overlay, self-heating interaction standards, occasion overlays and validation plan are proposed extensions for the Kathai team to test. Platform examples and retail channels from the image describe possible touchpoints; they do not imply confirmed availability, partnerships or independent account use by a 12-year-old.</w:t>
      </w:r>
    </w:p>
    <w:p>
      <w:r>
        <w:t>The image’s statements “Good Chocolate Brighter Days” and “A Kinder, Happier Tomorrow” are creative lines. They should not be treated as proven wellbeing or health benefits.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KATHAI Gen Alpha Customer Journey and Persona Map</dc:title>
  <dc:subject/>
  <dc:creator>Kathai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