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14793" w14:textId="77777777" w:rsidR="004C4FD4" w:rsidRDefault="004736AC">
      <w:pPr>
        <w:spacing w:before="80"/>
        <w:ind w:left="109"/>
        <w:rPr>
          <w:b/>
          <w:sz w:val="39"/>
        </w:rPr>
      </w:pPr>
      <w:r>
        <w:rPr>
          <w:sz w:val="39"/>
        </w:rPr>
        <w:t xml:space="preserve">IBM </w:t>
      </w:r>
      <w:r>
        <w:rPr>
          <w:b/>
          <w:sz w:val="39"/>
        </w:rPr>
        <w:t>Services</w:t>
      </w:r>
    </w:p>
    <w:p w14:paraId="2DF3A367" w14:textId="4441EA1F" w:rsidR="004C4FD4" w:rsidRDefault="006145BA">
      <w:pPr>
        <w:spacing w:before="89"/>
        <w:ind w:left="109"/>
        <w:rPr>
          <w:b/>
          <w:sz w:val="30"/>
        </w:rPr>
      </w:pPr>
      <w:r>
        <w:rPr>
          <w:b/>
          <w:sz w:val="30"/>
        </w:rPr>
        <w:t>Cognitive Engagement</w:t>
      </w:r>
    </w:p>
    <w:p w14:paraId="76D06774" w14:textId="77777777" w:rsidR="004C4FD4" w:rsidRDefault="004736AC">
      <w:pPr>
        <w:spacing w:before="90" w:line="242" w:lineRule="auto"/>
        <w:ind w:left="109" w:right="1420"/>
        <w:rPr>
          <w:rFonts w:ascii="IBMPlexSans-BoldItalic"/>
          <w:b/>
          <w:i/>
        </w:rPr>
      </w:pPr>
      <w:r>
        <w:rPr>
          <w:rFonts w:ascii="IBMPlexSans-BoldItalic"/>
          <w:b/>
          <w:i/>
          <w:color w:val="3D75B6"/>
        </w:rPr>
        <w:t>Supporting States during the Surge, through Recovery</w:t>
      </w:r>
    </w:p>
    <w:p w14:paraId="341DC075" w14:textId="77777777" w:rsidR="004C4FD4" w:rsidRDefault="004736AC">
      <w:pPr>
        <w:pStyle w:val="BodyText"/>
        <w:spacing w:before="84" w:line="297" w:lineRule="auto"/>
        <w:ind w:left="109" w:right="38" w:firstLine="0"/>
        <w:jc w:val="both"/>
        <w:rPr>
          <w:sz w:val="18"/>
        </w:rPr>
      </w:pPr>
      <w:r>
        <w:pict w14:anchorId="25412BE3">
          <v:group id="_x0000_s1026" alt="" style="position:absolute;left:0;text-align:left;margin-left:25.95pt;margin-top:140.25pt;width:37.1pt;height:37.1pt;z-index:-251658240;mso-position-horizontal-relative:page" coordorigin="519,2805" coordsize="742,742">
            <v:shape id="_x0000_s1027" alt="" style="position:absolute;left:529;top:2815;width:722;height:722" coordorigin="529,2815" coordsize="722,722" path="m529,3176r7,-72l557,3036r34,-62l635,2921r53,-44l749,2844r68,-21l890,2815r73,8l1031,2844r61,33l1145,2921r44,53l1223,3036r21,68l1251,3176r-7,73l1223,3317r-34,61l1145,3432r-53,44l1031,3509r-68,21l890,3537r-73,-7l749,3509r-61,-33l635,3432r-44,-54l557,3317r-21,-68l529,3176xe" filled="f" strokecolor="#2e528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703;top:2992;width:381;height:382">
              <v:imagedata r:id="rId5" o:title=""/>
            </v:shape>
            <w10:wrap anchorx="page"/>
          </v:group>
        </w:pict>
      </w:r>
      <w:r>
        <w:t>Unemployment Insurance ‘</w:t>
      </w:r>
      <w:r>
        <w:rPr>
          <w:rFonts w:ascii="IBMPlexSans-BoldItalic" w:hAnsi="IBMPlexSans-BoldItalic"/>
          <w:b/>
          <w:i/>
        </w:rPr>
        <w:t xml:space="preserve">systems are severely challenged’ </w:t>
      </w:r>
      <w:r>
        <w:t>due to unprecedented levels of call volumes, claim (valid and improper) submissions, weekly certifications and payments. This is creating demand</w:t>
      </w:r>
      <w:r>
        <w:rPr>
          <w:spacing w:val="-8"/>
        </w:rPr>
        <w:t xml:space="preserve"> </w:t>
      </w:r>
      <w:r>
        <w:t>for</w:t>
      </w:r>
      <w:r>
        <w:rPr>
          <w:spacing w:val="-7"/>
        </w:rPr>
        <w:t xml:space="preserve"> </w:t>
      </w:r>
      <w:r>
        <w:t>‘</w:t>
      </w:r>
      <w:r>
        <w:rPr>
          <w:rFonts w:ascii="IBMPlexSans-BoldItalic" w:hAnsi="IBMPlexSans-BoldItalic"/>
          <w:b/>
          <w:i/>
        </w:rPr>
        <w:t>additional</w:t>
      </w:r>
      <w:r>
        <w:rPr>
          <w:rFonts w:ascii="IBMPlexSans-BoldItalic" w:hAnsi="IBMPlexSans-BoldItalic"/>
          <w:b/>
          <w:i/>
          <w:spacing w:val="-8"/>
        </w:rPr>
        <w:t xml:space="preserve"> </w:t>
      </w:r>
      <w:r>
        <w:rPr>
          <w:rFonts w:ascii="IBMPlexSans-BoldItalic" w:hAnsi="IBMPlexSans-BoldItalic"/>
          <w:b/>
          <w:i/>
        </w:rPr>
        <w:t>workforce’</w:t>
      </w:r>
      <w:r>
        <w:rPr>
          <w:rFonts w:ascii="IBMPlexSans-BoldItalic" w:hAnsi="IBMPlexSans-BoldItalic"/>
          <w:b/>
          <w:i/>
          <w:spacing w:val="-8"/>
        </w:rPr>
        <w:t xml:space="preserve"> </w:t>
      </w:r>
      <w:r>
        <w:t>while</w:t>
      </w:r>
      <w:r>
        <w:rPr>
          <w:spacing w:val="-12"/>
        </w:rPr>
        <w:t xml:space="preserve"> </w:t>
      </w:r>
      <w:r>
        <w:t>adhering</w:t>
      </w:r>
      <w:r>
        <w:rPr>
          <w:spacing w:val="-14"/>
        </w:rPr>
        <w:t xml:space="preserve"> </w:t>
      </w:r>
      <w:r>
        <w:t>to</w:t>
      </w:r>
      <w:r>
        <w:rPr>
          <w:spacing w:val="-10"/>
        </w:rPr>
        <w:t xml:space="preserve"> </w:t>
      </w:r>
      <w:r>
        <w:t>workplace</w:t>
      </w:r>
      <w:r>
        <w:rPr>
          <w:spacing w:val="-12"/>
        </w:rPr>
        <w:t xml:space="preserve"> </w:t>
      </w:r>
      <w:r>
        <w:t xml:space="preserve">safety directives driving the need for </w:t>
      </w:r>
      <w:r>
        <w:rPr>
          <w:rFonts w:ascii="IBMPlexSans-BoldItalic" w:hAnsi="IBMPlexSans-BoldItalic"/>
          <w:b/>
          <w:i/>
        </w:rPr>
        <w:t xml:space="preserve">‘work at home’ </w:t>
      </w:r>
      <w:r>
        <w:t>ca</w:t>
      </w:r>
      <w:r>
        <w:t>pabilities. From a recovery perspective, the longer COVID-19 remains the dominant force</w:t>
      </w:r>
      <w:r>
        <w:rPr>
          <w:spacing w:val="-16"/>
        </w:rPr>
        <w:t xml:space="preserve"> </w:t>
      </w:r>
      <w:r>
        <w:t>of</w:t>
      </w:r>
      <w:r>
        <w:rPr>
          <w:spacing w:val="-16"/>
        </w:rPr>
        <w:t xml:space="preserve"> </w:t>
      </w:r>
      <w:r>
        <w:t>economic</w:t>
      </w:r>
      <w:r>
        <w:rPr>
          <w:spacing w:val="-11"/>
        </w:rPr>
        <w:t xml:space="preserve"> </w:t>
      </w:r>
      <w:r>
        <w:t>decline,</w:t>
      </w:r>
      <w:r>
        <w:rPr>
          <w:spacing w:val="-11"/>
        </w:rPr>
        <w:t xml:space="preserve"> </w:t>
      </w:r>
      <w:r>
        <w:t>workforce</w:t>
      </w:r>
      <w:r>
        <w:rPr>
          <w:spacing w:val="-12"/>
        </w:rPr>
        <w:t xml:space="preserve"> </w:t>
      </w:r>
      <w:r>
        <w:t>Leaders</w:t>
      </w:r>
      <w:r>
        <w:rPr>
          <w:spacing w:val="-11"/>
        </w:rPr>
        <w:t xml:space="preserve"> </w:t>
      </w:r>
      <w:r>
        <w:t>will</w:t>
      </w:r>
      <w:r>
        <w:rPr>
          <w:spacing w:val="-11"/>
        </w:rPr>
        <w:t xml:space="preserve"> </w:t>
      </w:r>
      <w:r>
        <w:t>have</w:t>
      </w:r>
      <w:r>
        <w:rPr>
          <w:spacing w:val="-11"/>
        </w:rPr>
        <w:t xml:space="preserve"> </w:t>
      </w:r>
      <w:r>
        <w:t>an</w:t>
      </w:r>
      <w:r>
        <w:rPr>
          <w:spacing w:val="-12"/>
        </w:rPr>
        <w:t xml:space="preserve"> </w:t>
      </w:r>
      <w:r>
        <w:t xml:space="preserve">increasingly difficult task of putting </w:t>
      </w:r>
      <w:r>
        <w:rPr>
          <w:rFonts w:ascii="IBMPlexSans-BoldItalic" w:hAnsi="IBMPlexSans-BoldItalic"/>
          <w:b/>
          <w:i/>
        </w:rPr>
        <w:t xml:space="preserve">‘citizens back to work’ </w:t>
      </w:r>
      <w:r>
        <w:t xml:space="preserve">and ensuring </w:t>
      </w:r>
      <w:r>
        <w:rPr>
          <w:rFonts w:ascii="IBMPlexSans-BoldItalic" w:hAnsi="IBMPlexSans-BoldItalic"/>
          <w:b/>
          <w:i/>
        </w:rPr>
        <w:t xml:space="preserve">‘Program Integrity’ </w:t>
      </w:r>
      <w:r>
        <w:t>measures are in plac</w:t>
      </w:r>
      <w:r>
        <w:t>e given the surmounting economic pressures</w:t>
      </w:r>
      <w:r>
        <w:rPr>
          <w:sz w:val="18"/>
        </w:rPr>
        <w:t>.</w:t>
      </w:r>
    </w:p>
    <w:p w14:paraId="746D10F5" w14:textId="77777777" w:rsidR="004C4FD4" w:rsidRDefault="004C4FD4">
      <w:pPr>
        <w:pStyle w:val="BodyText"/>
        <w:spacing w:before="1"/>
        <w:ind w:left="0" w:firstLine="0"/>
        <w:rPr>
          <w:sz w:val="21"/>
        </w:rPr>
      </w:pPr>
    </w:p>
    <w:p w14:paraId="173079A6" w14:textId="77777777" w:rsidR="004C4FD4" w:rsidRDefault="004736AC">
      <w:pPr>
        <w:pStyle w:val="Heading2"/>
      </w:pPr>
      <w:r>
        <w:t>Front-end surge demand</w:t>
      </w:r>
    </w:p>
    <w:p w14:paraId="39B7857C" w14:textId="77777777" w:rsidR="004C4FD4" w:rsidRDefault="004736AC">
      <w:pPr>
        <w:pStyle w:val="BodyText"/>
        <w:spacing w:before="73" w:line="300" w:lineRule="auto"/>
        <w:ind w:left="829" w:right="38" w:firstLine="0"/>
        <w:jc w:val="both"/>
      </w:pPr>
      <w:r>
        <w:t>New</w:t>
      </w:r>
      <w:r>
        <w:rPr>
          <w:spacing w:val="-9"/>
        </w:rPr>
        <w:t xml:space="preserve"> </w:t>
      </w:r>
      <w:r>
        <w:t>rules</w:t>
      </w:r>
      <w:r>
        <w:rPr>
          <w:spacing w:val="-9"/>
        </w:rPr>
        <w:t xml:space="preserve"> </w:t>
      </w:r>
      <w:r>
        <w:t>and</w:t>
      </w:r>
      <w:r>
        <w:rPr>
          <w:spacing w:val="-8"/>
        </w:rPr>
        <w:t xml:space="preserve"> </w:t>
      </w:r>
      <w:r>
        <w:t>new</w:t>
      </w:r>
      <w:r>
        <w:rPr>
          <w:spacing w:val="-8"/>
        </w:rPr>
        <w:t xml:space="preserve"> </w:t>
      </w:r>
      <w:r>
        <w:t>claim</w:t>
      </w:r>
      <w:r>
        <w:rPr>
          <w:spacing w:val="-8"/>
        </w:rPr>
        <w:t xml:space="preserve"> </w:t>
      </w:r>
      <w:r>
        <w:t>types</w:t>
      </w:r>
      <w:r>
        <w:rPr>
          <w:spacing w:val="-9"/>
        </w:rPr>
        <w:t xml:space="preserve"> </w:t>
      </w:r>
      <w:r>
        <w:t>(i.e.</w:t>
      </w:r>
      <w:r>
        <w:rPr>
          <w:spacing w:val="-9"/>
        </w:rPr>
        <w:t xml:space="preserve"> </w:t>
      </w:r>
      <w:r>
        <w:t>gig</w:t>
      </w:r>
      <w:r>
        <w:rPr>
          <w:spacing w:val="-9"/>
        </w:rPr>
        <w:t xml:space="preserve"> </w:t>
      </w:r>
      <w:r>
        <w:t>economy,</w:t>
      </w:r>
      <w:r>
        <w:rPr>
          <w:spacing w:val="-9"/>
        </w:rPr>
        <w:t xml:space="preserve"> </w:t>
      </w:r>
      <w:r>
        <w:t>type</w:t>
      </w:r>
      <w:r>
        <w:rPr>
          <w:spacing w:val="-9"/>
        </w:rPr>
        <w:t xml:space="preserve"> </w:t>
      </w:r>
      <w:r>
        <w:t>of</w:t>
      </w:r>
      <w:r>
        <w:rPr>
          <w:spacing w:val="-9"/>
        </w:rPr>
        <w:t xml:space="preserve"> </w:t>
      </w:r>
      <w:r>
        <w:t>job loss) aren’t necessarily supported by current security, portals and applications causing backlogs and limiting the ability to deliver services without manual</w:t>
      </w:r>
      <w:r>
        <w:rPr>
          <w:spacing w:val="-13"/>
        </w:rPr>
        <w:t xml:space="preserve"> </w:t>
      </w:r>
      <w:r>
        <w:t>intervention.</w:t>
      </w:r>
    </w:p>
    <w:p w14:paraId="5088B805" w14:textId="77777777" w:rsidR="004C4FD4" w:rsidRDefault="004736AC">
      <w:pPr>
        <w:pStyle w:val="Heading2"/>
        <w:spacing w:line="274" w:lineRule="exact"/>
      </w:pPr>
      <w:r>
        <w:t>Backend technical scalability</w:t>
      </w:r>
    </w:p>
    <w:p w14:paraId="280866B8" w14:textId="77777777" w:rsidR="004C4FD4" w:rsidRDefault="004736AC">
      <w:pPr>
        <w:pStyle w:val="BodyText"/>
        <w:spacing w:before="69" w:line="297" w:lineRule="auto"/>
        <w:ind w:left="829" w:right="38" w:firstLine="0"/>
        <w:jc w:val="both"/>
      </w:pPr>
      <w:r>
        <w:t>Applications,</w:t>
      </w:r>
      <w:r>
        <w:rPr>
          <w:spacing w:val="-11"/>
        </w:rPr>
        <w:t xml:space="preserve"> </w:t>
      </w:r>
      <w:r>
        <w:t>databases</w:t>
      </w:r>
      <w:r>
        <w:rPr>
          <w:spacing w:val="-7"/>
        </w:rPr>
        <w:t xml:space="preserve"> </w:t>
      </w:r>
      <w:r>
        <w:t>and</w:t>
      </w:r>
      <w:r>
        <w:rPr>
          <w:spacing w:val="-7"/>
        </w:rPr>
        <w:t xml:space="preserve"> </w:t>
      </w:r>
      <w:r>
        <w:t>access</w:t>
      </w:r>
      <w:r>
        <w:rPr>
          <w:spacing w:val="-9"/>
        </w:rPr>
        <w:t xml:space="preserve"> </w:t>
      </w:r>
      <w:r>
        <w:t>to</w:t>
      </w:r>
      <w:r>
        <w:rPr>
          <w:spacing w:val="-10"/>
        </w:rPr>
        <w:t xml:space="preserve"> </w:t>
      </w:r>
      <w:r>
        <w:t>business</w:t>
      </w:r>
      <w:r>
        <w:rPr>
          <w:spacing w:val="-9"/>
        </w:rPr>
        <w:t xml:space="preserve"> </w:t>
      </w:r>
      <w:r>
        <w:t>rul</w:t>
      </w:r>
      <w:r>
        <w:t>es</w:t>
      </w:r>
      <w:r>
        <w:rPr>
          <w:spacing w:val="1"/>
        </w:rPr>
        <w:t xml:space="preserve"> </w:t>
      </w:r>
      <w:r>
        <w:t>aren’t scalable</w:t>
      </w:r>
      <w:r>
        <w:rPr>
          <w:spacing w:val="-11"/>
        </w:rPr>
        <w:t xml:space="preserve"> </w:t>
      </w:r>
      <w:r>
        <w:t>to</w:t>
      </w:r>
      <w:r>
        <w:rPr>
          <w:spacing w:val="-11"/>
        </w:rPr>
        <w:t xml:space="preserve"> </w:t>
      </w:r>
      <w:r>
        <w:t>the</w:t>
      </w:r>
      <w:r>
        <w:rPr>
          <w:spacing w:val="-11"/>
        </w:rPr>
        <w:t xml:space="preserve"> </w:t>
      </w:r>
      <w:r>
        <w:t>degree</w:t>
      </w:r>
      <w:r>
        <w:rPr>
          <w:spacing w:val="-11"/>
        </w:rPr>
        <w:t xml:space="preserve"> </w:t>
      </w:r>
      <w:r>
        <w:t>required</w:t>
      </w:r>
      <w:r>
        <w:rPr>
          <w:spacing w:val="-10"/>
        </w:rPr>
        <w:t xml:space="preserve"> </w:t>
      </w:r>
      <w:r>
        <w:t>due</w:t>
      </w:r>
      <w:r>
        <w:rPr>
          <w:spacing w:val="-11"/>
        </w:rPr>
        <w:t xml:space="preserve"> </w:t>
      </w:r>
      <w:r>
        <w:t>to</w:t>
      </w:r>
      <w:r>
        <w:rPr>
          <w:spacing w:val="-11"/>
        </w:rPr>
        <w:t xml:space="preserve"> </w:t>
      </w:r>
      <w:r>
        <w:t>volume</w:t>
      </w:r>
      <w:r>
        <w:rPr>
          <w:spacing w:val="-11"/>
        </w:rPr>
        <w:t xml:space="preserve"> </w:t>
      </w:r>
      <w:r>
        <w:t>spikes.</w:t>
      </w:r>
      <w:r>
        <w:rPr>
          <w:spacing w:val="-12"/>
        </w:rPr>
        <w:t xml:space="preserve"> </w:t>
      </w:r>
      <w:r>
        <w:t>These challenges</w:t>
      </w:r>
      <w:r>
        <w:rPr>
          <w:spacing w:val="-10"/>
        </w:rPr>
        <w:t xml:space="preserve"> </w:t>
      </w:r>
      <w:r>
        <w:t>are</w:t>
      </w:r>
      <w:r>
        <w:rPr>
          <w:spacing w:val="-9"/>
        </w:rPr>
        <w:t xml:space="preserve"> </w:t>
      </w:r>
      <w:r>
        <w:t>creating</w:t>
      </w:r>
      <w:r>
        <w:rPr>
          <w:spacing w:val="-9"/>
        </w:rPr>
        <w:t xml:space="preserve"> </w:t>
      </w:r>
      <w:r>
        <w:t>a</w:t>
      </w:r>
      <w:r>
        <w:rPr>
          <w:spacing w:val="-9"/>
        </w:rPr>
        <w:t xml:space="preserve"> </w:t>
      </w:r>
      <w:r>
        <w:t>need</w:t>
      </w:r>
      <w:r>
        <w:rPr>
          <w:spacing w:val="-8"/>
        </w:rPr>
        <w:t xml:space="preserve"> </w:t>
      </w:r>
      <w:r>
        <w:t>for</w:t>
      </w:r>
      <w:r>
        <w:rPr>
          <w:spacing w:val="-9"/>
        </w:rPr>
        <w:t xml:space="preserve"> </w:t>
      </w:r>
      <w:r>
        <w:t>manual</w:t>
      </w:r>
      <w:r>
        <w:rPr>
          <w:spacing w:val="-10"/>
        </w:rPr>
        <w:t xml:space="preserve"> </w:t>
      </w:r>
      <w:r>
        <w:t>overrides,</w:t>
      </w:r>
      <w:r>
        <w:rPr>
          <w:spacing w:val="-9"/>
        </w:rPr>
        <w:t xml:space="preserve"> </w:t>
      </w:r>
      <w:r>
        <w:t>tuning, extended monitoring, additional capacity and system resources.</w:t>
      </w:r>
    </w:p>
    <w:p w14:paraId="65595E95" w14:textId="77777777" w:rsidR="004C4FD4" w:rsidRDefault="004736AC">
      <w:pPr>
        <w:pStyle w:val="Heading2"/>
        <w:spacing w:line="284" w:lineRule="exact"/>
      </w:pPr>
      <w:r>
        <w:t>Additional Workforce and Work at Home</w:t>
      </w:r>
    </w:p>
    <w:p w14:paraId="308E6DBF" w14:textId="77777777" w:rsidR="004C4FD4" w:rsidRDefault="004736AC">
      <w:pPr>
        <w:pStyle w:val="BodyText"/>
        <w:spacing w:before="68" w:line="297" w:lineRule="auto"/>
        <w:ind w:left="829" w:right="55" w:firstLine="0"/>
      </w:pPr>
      <w:r>
        <w:t>Increased claim &amp; call c</w:t>
      </w:r>
      <w:r>
        <w:t>enter volumes have required hiring and retaining additional workforce for the foreseeable future. Adding to the complexity of acquiring and training additional workers, the workforce needs the ability to work in a safe place requiring secure, remote access</w:t>
      </w:r>
      <w:r>
        <w:t>.</w:t>
      </w:r>
    </w:p>
    <w:p w14:paraId="6314F647" w14:textId="77777777" w:rsidR="004C4FD4" w:rsidRDefault="004736AC">
      <w:pPr>
        <w:pStyle w:val="Heading2"/>
        <w:spacing w:line="279" w:lineRule="exact"/>
      </w:pPr>
      <w:r>
        <w:t>Citizens Back to Work</w:t>
      </w:r>
    </w:p>
    <w:p w14:paraId="3638DCFB" w14:textId="77777777" w:rsidR="004C4FD4" w:rsidRDefault="004736AC">
      <w:pPr>
        <w:pStyle w:val="BodyText"/>
        <w:spacing w:before="64" w:line="297" w:lineRule="auto"/>
        <w:ind w:left="829" w:right="39" w:firstLine="0"/>
        <w:jc w:val="both"/>
      </w:pPr>
      <w:r>
        <w:t>As economic pressures mount, workforce Leaders will be key players in accelerating back-to-work programs. ‘Reemployment’ processes and supporting systems are going to require scalability and adaptability given the new population of unemployed in order to e</w:t>
      </w:r>
      <w:r>
        <w:t xml:space="preserve">ffectively place </w:t>
      </w:r>
      <w:proofErr w:type="spellStart"/>
      <w:r>
        <w:t>citizensinto</w:t>
      </w:r>
      <w:proofErr w:type="spellEnd"/>
      <w:r>
        <w:rPr>
          <w:spacing w:val="-6"/>
        </w:rPr>
        <w:t xml:space="preserve"> </w:t>
      </w:r>
      <w:r>
        <w:t>jobs</w:t>
      </w:r>
      <w:r>
        <w:rPr>
          <w:spacing w:val="-5"/>
        </w:rPr>
        <w:t xml:space="preserve"> </w:t>
      </w:r>
      <w:r>
        <w:t>at</w:t>
      </w:r>
      <w:r>
        <w:rPr>
          <w:spacing w:val="-6"/>
        </w:rPr>
        <w:t xml:space="preserve"> </w:t>
      </w:r>
      <w:r>
        <w:t>the</w:t>
      </w:r>
      <w:r>
        <w:rPr>
          <w:spacing w:val="-5"/>
        </w:rPr>
        <w:t xml:space="preserve"> </w:t>
      </w:r>
      <w:r>
        <w:t>required</w:t>
      </w:r>
      <w:r>
        <w:rPr>
          <w:spacing w:val="-6"/>
        </w:rPr>
        <w:t xml:space="preserve"> </w:t>
      </w:r>
      <w:r>
        <w:t>rate</w:t>
      </w:r>
      <w:r>
        <w:rPr>
          <w:spacing w:val="-5"/>
        </w:rPr>
        <w:t xml:space="preserve"> </w:t>
      </w:r>
      <w:r>
        <w:t>for</w:t>
      </w:r>
      <w:r>
        <w:rPr>
          <w:spacing w:val="-6"/>
        </w:rPr>
        <w:t xml:space="preserve"> </w:t>
      </w:r>
      <w:r>
        <w:t>economic</w:t>
      </w:r>
      <w:r>
        <w:rPr>
          <w:spacing w:val="-12"/>
        </w:rPr>
        <w:t xml:space="preserve"> </w:t>
      </w:r>
      <w:r>
        <w:t>recovery.</w:t>
      </w:r>
    </w:p>
    <w:p w14:paraId="3E826532" w14:textId="77777777" w:rsidR="004C4FD4" w:rsidRDefault="004736AC">
      <w:pPr>
        <w:pStyle w:val="Heading2"/>
        <w:spacing w:line="280" w:lineRule="exact"/>
      </w:pPr>
      <w:r>
        <w:t>Program Integrity</w:t>
      </w:r>
    </w:p>
    <w:p w14:paraId="2B710B1A" w14:textId="77777777" w:rsidR="004C4FD4" w:rsidRDefault="004736AC">
      <w:pPr>
        <w:pStyle w:val="BodyText"/>
        <w:spacing w:before="63" w:line="297" w:lineRule="auto"/>
        <w:ind w:left="829" w:right="38" w:firstLine="0"/>
        <w:jc w:val="both"/>
      </w:pPr>
      <w:r>
        <w:t>Ensuring the ‘Right Person Receives the Right Benefit’ is crucial for state agencies during surge, as well as, through recovery. As demand for benefits peaks, organized crime rings will be hidden in plain sight siphoning off hundreds of millions of benefit</w:t>
      </w:r>
      <w:r>
        <w:t xml:space="preserve"> dollars that could have helped those in legitimate need. During recovery, some opportunistic individuals may delay their return to work in an effort to maximize their benefit elections costing state UI programs tens of millions in claims that never should</w:t>
      </w:r>
      <w:r>
        <w:t xml:space="preserve"> have been paid.</w:t>
      </w:r>
    </w:p>
    <w:p w14:paraId="2AC3B96A" w14:textId="77777777" w:rsidR="004C4FD4" w:rsidRDefault="004C4FD4">
      <w:pPr>
        <w:pStyle w:val="BodyText"/>
        <w:spacing w:before="7"/>
        <w:ind w:left="0" w:firstLine="0"/>
        <w:rPr>
          <w:sz w:val="21"/>
        </w:rPr>
      </w:pPr>
    </w:p>
    <w:p w14:paraId="31ACF099" w14:textId="77777777" w:rsidR="004C4FD4" w:rsidRDefault="004736AC">
      <w:pPr>
        <w:ind w:left="800" w:right="181"/>
        <w:rPr>
          <w:b/>
          <w:sz w:val="16"/>
        </w:rPr>
      </w:pPr>
      <w:r>
        <w:rPr>
          <w:b/>
          <w:color w:val="3D75B6"/>
          <w:sz w:val="16"/>
        </w:rPr>
        <w:t xml:space="preserve">Learn more </w:t>
      </w:r>
      <w:hyperlink r:id="rId6">
        <w:r>
          <w:rPr>
            <w:b/>
            <w:color w:val="3D75B6"/>
            <w:sz w:val="16"/>
          </w:rPr>
          <w:t xml:space="preserve">www.ibm.com/impact/covid-19 </w:t>
        </w:r>
      </w:hyperlink>
      <w:r>
        <w:rPr>
          <w:b/>
          <w:color w:val="3D75B6"/>
          <w:sz w:val="16"/>
        </w:rPr>
        <w:t>or contact your IBM representative</w:t>
      </w:r>
    </w:p>
    <w:p w14:paraId="5296F64C" w14:textId="77777777" w:rsidR="004C4FD4" w:rsidRDefault="004C4FD4">
      <w:pPr>
        <w:pStyle w:val="BodyText"/>
        <w:spacing w:before="2"/>
        <w:ind w:left="0" w:firstLine="0"/>
        <w:rPr>
          <w:b/>
          <w:sz w:val="15"/>
        </w:rPr>
      </w:pPr>
    </w:p>
    <w:p w14:paraId="04739DDA" w14:textId="77777777" w:rsidR="004C4FD4" w:rsidRDefault="004736AC">
      <w:pPr>
        <w:spacing w:before="1" w:line="235" w:lineRule="auto"/>
        <w:ind w:left="800" w:right="316"/>
        <w:rPr>
          <w:sz w:val="15"/>
        </w:rPr>
      </w:pPr>
      <w:r>
        <w:rPr>
          <w:color w:val="8D8D8D"/>
          <w:sz w:val="15"/>
        </w:rPr>
        <w:t>* IBM Global Financing is subject to credit approval. Photos licensed under creative commons.</w:t>
      </w:r>
    </w:p>
    <w:p w14:paraId="627B584F" w14:textId="77777777" w:rsidR="004C4FD4" w:rsidRDefault="004736AC">
      <w:pPr>
        <w:pStyle w:val="BodyText"/>
        <w:spacing w:before="10" w:after="39"/>
        <w:ind w:left="0" w:firstLine="0"/>
        <w:rPr>
          <w:sz w:val="25"/>
        </w:rPr>
      </w:pPr>
      <w:r>
        <w:br w:type="column"/>
      </w:r>
    </w:p>
    <w:p w14:paraId="30F7BDAB" w14:textId="77777777" w:rsidR="004C4FD4" w:rsidRDefault="004736AC">
      <w:pPr>
        <w:pStyle w:val="BodyText"/>
        <w:spacing w:before="0"/>
        <w:ind w:left="4553" w:firstLine="0"/>
        <w:rPr>
          <w:sz w:val="20"/>
        </w:rPr>
      </w:pPr>
      <w:r>
        <w:rPr>
          <w:noProof/>
          <w:sz w:val="20"/>
        </w:rPr>
        <w:drawing>
          <wp:inline distT="0" distB="0" distL="0" distR="0" wp14:anchorId="5D45A153" wp14:editId="534ACB09">
            <wp:extent cx="468058" cy="216026"/>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468058" cy="216026"/>
                    </a:xfrm>
                    <a:prstGeom prst="rect">
                      <a:avLst/>
                    </a:prstGeom>
                  </pic:spPr>
                </pic:pic>
              </a:graphicData>
            </a:graphic>
          </wp:inline>
        </w:drawing>
      </w:r>
    </w:p>
    <w:p w14:paraId="2B342356" w14:textId="77777777" w:rsidR="004C4FD4" w:rsidRDefault="004736AC">
      <w:pPr>
        <w:pStyle w:val="Heading1"/>
        <w:spacing w:line="278" w:lineRule="exact"/>
        <w:jc w:val="both"/>
      </w:pPr>
      <w:r>
        <w:rPr>
          <w:color w:val="3D75B6"/>
        </w:rPr>
        <w:t>Our Approac</w:t>
      </w:r>
      <w:r>
        <w:rPr>
          <w:color w:val="3D75B6"/>
        </w:rPr>
        <w:t>h:</w:t>
      </w:r>
    </w:p>
    <w:p w14:paraId="0A3C6865" w14:textId="77777777" w:rsidR="004C4FD4" w:rsidRDefault="004736AC">
      <w:pPr>
        <w:pStyle w:val="BodyText"/>
        <w:spacing w:before="0" w:line="276" w:lineRule="auto"/>
        <w:ind w:left="109" w:right="104" w:firstLine="0"/>
        <w:jc w:val="both"/>
      </w:pPr>
      <w:r>
        <w:t>IBM has considered the needs of citizens, agency employees and IT departments in developing a holistic approach for capabilities and offerings addressing the most urgent demands while providing options to remediate inherent issues within current operati</w:t>
      </w:r>
      <w:r>
        <w:t>ons. Outcomes of our approach include:</w:t>
      </w:r>
    </w:p>
    <w:p w14:paraId="4A7DAF7A" w14:textId="77777777" w:rsidR="004C4FD4" w:rsidRDefault="004736AC">
      <w:pPr>
        <w:pStyle w:val="ListParagraph"/>
        <w:numPr>
          <w:ilvl w:val="0"/>
          <w:numId w:val="2"/>
        </w:numPr>
        <w:tabs>
          <w:tab w:val="left" w:pos="830"/>
        </w:tabs>
        <w:spacing w:before="37" w:line="266" w:lineRule="auto"/>
        <w:ind w:right="99"/>
        <w:jc w:val="both"/>
        <w:rPr>
          <w:sz w:val="16"/>
        </w:rPr>
      </w:pPr>
      <w:r>
        <w:rPr>
          <w:sz w:val="16"/>
        </w:rPr>
        <w:t>Easier citizen interface reducing complexity, increasing effectiveness of online</w:t>
      </w:r>
      <w:r>
        <w:rPr>
          <w:spacing w:val="-4"/>
          <w:sz w:val="16"/>
        </w:rPr>
        <w:t xml:space="preserve"> </w:t>
      </w:r>
      <w:r>
        <w:rPr>
          <w:sz w:val="16"/>
        </w:rPr>
        <w:t>services</w:t>
      </w:r>
    </w:p>
    <w:p w14:paraId="52C1AB6B" w14:textId="77777777" w:rsidR="004C4FD4" w:rsidRDefault="004736AC">
      <w:pPr>
        <w:pStyle w:val="ListParagraph"/>
        <w:numPr>
          <w:ilvl w:val="0"/>
          <w:numId w:val="2"/>
        </w:numPr>
        <w:tabs>
          <w:tab w:val="left" w:pos="830"/>
        </w:tabs>
        <w:spacing w:before="44" w:line="266" w:lineRule="auto"/>
        <w:ind w:right="100"/>
        <w:jc w:val="both"/>
        <w:rPr>
          <w:sz w:val="16"/>
        </w:rPr>
      </w:pPr>
      <w:r>
        <w:rPr>
          <w:sz w:val="16"/>
        </w:rPr>
        <w:t>Improved ability to monitor potential bottlenecks in order to identify, predict and avoid issues across the</w:t>
      </w:r>
      <w:r>
        <w:rPr>
          <w:spacing w:val="-11"/>
          <w:sz w:val="16"/>
        </w:rPr>
        <w:t xml:space="preserve"> </w:t>
      </w:r>
      <w:r>
        <w:rPr>
          <w:sz w:val="16"/>
        </w:rPr>
        <w:t>environment</w:t>
      </w:r>
    </w:p>
    <w:p w14:paraId="6ADA0860" w14:textId="77777777" w:rsidR="004C4FD4" w:rsidRDefault="004736AC">
      <w:pPr>
        <w:pStyle w:val="ListParagraph"/>
        <w:numPr>
          <w:ilvl w:val="0"/>
          <w:numId w:val="2"/>
        </w:numPr>
        <w:tabs>
          <w:tab w:val="left" w:pos="830"/>
        </w:tabs>
        <w:spacing w:before="49" w:line="268" w:lineRule="auto"/>
        <w:ind w:right="100"/>
        <w:jc w:val="both"/>
        <w:rPr>
          <w:sz w:val="16"/>
        </w:rPr>
      </w:pPr>
      <w:r>
        <w:rPr>
          <w:sz w:val="16"/>
        </w:rPr>
        <w:t>Rapidly deploy access to mission critical application(s) within 30 minutes, no changes to hardware or network, improving remote worker</w:t>
      </w:r>
      <w:r>
        <w:rPr>
          <w:spacing w:val="-5"/>
          <w:sz w:val="16"/>
        </w:rPr>
        <w:t xml:space="preserve"> </w:t>
      </w:r>
      <w:r>
        <w:rPr>
          <w:sz w:val="16"/>
        </w:rPr>
        <w:t>p</w:t>
      </w:r>
      <w:r>
        <w:rPr>
          <w:sz w:val="16"/>
        </w:rPr>
        <w:t>erformance</w:t>
      </w:r>
    </w:p>
    <w:p w14:paraId="49804947" w14:textId="77777777" w:rsidR="004C4FD4" w:rsidRDefault="004736AC">
      <w:pPr>
        <w:pStyle w:val="ListParagraph"/>
        <w:numPr>
          <w:ilvl w:val="0"/>
          <w:numId w:val="2"/>
        </w:numPr>
        <w:tabs>
          <w:tab w:val="left" w:pos="830"/>
        </w:tabs>
        <w:spacing w:before="41" w:line="266" w:lineRule="auto"/>
        <w:ind w:right="100"/>
        <w:jc w:val="both"/>
        <w:rPr>
          <w:sz w:val="16"/>
        </w:rPr>
      </w:pPr>
      <w:r>
        <w:rPr>
          <w:sz w:val="16"/>
        </w:rPr>
        <w:t>Increased call center effectiveness - scale call center capacity in as little as a</w:t>
      </w:r>
      <w:r>
        <w:rPr>
          <w:spacing w:val="-3"/>
          <w:sz w:val="16"/>
        </w:rPr>
        <w:t xml:space="preserve"> </w:t>
      </w:r>
      <w:r>
        <w:rPr>
          <w:sz w:val="16"/>
        </w:rPr>
        <w:t>day</w:t>
      </w:r>
    </w:p>
    <w:p w14:paraId="5988131D" w14:textId="77777777" w:rsidR="004C4FD4" w:rsidRDefault="004736AC">
      <w:pPr>
        <w:pStyle w:val="ListParagraph"/>
        <w:numPr>
          <w:ilvl w:val="0"/>
          <w:numId w:val="2"/>
        </w:numPr>
        <w:tabs>
          <w:tab w:val="left" w:pos="830"/>
        </w:tabs>
        <w:spacing w:before="1"/>
        <w:ind w:hanging="362"/>
        <w:jc w:val="both"/>
        <w:rPr>
          <w:sz w:val="16"/>
        </w:rPr>
      </w:pPr>
      <w:r>
        <w:rPr>
          <w:sz w:val="16"/>
        </w:rPr>
        <w:t>Workforce flexibility for home / office (worker</w:t>
      </w:r>
      <w:r>
        <w:rPr>
          <w:spacing w:val="-16"/>
          <w:sz w:val="16"/>
        </w:rPr>
        <w:t xml:space="preserve"> </w:t>
      </w:r>
      <w:r>
        <w:rPr>
          <w:sz w:val="16"/>
        </w:rPr>
        <w:t>safety)</w:t>
      </w:r>
    </w:p>
    <w:p w14:paraId="54523612" w14:textId="77777777" w:rsidR="004C4FD4" w:rsidRDefault="004736AC">
      <w:pPr>
        <w:pStyle w:val="ListParagraph"/>
        <w:numPr>
          <w:ilvl w:val="0"/>
          <w:numId w:val="2"/>
        </w:numPr>
        <w:tabs>
          <w:tab w:val="left" w:pos="829"/>
          <w:tab w:val="left" w:pos="830"/>
        </w:tabs>
        <w:spacing w:before="37" w:line="261" w:lineRule="auto"/>
        <w:ind w:right="218"/>
        <w:rPr>
          <w:sz w:val="16"/>
        </w:rPr>
      </w:pPr>
      <w:r>
        <w:rPr>
          <w:sz w:val="16"/>
        </w:rPr>
        <w:t>Workspace accessibility from on/off-premises, device agnostics access</w:t>
      </w:r>
    </w:p>
    <w:p w14:paraId="70F13803" w14:textId="77777777" w:rsidR="004C4FD4" w:rsidRDefault="004736AC">
      <w:pPr>
        <w:pStyle w:val="ListParagraph"/>
        <w:numPr>
          <w:ilvl w:val="0"/>
          <w:numId w:val="2"/>
        </w:numPr>
        <w:tabs>
          <w:tab w:val="left" w:pos="829"/>
          <w:tab w:val="left" w:pos="830"/>
        </w:tabs>
        <w:spacing w:before="48" w:line="261" w:lineRule="auto"/>
        <w:ind w:right="170"/>
        <w:rPr>
          <w:sz w:val="16"/>
        </w:rPr>
      </w:pPr>
      <w:r>
        <w:rPr>
          <w:sz w:val="16"/>
        </w:rPr>
        <w:t>Process cycle time improvements, reduced manual intervention, reduced costs, reduced error</w:t>
      </w:r>
      <w:r>
        <w:rPr>
          <w:spacing w:val="-14"/>
          <w:sz w:val="16"/>
        </w:rPr>
        <w:t xml:space="preserve"> </w:t>
      </w:r>
      <w:r>
        <w:rPr>
          <w:sz w:val="16"/>
        </w:rPr>
        <w:t>rates</w:t>
      </w:r>
    </w:p>
    <w:p w14:paraId="70FEC55F" w14:textId="77777777" w:rsidR="004C4FD4" w:rsidRDefault="004736AC">
      <w:pPr>
        <w:pStyle w:val="ListParagraph"/>
        <w:numPr>
          <w:ilvl w:val="0"/>
          <w:numId w:val="2"/>
        </w:numPr>
        <w:tabs>
          <w:tab w:val="left" w:pos="829"/>
          <w:tab w:val="left" w:pos="830"/>
        </w:tabs>
        <w:spacing w:before="5"/>
        <w:ind w:hanging="362"/>
        <w:rPr>
          <w:sz w:val="16"/>
        </w:rPr>
      </w:pPr>
      <w:r>
        <w:rPr>
          <w:sz w:val="16"/>
        </w:rPr>
        <w:t>Additional resource support and</w:t>
      </w:r>
      <w:r>
        <w:rPr>
          <w:spacing w:val="-11"/>
          <w:sz w:val="16"/>
        </w:rPr>
        <w:t xml:space="preserve"> </w:t>
      </w:r>
      <w:r>
        <w:rPr>
          <w:sz w:val="16"/>
        </w:rPr>
        <w:t>scalability</w:t>
      </w:r>
    </w:p>
    <w:p w14:paraId="78E6B822" w14:textId="77777777" w:rsidR="004C4FD4" w:rsidRDefault="004736AC">
      <w:pPr>
        <w:pStyle w:val="ListParagraph"/>
        <w:numPr>
          <w:ilvl w:val="0"/>
          <w:numId w:val="2"/>
        </w:numPr>
        <w:tabs>
          <w:tab w:val="left" w:pos="829"/>
          <w:tab w:val="left" w:pos="830"/>
        </w:tabs>
        <w:spacing w:before="56"/>
        <w:ind w:hanging="362"/>
        <w:rPr>
          <w:sz w:val="16"/>
        </w:rPr>
      </w:pPr>
      <w:r>
        <w:rPr>
          <w:sz w:val="16"/>
        </w:rPr>
        <w:t>Workforce recruitment and</w:t>
      </w:r>
      <w:r>
        <w:rPr>
          <w:spacing w:val="-2"/>
          <w:sz w:val="16"/>
        </w:rPr>
        <w:t xml:space="preserve"> </w:t>
      </w:r>
      <w:r>
        <w:rPr>
          <w:sz w:val="16"/>
        </w:rPr>
        <w:t>training</w:t>
      </w:r>
    </w:p>
    <w:p w14:paraId="4632DC79" w14:textId="77777777" w:rsidR="004C4FD4" w:rsidRDefault="004736AC">
      <w:pPr>
        <w:pStyle w:val="ListParagraph"/>
        <w:numPr>
          <w:ilvl w:val="0"/>
          <w:numId w:val="2"/>
        </w:numPr>
        <w:tabs>
          <w:tab w:val="left" w:pos="829"/>
          <w:tab w:val="left" w:pos="830"/>
        </w:tabs>
        <w:spacing w:before="57"/>
        <w:ind w:hanging="362"/>
        <w:rPr>
          <w:sz w:val="16"/>
        </w:rPr>
      </w:pPr>
      <w:r>
        <w:rPr>
          <w:sz w:val="16"/>
        </w:rPr>
        <w:t>Reemployment</w:t>
      </w:r>
      <w:r>
        <w:rPr>
          <w:spacing w:val="-2"/>
          <w:sz w:val="16"/>
        </w:rPr>
        <w:t xml:space="preserve"> </w:t>
      </w:r>
      <w:r>
        <w:rPr>
          <w:sz w:val="16"/>
        </w:rPr>
        <w:t>acceleration</w:t>
      </w:r>
    </w:p>
    <w:p w14:paraId="2840EBFE" w14:textId="77777777" w:rsidR="004C4FD4" w:rsidRDefault="004736AC">
      <w:pPr>
        <w:pStyle w:val="ListParagraph"/>
        <w:numPr>
          <w:ilvl w:val="0"/>
          <w:numId w:val="2"/>
        </w:numPr>
        <w:tabs>
          <w:tab w:val="left" w:pos="829"/>
          <w:tab w:val="left" w:pos="830"/>
        </w:tabs>
        <w:spacing w:before="61"/>
        <w:ind w:hanging="362"/>
        <w:rPr>
          <w:sz w:val="16"/>
        </w:rPr>
      </w:pPr>
      <w:r>
        <w:rPr>
          <w:sz w:val="16"/>
        </w:rPr>
        <w:t>Identifying and preventing Organized Criminal</w:t>
      </w:r>
      <w:r>
        <w:rPr>
          <w:spacing w:val="-6"/>
          <w:sz w:val="16"/>
        </w:rPr>
        <w:t xml:space="preserve"> </w:t>
      </w:r>
      <w:r>
        <w:rPr>
          <w:sz w:val="16"/>
        </w:rPr>
        <w:t>Activity</w:t>
      </w:r>
    </w:p>
    <w:p w14:paraId="5DAA478A" w14:textId="77777777" w:rsidR="004C4FD4" w:rsidRDefault="004C4FD4">
      <w:pPr>
        <w:pStyle w:val="BodyText"/>
        <w:spacing w:before="6"/>
        <w:ind w:left="0" w:firstLine="0"/>
        <w:rPr>
          <w:sz w:val="3"/>
        </w:rPr>
      </w:pPr>
    </w:p>
    <w:p w14:paraId="688751EC" w14:textId="77777777" w:rsidR="004C4FD4" w:rsidRDefault="004736AC">
      <w:pPr>
        <w:pStyle w:val="BodyText"/>
        <w:spacing w:before="0"/>
        <w:ind w:left="858" w:firstLine="0"/>
        <w:rPr>
          <w:sz w:val="20"/>
        </w:rPr>
      </w:pPr>
      <w:r>
        <w:rPr>
          <w:noProof/>
          <w:sz w:val="20"/>
        </w:rPr>
        <w:drawing>
          <wp:inline distT="0" distB="0" distL="0" distR="0" wp14:anchorId="775C08F5" wp14:editId="20D0A667">
            <wp:extent cx="952755" cy="550354"/>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952755" cy="550354"/>
                    </a:xfrm>
                    <a:prstGeom prst="rect">
                      <a:avLst/>
                    </a:prstGeom>
                  </pic:spPr>
                </pic:pic>
              </a:graphicData>
            </a:graphic>
          </wp:inline>
        </w:drawing>
      </w:r>
    </w:p>
    <w:p w14:paraId="2A5EADF1" w14:textId="77777777" w:rsidR="004C4FD4" w:rsidRDefault="004736AC">
      <w:pPr>
        <w:pStyle w:val="Heading1"/>
        <w:spacing w:before="19"/>
        <w:ind w:left="356"/>
      </w:pPr>
      <w:r>
        <w:rPr>
          <w:color w:val="3D75B6"/>
        </w:rPr>
        <w:t>Our Offerings</w:t>
      </w:r>
    </w:p>
    <w:p w14:paraId="0D43BCE9" w14:textId="77777777" w:rsidR="004C4FD4" w:rsidRDefault="004736AC">
      <w:pPr>
        <w:pStyle w:val="ListParagraph"/>
        <w:numPr>
          <w:ilvl w:val="0"/>
          <w:numId w:val="1"/>
        </w:numPr>
        <w:tabs>
          <w:tab w:val="left" w:pos="740"/>
          <w:tab w:val="left" w:pos="741"/>
        </w:tabs>
        <w:spacing w:before="38" w:line="302" w:lineRule="auto"/>
        <w:ind w:right="688"/>
        <w:rPr>
          <w:sz w:val="16"/>
        </w:rPr>
      </w:pPr>
      <w:r>
        <w:rPr>
          <w:sz w:val="16"/>
        </w:rPr>
        <w:t>Systems Environment Health Check and Assessment (Security, Web Portal, Applications Databases, Monitoring) Services</w:t>
      </w:r>
    </w:p>
    <w:p w14:paraId="7AB2FF9F" w14:textId="77777777" w:rsidR="004C4FD4" w:rsidRDefault="004736AC">
      <w:pPr>
        <w:pStyle w:val="ListParagraph"/>
        <w:numPr>
          <w:ilvl w:val="0"/>
          <w:numId w:val="1"/>
        </w:numPr>
        <w:tabs>
          <w:tab w:val="left" w:pos="740"/>
          <w:tab w:val="left" w:pos="741"/>
        </w:tabs>
        <w:spacing w:before="46" w:line="295" w:lineRule="auto"/>
        <w:ind w:right="1385"/>
        <w:rPr>
          <w:sz w:val="16"/>
        </w:rPr>
      </w:pPr>
      <w:r>
        <w:rPr>
          <w:sz w:val="16"/>
        </w:rPr>
        <w:t>Front-end (</w:t>
      </w:r>
      <w:proofErr w:type="spellStart"/>
      <w:r>
        <w:rPr>
          <w:sz w:val="16"/>
        </w:rPr>
        <w:t>SalesForce</w:t>
      </w:r>
      <w:proofErr w:type="spellEnd"/>
      <w:r>
        <w:rPr>
          <w:sz w:val="16"/>
        </w:rPr>
        <w:t>, SAP, Citizen Engage</w:t>
      </w:r>
      <w:r>
        <w:rPr>
          <w:sz w:val="16"/>
        </w:rPr>
        <w:t>ment Portal)</w:t>
      </w:r>
    </w:p>
    <w:p w14:paraId="400573D1" w14:textId="77777777" w:rsidR="004C4FD4" w:rsidRDefault="004736AC">
      <w:pPr>
        <w:pStyle w:val="ListParagraph"/>
        <w:numPr>
          <w:ilvl w:val="0"/>
          <w:numId w:val="1"/>
        </w:numPr>
        <w:tabs>
          <w:tab w:val="left" w:pos="740"/>
          <w:tab w:val="left" w:pos="741"/>
        </w:tabs>
        <w:spacing w:before="14"/>
        <w:ind w:hanging="362"/>
        <w:rPr>
          <w:sz w:val="16"/>
        </w:rPr>
      </w:pPr>
      <w:r>
        <w:rPr>
          <w:sz w:val="16"/>
        </w:rPr>
        <w:t>IT Optimization, Database Tuning, Network</w:t>
      </w:r>
      <w:r>
        <w:rPr>
          <w:spacing w:val="-10"/>
          <w:sz w:val="16"/>
        </w:rPr>
        <w:t xml:space="preserve"> </w:t>
      </w:r>
      <w:r>
        <w:rPr>
          <w:sz w:val="16"/>
        </w:rPr>
        <w:t>Services</w:t>
      </w:r>
    </w:p>
    <w:p w14:paraId="2C38F8E9" w14:textId="77777777" w:rsidR="004C4FD4" w:rsidRDefault="004736AC">
      <w:pPr>
        <w:pStyle w:val="ListParagraph"/>
        <w:numPr>
          <w:ilvl w:val="0"/>
          <w:numId w:val="1"/>
        </w:numPr>
        <w:tabs>
          <w:tab w:val="left" w:pos="740"/>
          <w:tab w:val="left" w:pos="741"/>
        </w:tabs>
        <w:spacing w:before="90"/>
        <w:ind w:hanging="362"/>
        <w:rPr>
          <w:sz w:val="16"/>
        </w:rPr>
      </w:pPr>
      <w:r>
        <w:rPr>
          <w:sz w:val="16"/>
        </w:rPr>
        <w:t>System Monitoring</w:t>
      </w:r>
      <w:r>
        <w:rPr>
          <w:spacing w:val="1"/>
          <w:sz w:val="16"/>
        </w:rPr>
        <w:t xml:space="preserve"> </w:t>
      </w:r>
      <w:r>
        <w:rPr>
          <w:sz w:val="16"/>
        </w:rPr>
        <w:t>Services</w:t>
      </w:r>
    </w:p>
    <w:p w14:paraId="20B1D046" w14:textId="77777777" w:rsidR="004C4FD4" w:rsidRDefault="004736AC">
      <w:pPr>
        <w:pStyle w:val="ListParagraph"/>
        <w:numPr>
          <w:ilvl w:val="0"/>
          <w:numId w:val="1"/>
        </w:numPr>
        <w:tabs>
          <w:tab w:val="left" w:pos="740"/>
          <w:tab w:val="left" w:pos="741"/>
        </w:tabs>
        <w:spacing w:before="99" w:line="295" w:lineRule="auto"/>
        <w:ind w:right="1312"/>
        <w:rPr>
          <w:sz w:val="16"/>
        </w:rPr>
      </w:pPr>
      <w:r>
        <w:rPr>
          <w:sz w:val="16"/>
        </w:rPr>
        <w:t>Application Assessment, Modernization Roadmap Services</w:t>
      </w:r>
    </w:p>
    <w:p w14:paraId="608FC7CC" w14:textId="77777777" w:rsidR="004C4FD4" w:rsidRDefault="004736AC">
      <w:pPr>
        <w:pStyle w:val="ListParagraph"/>
        <w:numPr>
          <w:ilvl w:val="0"/>
          <w:numId w:val="1"/>
        </w:numPr>
        <w:tabs>
          <w:tab w:val="left" w:pos="740"/>
          <w:tab w:val="left" w:pos="741"/>
        </w:tabs>
        <w:spacing w:before="5"/>
        <w:ind w:hanging="362"/>
        <w:rPr>
          <w:sz w:val="16"/>
        </w:rPr>
      </w:pPr>
      <w:r>
        <w:rPr>
          <w:sz w:val="16"/>
        </w:rPr>
        <w:t>Mainframe and Systems Assessment</w:t>
      </w:r>
      <w:r>
        <w:rPr>
          <w:spacing w:val="-7"/>
          <w:sz w:val="16"/>
        </w:rPr>
        <w:t xml:space="preserve"> </w:t>
      </w:r>
      <w:r>
        <w:rPr>
          <w:sz w:val="16"/>
        </w:rPr>
        <w:t>Services</w:t>
      </w:r>
    </w:p>
    <w:p w14:paraId="06F0CA0F" w14:textId="77777777" w:rsidR="004C4FD4" w:rsidRDefault="004736AC">
      <w:pPr>
        <w:pStyle w:val="ListParagraph"/>
        <w:numPr>
          <w:ilvl w:val="0"/>
          <w:numId w:val="1"/>
        </w:numPr>
        <w:tabs>
          <w:tab w:val="left" w:pos="740"/>
          <w:tab w:val="left" w:pos="741"/>
        </w:tabs>
        <w:spacing w:before="104"/>
        <w:ind w:hanging="362"/>
        <w:rPr>
          <w:sz w:val="16"/>
        </w:rPr>
      </w:pPr>
      <w:r>
        <w:rPr>
          <w:sz w:val="16"/>
        </w:rPr>
        <w:t>Virtual Agents and Chatbots (Text &amp;</w:t>
      </w:r>
      <w:r>
        <w:rPr>
          <w:spacing w:val="-6"/>
          <w:sz w:val="16"/>
        </w:rPr>
        <w:t xml:space="preserve"> </w:t>
      </w:r>
      <w:r>
        <w:rPr>
          <w:sz w:val="16"/>
        </w:rPr>
        <w:t>Voice)</w:t>
      </w:r>
    </w:p>
    <w:p w14:paraId="5E8458F8" w14:textId="77777777" w:rsidR="004C4FD4" w:rsidRDefault="004736AC">
      <w:pPr>
        <w:pStyle w:val="ListParagraph"/>
        <w:numPr>
          <w:ilvl w:val="0"/>
          <w:numId w:val="1"/>
        </w:numPr>
        <w:tabs>
          <w:tab w:val="left" w:pos="740"/>
          <w:tab w:val="left" w:pos="741"/>
        </w:tabs>
        <w:ind w:hanging="362"/>
        <w:rPr>
          <w:sz w:val="16"/>
        </w:rPr>
      </w:pPr>
      <w:r>
        <w:rPr>
          <w:sz w:val="16"/>
        </w:rPr>
        <w:t>Contact Center as a</w:t>
      </w:r>
      <w:r>
        <w:rPr>
          <w:spacing w:val="-4"/>
          <w:sz w:val="16"/>
        </w:rPr>
        <w:t xml:space="preserve"> </w:t>
      </w:r>
      <w:r>
        <w:rPr>
          <w:sz w:val="16"/>
        </w:rPr>
        <w:t>Service</w:t>
      </w:r>
    </w:p>
    <w:p w14:paraId="165612CA" w14:textId="77777777" w:rsidR="004C4FD4" w:rsidRDefault="004736AC">
      <w:pPr>
        <w:pStyle w:val="ListParagraph"/>
        <w:numPr>
          <w:ilvl w:val="0"/>
          <w:numId w:val="1"/>
        </w:numPr>
        <w:tabs>
          <w:tab w:val="left" w:pos="740"/>
          <w:tab w:val="left" w:pos="741"/>
        </w:tabs>
        <w:ind w:hanging="362"/>
        <w:rPr>
          <w:sz w:val="16"/>
        </w:rPr>
      </w:pPr>
      <w:r>
        <w:rPr>
          <w:sz w:val="16"/>
        </w:rPr>
        <w:t>Workplace Virtualization</w:t>
      </w:r>
      <w:r>
        <w:rPr>
          <w:spacing w:val="-2"/>
          <w:sz w:val="16"/>
        </w:rPr>
        <w:t xml:space="preserve"> </w:t>
      </w:r>
      <w:r>
        <w:rPr>
          <w:sz w:val="16"/>
        </w:rPr>
        <w:t>Services</w:t>
      </w:r>
    </w:p>
    <w:p w14:paraId="7F1B8A0C" w14:textId="77777777" w:rsidR="004C4FD4" w:rsidRDefault="004736AC">
      <w:pPr>
        <w:pStyle w:val="ListParagraph"/>
        <w:numPr>
          <w:ilvl w:val="0"/>
          <w:numId w:val="1"/>
        </w:numPr>
        <w:tabs>
          <w:tab w:val="left" w:pos="740"/>
          <w:tab w:val="left" w:pos="741"/>
        </w:tabs>
        <w:ind w:hanging="362"/>
        <w:rPr>
          <w:sz w:val="16"/>
        </w:rPr>
      </w:pPr>
      <w:r>
        <w:rPr>
          <w:sz w:val="16"/>
        </w:rPr>
        <w:t>Work-from-Home Remote Access</w:t>
      </w:r>
      <w:r>
        <w:rPr>
          <w:spacing w:val="-4"/>
          <w:sz w:val="16"/>
        </w:rPr>
        <w:t xml:space="preserve"> </w:t>
      </w:r>
      <w:r>
        <w:rPr>
          <w:sz w:val="16"/>
        </w:rPr>
        <w:t>Services</w:t>
      </w:r>
    </w:p>
    <w:p w14:paraId="5E8BF72D" w14:textId="77777777" w:rsidR="004C4FD4" w:rsidRDefault="004736AC">
      <w:pPr>
        <w:pStyle w:val="ListParagraph"/>
        <w:numPr>
          <w:ilvl w:val="0"/>
          <w:numId w:val="1"/>
        </w:numPr>
        <w:tabs>
          <w:tab w:val="left" w:pos="740"/>
          <w:tab w:val="left" w:pos="741"/>
        </w:tabs>
        <w:spacing w:before="94"/>
        <w:ind w:hanging="362"/>
        <w:rPr>
          <w:sz w:val="16"/>
        </w:rPr>
      </w:pPr>
      <w:r>
        <w:rPr>
          <w:sz w:val="16"/>
        </w:rPr>
        <w:t>Process Assessment and Process Automation</w:t>
      </w:r>
      <w:r>
        <w:rPr>
          <w:spacing w:val="-10"/>
          <w:sz w:val="16"/>
        </w:rPr>
        <w:t xml:space="preserve"> </w:t>
      </w:r>
      <w:r>
        <w:rPr>
          <w:sz w:val="16"/>
        </w:rPr>
        <w:t>Services</w:t>
      </w:r>
    </w:p>
    <w:p w14:paraId="3A966D43" w14:textId="77777777" w:rsidR="004C4FD4" w:rsidRDefault="004736AC">
      <w:pPr>
        <w:pStyle w:val="ListParagraph"/>
        <w:numPr>
          <w:ilvl w:val="0"/>
          <w:numId w:val="1"/>
        </w:numPr>
        <w:tabs>
          <w:tab w:val="left" w:pos="740"/>
          <w:tab w:val="left" w:pos="741"/>
        </w:tabs>
        <w:spacing w:before="100"/>
        <w:ind w:hanging="362"/>
        <w:rPr>
          <w:sz w:val="16"/>
        </w:rPr>
      </w:pPr>
      <w:r>
        <w:rPr>
          <w:sz w:val="16"/>
        </w:rPr>
        <w:t>Process</w:t>
      </w:r>
      <w:r>
        <w:rPr>
          <w:spacing w:val="-1"/>
          <w:sz w:val="16"/>
        </w:rPr>
        <w:t xml:space="preserve"> </w:t>
      </w:r>
      <w:r>
        <w:rPr>
          <w:sz w:val="16"/>
        </w:rPr>
        <w:t>Outsourcing</w:t>
      </w:r>
    </w:p>
    <w:p w14:paraId="37EA7D1B" w14:textId="77777777" w:rsidR="004C4FD4" w:rsidRDefault="004736AC">
      <w:pPr>
        <w:pStyle w:val="ListParagraph"/>
        <w:numPr>
          <w:ilvl w:val="0"/>
          <w:numId w:val="1"/>
        </w:numPr>
        <w:tabs>
          <w:tab w:val="left" w:pos="740"/>
          <w:tab w:val="left" w:pos="741"/>
        </w:tabs>
        <w:ind w:hanging="362"/>
        <w:rPr>
          <w:sz w:val="16"/>
        </w:rPr>
      </w:pPr>
      <w:r>
        <w:rPr>
          <w:sz w:val="16"/>
        </w:rPr>
        <w:t>Recruiting &amp; Training Services</w:t>
      </w:r>
    </w:p>
    <w:p w14:paraId="39CE3F83" w14:textId="77777777" w:rsidR="004C4FD4" w:rsidRDefault="004736AC">
      <w:pPr>
        <w:pStyle w:val="ListParagraph"/>
        <w:numPr>
          <w:ilvl w:val="0"/>
          <w:numId w:val="1"/>
        </w:numPr>
        <w:tabs>
          <w:tab w:val="left" w:pos="740"/>
          <w:tab w:val="left" w:pos="741"/>
        </w:tabs>
        <w:spacing w:before="100" w:line="232" w:lineRule="auto"/>
        <w:ind w:right="175" w:hanging="361"/>
        <w:rPr>
          <w:sz w:val="16"/>
        </w:rPr>
      </w:pPr>
      <w:r>
        <w:rPr>
          <w:sz w:val="16"/>
        </w:rPr>
        <w:t>Program Integrity – Ensuring the ‘Right Person Receives the Right Benefit”</w:t>
      </w:r>
    </w:p>
    <w:p w14:paraId="3867621A" w14:textId="77777777" w:rsidR="004C4FD4" w:rsidRDefault="004736AC">
      <w:pPr>
        <w:pStyle w:val="ListParagraph"/>
        <w:numPr>
          <w:ilvl w:val="0"/>
          <w:numId w:val="1"/>
        </w:numPr>
        <w:tabs>
          <w:tab w:val="left" w:pos="740"/>
          <w:tab w:val="left" w:pos="741"/>
        </w:tabs>
        <w:spacing w:before="101"/>
        <w:ind w:hanging="362"/>
        <w:rPr>
          <w:sz w:val="16"/>
        </w:rPr>
      </w:pPr>
      <w:r>
        <w:rPr>
          <w:sz w:val="16"/>
        </w:rPr>
        <w:t>‘Back to Work’ Mobile Application Services (AI</w:t>
      </w:r>
      <w:r>
        <w:rPr>
          <w:spacing w:val="-11"/>
          <w:sz w:val="16"/>
        </w:rPr>
        <w:t xml:space="preserve"> </w:t>
      </w:r>
      <w:r>
        <w:rPr>
          <w:sz w:val="16"/>
        </w:rPr>
        <w:t>based)</w:t>
      </w:r>
    </w:p>
    <w:p w14:paraId="712B4D4B" w14:textId="77777777" w:rsidR="004C4FD4" w:rsidRDefault="004736AC">
      <w:pPr>
        <w:pStyle w:val="ListParagraph"/>
        <w:numPr>
          <w:ilvl w:val="0"/>
          <w:numId w:val="1"/>
        </w:numPr>
        <w:tabs>
          <w:tab w:val="left" w:pos="740"/>
          <w:tab w:val="left" w:pos="741"/>
        </w:tabs>
        <w:spacing w:before="100" w:line="295" w:lineRule="auto"/>
        <w:ind w:right="1329"/>
        <w:rPr>
          <w:sz w:val="16"/>
        </w:rPr>
      </w:pPr>
      <w:r>
        <w:rPr>
          <w:sz w:val="16"/>
        </w:rPr>
        <w:lastRenderedPageBreak/>
        <w:t>IBM Global Financing Extended Payment Plan, no payment required for 6-9</w:t>
      </w:r>
      <w:r>
        <w:rPr>
          <w:spacing w:val="-6"/>
          <w:sz w:val="16"/>
        </w:rPr>
        <w:t xml:space="preserve"> </w:t>
      </w:r>
      <w:r>
        <w:rPr>
          <w:sz w:val="16"/>
        </w:rPr>
        <w:t>months</w:t>
      </w:r>
    </w:p>
    <w:sectPr w:rsidR="004C4FD4">
      <w:type w:val="continuous"/>
      <w:pgSz w:w="12240" w:h="15840"/>
      <w:pgMar w:top="180" w:right="560" w:bottom="280" w:left="640" w:header="720" w:footer="720" w:gutter="0"/>
      <w:cols w:num="2" w:space="720" w:equalWidth="0">
        <w:col w:w="5117" w:space="307"/>
        <w:col w:w="561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BM Plex Sans">
    <w:altName w:val="IBM Plex Sans"/>
    <w:panose1 w:val="020B0503050203000203"/>
    <w:charset w:val="00"/>
    <w:family w:val="swiss"/>
    <w:pitch w:val="variable"/>
    <w:sig w:usb0="A00002EF" w:usb1="5000207B" w:usb2="00000000" w:usb3="00000000" w:csb0="0000019F" w:csb1="00000000"/>
  </w:font>
  <w:font w:name="IBMPlexSans-BoldItalic">
    <w:altName w:val="IBMPlexSans-BoldItalic"/>
    <w:panose1 w:val="020B0803050203000203"/>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0395"/>
    <w:multiLevelType w:val="hybridMultilevel"/>
    <w:tmpl w:val="14D241EA"/>
    <w:lvl w:ilvl="0" w:tplc="2CAE7158">
      <w:numFmt w:val="bullet"/>
      <w:lvlText w:val="❖"/>
      <w:lvlJc w:val="left"/>
      <w:pPr>
        <w:ind w:left="829" w:hanging="360"/>
      </w:pPr>
      <w:rPr>
        <w:rFonts w:ascii="Arial Unicode MS" w:eastAsia="Arial Unicode MS" w:hAnsi="Arial Unicode MS" w:cs="Arial Unicode MS" w:hint="default"/>
        <w:w w:val="113"/>
        <w:sz w:val="18"/>
        <w:szCs w:val="18"/>
      </w:rPr>
    </w:lvl>
    <w:lvl w:ilvl="1" w:tplc="BE00ACB0">
      <w:numFmt w:val="bullet"/>
      <w:lvlText w:val="•"/>
      <w:lvlJc w:val="left"/>
      <w:pPr>
        <w:ind w:left="1299" w:hanging="360"/>
      </w:pPr>
      <w:rPr>
        <w:rFonts w:hint="default"/>
      </w:rPr>
    </w:lvl>
    <w:lvl w:ilvl="2" w:tplc="59B26C1C">
      <w:numFmt w:val="bullet"/>
      <w:lvlText w:val="•"/>
      <w:lvlJc w:val="left"/>
      <w:pPr>
        <w:ind w:left="1779" w:hanging="360"/>
      </w:pPr>
      <w:rPr>
        <w:rFonts w:hint="default"/>
      </w:rPr>
    </w:lvl>
    <w:lvl w:ilvl="3" w:tplc="02BC21B6">
      <w:numFmt w:val="bullet"/>
      <w:lvlText w:val="•"/>
      <w:lvlJc w:val="left"/>
      <w:pPr>
        <w:ind w:left="2258" w:hanging="360"/>
      </w:pPr>
      <w:rPr>
        <w:rFonts w:hint="default"/>
      </w:rPr>
    </w:lvl>
    <w:lvl w:ilvl="4" w:tplc="BB1CA070">
      <w:numFmt w:val="bullet"/>
      <w:lvlText w:val="•"/>
      <w:lvlJc w:val="left"/>
      <w:pPr>
        <w:ind w:left="2738" w:hanging="360"/>
      </w:pPr>
      <w:rPr>
        <w:rFonts w:hint="default"/>
      </w:rPr>
    </w:lvl>
    <w:lvl w:ilvl="5" w:tplc="729681B8">
      <w:numFmt w:val="bullet"/>
      <w:lvlText w:val="•"/>
      <w:lvlJc w:val="left"/>
      <w:pPr>
        <w:ind w:left="3218" w:hanging="360"/>
      </w:pPr>
      <w:rPr>
        <w:rFonts w:hint="default"/>
      </w:rPr>
    </w:lvl>
    <w:lvl w:ilvl="6" w:tplc="D736AB2E">
      <w:numFmt w:val="bullet"/>
      <w:lvlText w:val="•"/>
      <w:lvlJc w:val="left"/>
      <w:pPr>
        <w:ind w:left="3697" w:hanging="360"/>
      </w:pPr>
      <w:rPr>
        <w:rFonts w:hint="default"/>
      </w:rPr>
    </w:lvl>
    <w:lvl w:ilvl="7" w:tplc="8F728324">
      <w:numFmt w:val="bullet"/>
      <w:lvlText w:val="•"/>
      <w:lvlJc w:val="left"/>
      <w:pPr>
        <w:ind w:left="4177" w:hanging="360"/>
      </w:pPr>
      <w:rPr>
        <w:rFonts w:hint="default"/>
      </w:rPr>
    </w:lvl>
    <w:lvl w:ilvl="8" w:tplc="8D0A2C30">
      <w:numFmt w:val="bullet"/>
      <w:lvlText w:val="•"/>
      <w:lvlJc w:val="left"/>
      <w:pPr>
        <w:ind w:left="4656" w:hanging="360"/>
      </w:pPr>
      <w:rPr>
        <w:rFonts w:hint="default"/>
      </w:rPr>
    </w:lvl>
  </w:abstractNum>
  <w:abstractNum w:abstractNumId="1" w15:restartNumberingAfterBreak="0">
    <w:nsid w:val="4163221C"/>
    <w:multiLevelType w:val="hybridMultilevel"/>
    <w:tmpl w:val="63786B6E"/>
    <w:lvl w:ilvl="0" w:tplc="F7541654">
      <w:numFmt w:val="bullet"/>
      <w:lvlText w:val="❖"/>
      <w:lvlJc w:val="left"/>
      <w:pPr>
        <w:ind w:left="740" w:hanging="360"/>
      </w:pPr>
      <w:rPr>
        <w:rFonts w:ascii="Arial Unicode MS" w:eastAsia="Arial Unicode MS" w:hAnsi="Arial Unicode MS" w:cs="Arial Unicode MS" w:hint="default"/>
        <w:w w:val="113"/>
        <w:sz w:val="18"/>
        <w:szCs w:val="18"/>
      </w:rPr>
    </w:lvl>
    <w:lvl w:ilvl="1" w:tplc="04102808">
      <w:numFmt w:val="bullet"/>
      <w:lvlText w:val="•"/>
      <w:lvlJc w:val="left"/>
      <w:pPr>
        <w:ind w:left="1227" w:hanging="360"/>
      </w:pPr>
      <w:rPr>
        <w:rFonts w:hint="default"/>
      </w:rPr>
    </w:lvl>
    <w:lvl w:ilvl="2" w:tplc="439C12C2">
      <w:numFmt w:val="bullet"/>
      <w:lvlText w:val="•"/>
      <w:lvlJc w:val="left"/>
      <w:pPr>
        <w:ind w:left="1715" w:hanging="360"/>
      </w:pPr>
      <w:rPr>
        <w:rFonts w:hint="default"/>
      </w:rPr>
    </w:lvl>
    <w:lvl w:ilvl="3" w:tplc="19540108">
      <w:numFmt w:val="bullet"/>
      <w:lvlText w:val="•"/>
      <w:lvlJc w:val="left"/>
      <w:pPr>
        <w:ind w:left="2202" w:hanging="360"/>
      </w:pPr>
      <w:rPr>
        <w:rFonts w:hint="default"/>
      </w:rPr>
    </w:lvl>
    <w:lvl w:ilvl="4" w:tplc="D2DCCC24">
      <w:numFmt w:val="bullet"/>
      <w:lvlText w:val="•"/>
      <w:lvlJc w:val="left"/>
      <w:pPr>
        <w:ind w:left="2690" w:hanging="360"/>
      </w:pPr>
      <w:rPr>
        <w:rFonts w:hint="default"/>
      </w:rPr>
    </w:lvl>
    <w:lvl w:ilvl="5" w:tplc="0A48DB88">
      <w:numFmt w:val="bullet"/>
      <w:lvlText w:val="•"/>
      <w:lvlJc w:val="left"/>
      <w:pPr>
        <w:ind w:left="3178" w:hanging="360"/>
      </w:pPr>
      <w:rPr>
        <w:rFonts w:hint="default"/>
      </w:rPr>
    </w:lvl>
    <w:lvl w:ilvl="6" w:tplc="7FAA2FBA">
      <w:numFmt w:val="bullet"/>
      <w:lvlText w:val="•"/>
      <w:lvlJc w:val="left"/>
      <w:pPr>
        <w:ind w:left="3665" w:hanging="360"/>
      </w:pPr>
      <w:rPr>
        <w:rFonts w:hint="default"/>
      </w:rPr>
    </w:lvl>
    <w:lvl w:ilvl="7" w:tplc="4C62A0A0">
      <w:numFmt w:val="bullet"/>
      <w:lvlText w:val="•"/>
      <w:lvlJc w:val="left"/>
      <w:pPr>
        <w:ind w:left="4153" w:hanging="360"/>
      </w:pPr>
      <w:rPr>
        <w:rFonts w:hint="default"/>
      </w:rPr>
    </w:lvl>
    <w:lvl w:ilvl="8" w:tplc="C4A48446">
      <w:numFmt w:val="bullet"/>
      <w:lvlText w:val="•"/>
      <w:lvlJc w:val="left"/>
      <w:pPr>
        <w:ind w:left="46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C4FD4"/>
    <w:rsid w:val="000F2FC6"/>
    <w:rsid w:val="004736AC"/>
    <w:rsid w:val="004C4FD4"/>
    <w:rsid w:val="0061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B2143DC"/>
  <w15:docId w15:val="{9A0A0DC7-BC6C-8947-B407-DA8FC71B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IBM Plex Sans" w:eastAsia="IBM Plex Sans" w:hAnsi="IBM Plex Sans" w:cs="IBM Plex Sans"/>
    </w:rPr>
  </w:style>
  <w:style w:type="paragraph" w:styleId="Heading1">
    <w:name w:val="heading 1"/>
    <w:basedOn w:val="Normal"/>
    <w:uiPriority w:val="9"/>
    <w:qFormat/>
    <w:pPr>
      <w:ind w:left="109"/>
      <w:outlineLvl w:val="0"/>
    </w:pPr>
    <w:rPr>
      <w:b/>
      <w:bCs/>
      <w:sz w:val="28"/>
      <w:szCs w:val="28"/>
    </w:rPr>
  </w:style>
  <w:style w:type="paragraph" w:styleId="Heading2">
    <w:name w:val="heading 2"/>
    <w:basedOn w:val="Normal"/>
    <w:uiPriority w:val="9"/>
    <w:unhideWhenUsed/>
    <w:qFormat/>
    <w:pPr>
      <w:ind w:left="82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5"/>
      <w:ind w:left="740" w:hanging="362"/>
    </w:pPr>
    <w:rPr>
      <w:sz w:val="16"/>
      <w:szCs w:val="16"/>
    </w:rPr>
  </w:style>
  <w:style w:type="paragraph" w:styleId="ListParagraph">
    <w:name w:val="List Paragraph"/>
    <w:basedOn w:val="Normal"/>
    <w:uiPriority w:val="1"/>
    <w:qFormat/>
    <w:pPr>
      <w:spacing w:before="95"/>
      <w:ind w:left="740" w:hanging="36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F2F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FC6"/>
    <w:rPr>
      <w:rFonts w:ascii="Times New Roman" w:eastAsia="IBM Plex Sans"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impact/covid-19"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IBM Services for Unemployment Insurance_Program Integrity</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Services for Unemployment Insurance_Program Integrity</dc:title>
  <dc:creator>Ricky Sluder</dc:creator>
  <cp:lastModifiedBy>Microsoft Office User</cp:lastModifiedBy>
  <cp:revision>2</cp:revision>
  <dcterms:created xsi:type="dcterms:W3CDTF">2020-09-22T19:26:00Z</dcterms:created>
  <dcterms:modified xsi:type="dcterms:W3CDTF">2020-09-23T14:36:00Z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Creator">
    <vt:lpwstr>Word</vt:lpwstr>
  </property>
  <property fmtid="{D5CDD505-2E9C-101B-9397-08002B2CF9AE}" pid="4" name="LastSaved">
    <vt:filetime>2020-09-22T00:00:00Z</vt:filetime>
  </property>
</Properties>
</file>