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A157" w14:textId="0A9A68E3" w:rsidR="005F4D9E" w:rsidRDefault="004E6364" w:rsidP="005F4D9E">
      <w:pPr>
        <w:rPr>
          <w:b/>
          <w:bCs/>
        </w:rPr>
      </w:pPr>
      <w:r>
        <w:rPr>
          <w:b/>
          <w:bCs/>
        </w:rPr>
        <w:t>The Eviction Process in Massachusetts, From Start to Finish</w:t>
      </w:r>
    </w:p>
    <w:p w14:paraId="60B68961" w14:textId="55C141ED" w:rsidR="007F4975" w:rsidRDefault="007F4975" w:rsidP="005F4D9E">
      <w:pPr>
        <w:rPr>
          <w:b/>
          <w:bCs/>
        </w:rPr>
      </w:pPr>
    </w:p>
    <w:p w14:paraId="4204EAEB" w14:textId="2E6EF30A" w:rsidR="00810CC8" w:rsidRDefault="007F4975" w:rsidP="007F4975">
      <w:pPr>
        <w:pStyle w:val="ListParagraph"/>
        <w:numPr>
          <w:ilvl w:val="0"/>
          <w:numId w:val="2"/>
        </w:numPr>
      </w:pPr>
      <w:r>
        <w:t xml:space="preserve">A landlord files a </w:t>
      </w:r>
      <w:r>
        <w:rPr>
          <w:i/>
          <w:iCs/>
        </w:rPr>
        <w:t>notice to quit</w:t>
      </w:r>
      <w:r>
        <w:t>, beginning the eviction process</w:t>
      </w:r>
      <w:r w:rsidR="00810CC8">
        <w:t xml:space="preserve">, either for </w:t>
      </w:r>
      <w:r w:rsidR="00810CC8">
        <w:rPr>
          <w:i/>
          <w:iCs/>
        </w:rPr>
        <w:t>nonpayment of rent</w:t>
      </w:r>
      <w:r w:rsidR="00810CC8">
        <w:t xml:space="preserve"> or </w:t>
      </w:r>
      <w:r w:rsidR="00810CC8">
        <w:rPr>
          <w:i/>
          <w:iCs/>
        </w:rPr>
        <w:t>cause</w:t>
      </w:r>
      <w:r w:rsidR="00810CC8">
        <w:t xml:space="preserve"> (any other reason)</w:t>
      </w:r>
    </w:p>
    <w:p w14:paraId="2CD6B776" w14:textId="38DAB9A8" w:rsidR="00810CC8" w:rsidRPr="00790F6E" w:rsidRDefault="00790F6E" w:rsidP="00810CC8">
      <w:pPr>
        <w:pStyle w:val="ListParagraph"/>
        <w:numPr>
          <w:ilvl w:val="1"/>
          <w:numId w:val="2"/>
        </w:numPr>
      </w:pPr>
      <w:r>
        <w:t xml:space="preserve">Notice to quit is for </w:t>
      </w:r>
      <w:r>
        <w:rPr>
          <w:i/>
          <w:iCs/>
        </w:rPr>
        <w:t>nonpayment of rent</w:t>
      </w:r>
    </w:p>
    <w:p w14:paraId="11FB09A8" w14:textId="4BDCEFDB" w:rsidR="00790F6E" w:rsidRPr="00790F6E" w:rsidRDefault="00790F6E" w:rsidP="00790F6E">
      <w:pPr>
        <w:pStyle w:val="ListParagraph"/>
        <w:numPr>
          <w:ilvl w:val="2"/>
          <w:numId w:val="2"/>
        </w:numPr>
      </w:pPr>
      <w:r>
        <w:t xml:space="preserve">Landlord tenant agreement is </w:t>
      </w:r>
      <w:r>
        <w:t xml:space="preserve">a </w:t>
      </w:r>
      <w:r>
        <w:rPr>
          <w:i/>
          <w:iCs/>
        </w:rPr>
        <w:t>lease</w:t>
      </w:r>
    </w:p>
    <w:p w14:paraId="75EA7A46" w14:textId="3DF5EA65" w:rsidR="00790F6E" w:rsidRDefault="00790F6E" w:rsidP="00790F6E">
      <w:pPr>
        <w:pStyle w:val="ListParagraph"/>
        <w:numPr>
          <w:ilvl w:val="3"/>
          <w:numId w:val="2"/>
        </w:numPr>
      </w:pPr>
      <w:r>
        <w:t>Property is</w:t>
      </w:r>
      <w:r w:rsidR="00502F96">
        <w:t xml:space="preserve"> not</w:t>
      </w:r>
      <w:r>
        <w:t xml:space="preserve"> covered under the CARES act</w:t>
      </w:r>
    </w:p>
    <w:p w14:paraId="73EA8725" w14:textId="0963215E" w:rsidR="00502F96" w:rsidRDefault="00502F96" w:rsidP="00790F6E">
      <w:pPr>
        <w:pStyle w:val="ListParagraph"/>
        <w:numPr>
          <w:ilvl w:val="4"/>
          <w:numId w:val="2"/>
        </w:numPr>
      </w:pPr>
      <w:r>
        <w:t xml:space="preserve">Landlord files a 14-day </w:t>
      </w:r>
      <w:r w:rsidRPr="00502F96">
        <w:rPr>
          <w:i/>
          <w:iCs/>
        </w:rPr>
        <w:t>notice to quit</w:t>
      </w:r>
    </w:p>
    <w:p w14:paraId="7B896046" w14:textId="0596593F" w:rsidR="00790F6E" w:rsidRDefault="00790F6E" w:rsidP="00790F6E">
      <w:pPr>
        <w:pStyle w:val="ListParagraph"/>
        <w:numPr>
          <w:ilvl w:val="4"/>
          <w:numId w:val="2"/>
        </w:numPr>
      </w:pPr>
      <w:r>
        <w:t xml:space="preserve">Tenant can </w:t>
      </w:r>
      <w:r w:rsidRPr="00790F6E">
        <w:rPr>
          <w:i/>
          <w:iCs/>
        </w:rPr>
        <w:t>cure</w:t>
      </w:r>
      <w:r>
        <w:t xml:space="preserve"> the nonpayment by paying the landlord all owed rent with interest and costs within 14 days</w:t>
      </w:r>
      <w:r w:rsidR="00502F96">
        <w:t xml:space="preserve"> </w:t>
      </w:r>
    </w:p>
    <w:p w14:paraId="0FC0B407" w14:textId="1E2E032E" w:rsidR="00790F6E" w:rsidRDefault="00790F6E" w:rsidP="00790F6E">
      <w:pPr>
        <w:pStyle w:val="ListParagraph"/>
        <w:numPr>
          <w:ilvl w:val="3"/>
          <w:numId w:val="2"/>
        </w:numPr>
      </w:pPr>
      <w:r>
        <w:t>Property is covered under the CARES act</w:t>
      </w:r>
    </w:p>
    <w:p w14:paraId="198BE973" w14:textId="1A0A954E" w:rsidR="00502F96" w:rsidRDefault="00502F96" w:rsidP="00790F6E">
      <w:pPr>
        <w:pStyle w:val="ListParagraph"/>
        <w:numPr>
          <w:ilvl w:val="4"/>
          <w:numId w:val="2"/>
        </w:numPr>
      </w:pPr>
      <w:r>
        <w:t xml:space="preserve">Landlord files a 30-day </w:t>
      </w:r>
      <w:r>
        <w:rPr>
          <w:i/>
          <w:iCs/>
        </w:rPr>
        <w:t>notice to quit</w:t>
      </w:r>
    </w:p>
    <w:p w14:paraId="6377D9CB" w14:textId="3B03BD8F" w:rsidR="00790F6E" w:rsidRDefault="00790F6E" w:rsidP="00790F6E">
      <w:pPr>
        <w:pStyle w:val="ListParagraph"/>
        <w:numPr>
          <w:ilvl w:val="4"/>
          <w:numId w:val="2"/>
        </w:numPr>
      </w:pPr>
      <w:r>
        <w:t xml:space="preserve">Tenant can </w:t>
      </w:r>
      <w:r>
        <w:rPr>
          <w:i/>
          <w:iCs/>
        </w:rPr>
        <w:t>cure</w:t>
      </w:r>
      <w:r>
        <w:t xml:space="preserve"> the nonpayment by paying the landlord all owed rent with interest and costs within 30 days or at the end of the next rental period, whichever is longer.</w:t>
      </w:r>
    </w:p>
    <w:p w14:paraId="3A11313B" w14:textId="230EA09D" w:rsidR="00790F6E" w:rsidRPr="00502F96" w:rsidRDefault="00790F6E" w:rsidP="00790F6E">
      <w:pPr>
        <w:pStyle w:val="ListParagraph"/>
        <w:numPr>
          <w:ilvl w:val="2"/>
          <w:numId w:val="2"/>
        </w:numPr>
      </w:pPr>
      <w:r>
        <w:t xml:space="preserve">Landlord tenant agreement is </w:t>
      </w:r>
      <w:r>
        <w:rPr>
          <w:i/>
          <w:iCs/>
        </w:rPr>
        <w:t>at-will</w:t>
      </w:r>
    </w:p>
    <w:p w14:paraId="0FA4F83F" w14:textId="77777777" w:rsidR="00FE0CCA" w:rsidRDefault="00FE0CCA" w:rsidP="00FE0CCA">
      <w:pPr>
        <w:pStyle w:val="ListParagraph"/>
        <w:numPr>
          <w:ilvl w:val="3"/>
          <w:numId w:val="2"/>
        </w:numPr>
      </w:pPr>
      <w:r>
        <w:t>Property is not covered under the CARES act</w:t>
      </w:r>
    </w:p>
    <w:p w14:paraId="46D436BE" w14:textId="77777777" w:rsidR="00FE0CCA" w:rsidRDefault="00FE0CCA" w:rsidP="00FE0CCA">
      <w:pPr>
        <w:pStyle w:val="ListParagraph"/>
        <w:numPr>
          <w:ilvl w:val="4"/>
          <w:numId w:val="2"/>
        </w:numPr>
      </w:pPr>
      <w:r>
        <w:t xml:space="preserve">Landlord files a 14-day </w:t>
      </w:r>
      <w:r w:rsidRPr="00502F96">
        <w:rPr>
          <w:i/>
          <w:iCs/>
        </w:rPr>
        <w:t>notice to quit</w:t>
      </w:r>
    </w:p>
    <w:p w14:paraId="5644F728" w14:textId="1C475CCA" w:rsidR="00FE0CCA" w:rsidRDefault="00FE0CCA" w:rsidP="00FE0CCA">
      <w:pPr>
        <w:pStyle w:val="ListParagraph"/>
        <w:numPr>
          <w:ilvl w:val="4"/>
          <w:numId w:val="2"/>
        </w:numPr>
      </w:pPr>
      <w:r>
        <w:t xml:space="preserve">Tenant can </w:t>
      </w:r>
      <w:r w:rsidRPr="00790F6E">
        <w:rPr>
          <w:i/>
          <w:iCs/>
        </w:rPr>
        <w:t>cure</w:t>
      </w:r>
      <w:r>
        <w:t xml:space="preserve"> the nonpayment by paying the landlord all owed rent with interest and costs within 14 days </w:t>
      </w:r>
      <w:r w:rsidR="00A17EEB">
        <w:t>if they have not received a notice to quit for not paying rent in the last 12 months</w:t>
      </w:r>
    </w:p>
    <w:p w14:paraId="2ECA9518" w14:textId="77777777" w:rsidR="00FE0CCA" w:rsidRDefault="00FE0CCA" w:rsidP="00FE0CCA">
      <w:pPr>
        <w:pStyle w:val="ListParagraph"/>
        <w:numPr>
          <w:ilvl w:val="3"/>
          <w:numId w:val="2"/>
        </w:numPr>
      </w:pPr>
      <w:r>
        <w:t>Property is covered under the CARES act</w:t>
      </w:r>
    </w:p>
    <w:p w14:paraId="2CC69236" w14:textId="77777777" w:rsidR="00FE0CCA" w:rsidRDefault="00FE0CCA" w:rsidP="00FE0CCA">
      <w:pPr>
        <w:pStyle w:val="ListParagraph"/>
        <w:numPr>
          <w:ilvl w:val="4"/>
          <w:numId w:val="2"/>
        </w:numPr>
      </w:pPr>
      <w:r>
        <w:t xml:space="preserve">Landlord files a 30-day </w:t>
      </w:r>
      <w:r>
        <w:rPr>
          <w:i/>
          <w:iCs/>
        </w:rPr>
        <w:t>notice to quit</w:t>
      </w:r>
    </w:p>
    <w:p w14:paraId="03346142" w14:textId="2D699ECC" w:rsidR="00502F96" w:rsidRDefault="00FE0CCA" w:rsidP="00FE0CCA">
      <w:pPr>
        <w:pStyle w:val="ListParagraph"/>
        <w:numPr>
          <w:ilvl w:val="4"/>
          <w:numId w:val="2"/>
        </w:numPr>
      </w:pPr>
      <w:r>
        <w:t xml:space="preserve">Tenant can </w:t>
      </w:r>
      <w:r>
        <w:rPr>
          <w:i/>
          <w:iCs/>
        </w:rPr>
        <w:t>cure</w:t>
      </w:r>
      <w:r>
        <w:t xml:space="preserve"> the nonpayment by paying the landlord all owed rent with interest and costs within 30 days or at the end of the next rental period, whichever is longer.</w:t>
      </w:r>
      <w:r>
        <w:tab/>
      </w:r>
    </w:p>
    <w:p w14:paraId="3E3A8848" w14:textId="6E8A7667" w:rsidR="00790F6E" w:rsidRPr="00790F6E" w:rsidRDefault="00790F6E" w:rsidP="00810CC8">
      <w:pPr>
        <w:pStyle w:val="ListParagraph"/>
        <w:numPr>
          <w:ilvl w:val="1"/>
          <w:numId w:val="2"/>
        </w:numPr>
      </w:pPr>
      <w:r>
        <w:t xml:space="preserve">Notice to quit is for </w:t>
      </w:r>
      <w:r>
        <w:rPr>
          <w:i/>
          <w:iCs/>
        </w:rPr>
        <w:t>cause</w:t>
      </w:r>
    </w:p>
    <w:p w14:paraId="36976ED3" w14:textId="49B90FE4" w:rsidR="00790F6E" w:rsidRPr="00CD4BA2" w:rsidRDefault="00790F6E" w:rsidP="00790F6E">
      <w:pPr>
        <w:pStyle w:val="ListParagraph"/>
        <w:numPr>
          <w:ilvl w:val="2"/>
          <w:numId w:val="2"/>
        </w:numPr>
      </w:pPr>
      <w:r>
        <w:t xml:space="preserve">Landlord tenant agreement is a </w:t>
      </w:r>
      <w:r>
        <w:rPr>
          <w:i/>
          <w:iCs/>
        </w:rPr>
        <w:t>lease</w:t>
      </w:r>
    </w:p>
    <w:p w14:paraId="5BA37AD0" w14:textId="5DABC3BC" w:rsidR="00CD4BA2" w:rsidRDefault="00CD4BA2" w:rsidP="00CD4BA2">
      <w:pPr>
        <w:pStyle w:val="ListParagraph"/>
        <w:numPr>
          <w:ilvl w:val="3"/>
          <w:numId w:val="2"/>
        </w:numPr>
      </w:pPr>
      <w:r>
        <w:t>Property is not covered under the CARES act</w:t>
      </w:r>
    </w:p>
    <w:p w14:paraId="5BAA25A7" w14:textId="6F8254B0" w:rsidR="00CD4BA2" w:rsidRDefault="00CD4BA2" w:rsidP="0047412E">
      <w:pPr>
        <w:pStyle w:val="ListParagraph"/>
        <w:numPr>
          <w:ilvl w:val="4"/>
          <w:numId w:val="2"/>
        </w:numPr>
      </w:pPr>
      <w:r>
        <w:t>Landlord files a notice to quit of length in accordance with what is specified in the lease</w:t>
      </w:r>
      <w:r w:rsidR="0047412E">
        <w:t xml:space="preserve"> – usually 7 days</w:t>
      </w:r>
    </w:p>
    <w:p w14:paraId="75F7DFA4" w14:textId="04370D6C" w:rsidR="0047412E" w:rsidRDefault="0047412E" w:rsidP="0047412E">
      <w:pPr>
        <w:pStyle w:val="ListParagraph"/>
        <w:numPr>
          <w:ilvl w:val="4"/>
          <w:numId w:val="2"/>
        </w:numPr>
      </w:pPr>
      <w:r>
        <w:t>A</w:t>
      </w:r>
      <w:r w:rsidR="00544280">
        <w:t>fter the 7</w:t>
      </w:r>
      <w:r w:rsidR="00544280" w:rsidRPr="00544280">
        <w:rPr>
          <w:vertAlign w:val="superscript"/>
        </w:rPr>
        <w:t>th</w:t>
      </w:r>
      <w:r w:rsidR="00544280">
        <w:t xml:space="preserve"> day, the landlord can file a summary process summons and complaint</w:t>
      </w:r>
    </w:p>
    <w:p w14:paraId="1AF1BA66" w14:textId="6D8884AD" w:rsidR="0047412E" w:rsidRDefault="0047412E" w:rsidP="0047412E">
      <w:pPr>
        <w:pStyle w:val="ListParagraph"/>
        <w:numPr>
          <w:ilvl w:val="3"/>
          <w:numId w:val="2"/>
        </w:numPr>
      </w:pPr>
      <w:r>
        <w:t>Property is covered under the CARES act</w:t>
      </w:r>
    </w:p>
    <w:p w14:paraId="2956C5DA" w14:textId="6651D7C9" w:rsidR="0047412E" w:rsidRPr="00544280" w:rsidRDefault="0047412E" w:rsidP="0047412E">
      <w:pPr>
        <w:pStyle w:val="ListParagraph"/>
        <w:numPr>
          <w:ilvl w:val="4"/>
          <w:numId w:val="2"/>
        </w:numPr>
      </w:pPr>
      <w:r>
        <w:t xml:space="preserve">Landlord files a 30-day </w:t>
      </w:r>
      <w:r>
        <w:rPr>
          <w:i/>
          <w:iCs/>
        </w:rPr>
        <w:t>notice to quit</w:t>
      </w:r>
    </w:p>
    <w:p w14:paraId="6CD02816" w14:textId="08AC44E5" w:rsidR="00544280" w:rsidRDefault="00544280" w:rsidP="00544280">
      <w:pPr>
        <w:pStyle w:val="ListParagraph"/>
        <w:numPr>
          <w:ilvl w:val="4"/>
          <w:numId w:val="2"/>
        </w:numPr>
      </w:pPr>
      <w:r>
        <w:t>After the 30</w:t>
      </w:r>
      <w:r w:rsidRPr="00544280">
        <w:rPr>
          <w:vertAlign w:val="superscript"/>
        </w:rPr>
        <w:t>th</w:t>
      </w:r>
      <w:r>
        <w:t xml:space="preserve"> day or the end of the next rental period (whichever is longer), the landlord can file a summary process summons and complaint</w:t>
      </w:r>
    </w:p>
    <w:p w14:paraId="6A83583C" w14:textId="753C33DD" w:rsidR="00790F6E" w:rsidRPr="00544280" w:rsidRDefault="00790F6E" w:rsidP="00790F6E">
      <w:pPr>
        <w:pStyle w:val="ListParagraph"/>
        <w:numPr>
          <w:ilvl w:val="2"/>
          <w:numId w:val="2"/>
        </w:numPr>
      </w:pPr>
      <w:r>
        <w:t xml:space="preserve">Landlord tenant agreement is </w:t>
      </w:r>
      <w:r>
        <w:rPr>
          <w:i/>
          <w:iCs/>
        </w:rPr>
        <w:t>at-will</w:t>
      </w:r>
    </w:p>
    <w:p w14:paraId="3D9F6332" w14:textId="77777777" w:rsidR="00544280" w:rsidRDefault="00544280" w:rsidP="00544280">
      <w:pPr>
        <w:pStyle w:val="ListParagraph"/>
        <w:numPr>
          <w:ilvl w:val="3"/>
          <w:numId w:val="2"/>
        </w:numPr>
      </w:pPr>
      <w:r>
        <w:t>Property is not covered under the CARES act</w:t>
      </w:r>
    </w:p>
    <w:p w14:paraId="407E771D" w14:textId="77777777" w:rsidR="00544280" w:rsidRPr="00544280" w:rsidRDefault="00544280" w:rsidP="00544280">
      <w:pPr>
        <w:pStyle w:val="ListParagraph"/>
        <w:numPr>
          <w:ilvl w:val="4"/>
          <w:numId w:val="2"/>
        </w:numPr>
      </w:pPr>
      <w:r>
        <w:t xml:space="preserve">Landlord files a 30-day </w:t>
      </w:r>
      <w:r>
        <w:rPr>
          <w:i/>
          <w:iCs/>
        </w:rPr>
        <w:t>notice to quit</w:t>
      </w:r>
    </w:p>
    <w:p w14:paraId="4EAC6A00" w14:textId="703E0103" w:rsidR="00544280" w:rsidRDefault="00544280" w:rsidP="00544280">
      <w:pPr>
        <w:pStyle w:val="ListParagraph"/>
        <w:numPr>
          <w:ilvl w:val="4"/>
          <w:numId w:val="2"/>
        </w:numPr>
      </w:pPr>
      <w:r>
        <w:lastRenderedPageBreak/>
        <w:t>After the 30</w:t>
      </w:r>
      <w:r w:rsidRPr="00544280">
        <w:rPr>
          <w:vertAlign w:val="superscript"/>
        </w:rPr>
        <w:t>th</w:t>
      </w:r>
      <w:r>
        <w:t xml:space="preserve"> day or the end of the next rental period (whichever is longer), the landlord can file a summary process summons and complaint</w:t>
      </w:r>
    </w:p>
    <w:p w14:paraId="2263AB53" w14:textId="77777777" w:rsidR="00544280" w:rsidRDefault="00544280" w:rsidP="00544280">
      <w:pPr>
        <w:pStyle w:val="ListParagraph"/>
        <w:numPr>
          <w:ilvl w:val="3"/>
          <w:numId w:val="2"/>
        </w:numPr>
      </w:pPr>
      <w:r>
        <w:t>Property is covered under the CARES act</w:t>
      </w:r>
    </w:p>
    <w:p w14:paraId="64B04B51" w14:textId="77777777" w:rsidR="00544280" w:rsidRPr="00544280" w:rsidRDefault="00544280" w:rsidP="00544280">
      <w:pPr>
        <w:pStyle w:val="ListParagraph"/>
        <w:numPr>
          <w:ilvl w:val="4"/>
          <w:numId w:val="2"/>
        </w:numPr>
      </w:pPr>
      <w:r>
        <w:t xml:space="preserve">Landlord files a 30-day </w:t>
      </w:r>
      <w:r>
        <w:rPr>
          <w:i/>
          <w:iCs/>
        </w:rPr>
        <w:t>notice to quit</w:t>
      </w:r>
    </w:p>
    <w:p w14:paraId="0D7FBE1D" w14:textId="4FA8840D" w:rsidR="00810CC8" w:rsidRDefault="00544280" w:rsidP="000F7531">
      <w:pPr>
        <w:pStyle w:val="ListParagraph"/>
        <w:numPr>
          <w:ilvl w:val="4"/>
          <w:numId w:val="2"/>
        </w:numPr>
      </w:pPr>
      <w:r>
        <w:t>After the 30</w:t>
      </w:r>
      <w:r w:rsidRPr="00544280">
        <w:rPr>
          <w:vertAlign w:val="superscript"/>
        </w:rPr>
        <w:t>th</w:t>
      </w:r>
      <w:r>
        <w:t xml:space="preserve"> day</w:t>
      </w:r>
      <w:r>
        <w:t xml:space="preserve"> or the end of the next rental period (whichever is longer)</w:t>
      </w:r>
      <w:r>
        <w:t>, the landlord can file a summary process summons and complaint</w:t>
      </w:r>
    </w:p>
    <w:p w14:paraId="7A5E3BFB" w14:textId="638C3FDC" w:rsidR="00F02A9A" w:rsidRDefault="00C44655" w:rsidP="00C44655">
      <w:pPr>
        <w:pStyle w:val="ListParagraph"/>
        <w:numPr>
          <w:ilvl w:val="0"/>
          <w:numId w:val="2"/>
        </w:numPr>
      </w:pPr>
      <w:r>
        <w:t xml:space="preserve">If the tenant does not cure the nonpayment OR if the eviction was for cause (and not nonpayment), </w:t>
      </w:r>
      <w:r w:rsidR="00E97288">
        <w:t xml:space="preserve">and the notice to quit period has elapsed completely (i.e., for a </w:t>
      </w:r>
      <w:proofErr w:type="gramStart"/>
      <w:r w:rsidR="00E97288">
        <w:t>14 day</w:t>
      </w:r>
      <w:proofErr w:type="gramEnd"/>
      <w:r w:rsidR="00E97288">
        <w:t xml:space="preserve"> notice to quit, we are at the 15</w:t>
      </w:r>
      <w:r w:rsidR="00E97288" w:rsidRPr="00E97288">
        <w:rPr>
          <w:vertAlign w:val="superscript"/>
        </w:rPr>
        <w:t>th</w:t>
      </w:r>
      <w:r w:rsidR="00E97288">
        <w:t xml:space="preserve"> day after the notice to quit was served), </w:t>
      </w:r>
      <w:r w:rsidR="006B62EC">
        <w:t xml:space="preserve">tenancy is terminated. </w:t>
      </w:r>
      <w:r w:rsidR="00F02A9A">
        <w:t xml:space="preserve">At this point, the tenant may choose to either stay or to leave the premises </w:t>
      </w:r>
    </w:p>
    <w:p w14:paraId="0EDECF8D" w14:textId="0982CF7A" w:rsidR="00C44655" w:rsidRDefault="006B62EC" w:rsidP="00C44655">
      <w:pPr>
        <w:pStyle w:val="ListParagraph"/>
        <w:numPr>
          <w:ilvl w:val="0"/>
          <w:numId w:val="2"/>
        </w:numPr>
      </w:pPr>
      <w:r>
        <w:t>T</w:t>
      </w:r>
      <w:r w:rsidR="00E97288">
        <w:t>he landlord may serve a summary process summons and complaint</w:t>
      </w:r>
    </w:p>
    <w:p w14:paraId="62261C02" w14:textId="45C4741E" w:rsidR="006B62EC" w:rsidRDefault="006B62EC" w:rsidP="006B62EC">
      <w:pPr>
        <w:pStyle w:val="ListParagraph"/>
        <w:numPr>
          <w:ilvl w:val="1"/>
          <w:numId w:val="2"/>
        </w:numPr>
      </w:pPr>
      <w:r>
        <w:t xml:space="preserve">Physically, a summons and complaint </w:t>
      </w:r>
      <w:r w:rsidR="00F02A9A">
        <w:t xml:space="preserve">form </w:t>
      </w:r>
      <w:proofErr w:type="gramStart"/>
      <w:r w:rsidR="00F02A9A">
        <w:t>is</w:t>
      </w:r>
      <w:proofErr w:type="gramEnd"/>
      <w:r w:rsidR="00F02A9A">
        <w:t xml:space="preserve"> purchased from the housing court and then served to the tenant. It includes:</w:t>
      </w:r>
    </w:p>
    <w:p w14:paraId="647945FF" w14:textId="77777777" w:rsidR="00F02A9A" w:rsidRDefault="00F02A9A" w:rsidP="00F02A9A">
      <w:pPr>
        <w:pStyle w:val="ListParagraph"/>
        <w:numPr>
          <w:ilvl w:val="2"/>
          <w:numId w:val="2"/>
        </w:numPr>
      </w:pPr>
      <w:r>
        <w:t>T</w:t>
      </w:r>
      <w:r>
        <w:t>he “entry date,” which is the date on which the landlord goes to the court to file the papers</w:t>
      </w:r>
      <w:r>
        <w:t xml:space="preserve">. </w:t>
      </w:r>
      <w:r>
        <w:t xml:space="preserve">“Entry date” must be on a Monday between 7 and 30 days after the summary process summons and complaint was served. If Monday is a holiday, then it is possible for the following Tuesday to be the entry date. </w:t>
      </w:r>
    </w:p>
    <w:p w14:paraId="519D625A" w14:textId="686A959F" w:rsidR="00F02A9A" w:rsidRDefault="00F02A9A" w:rsidP="00F02A9A">
      <w:pPr>
        <w:pStyle w:val="ListParagraph"/>
        <w:numPr>
          <w:ilvl w:val="2"/>
          <w:numId w:val="2"/>
        </w:numPr>
      </w:pPr>
      <w:r>
        <w:t>The deadline for the tenant to file an answer</w:t>
      </w:r>
    </w:p>
    <w:p w14:paraId="1CA78728" w14:textId="0D92E9A9" w:rsidR="00F02A9A" w:rsidRDefault="00F02A9A" w:rsidP="00F02A9A">
      <w:pPr>
        <w:pStyle w:val="ListParagraph"/>
        <w:numPr>
          <w:ilvl w:val="2"/>
          <w:numId w:val="2"/>
        </w:numPr>
      </w:pPr>
      <w:r>
        <w:t>The date and location of the trial</w:t>
      </w:r>
    </w:p>
    <w:p w14:paraId="46053D3F" w14:textId="581AADF8" w:rsidR="00E97288" w:rsidRDefault="005611AE" w:rsidP="00F02A9A">
      <w:pPr>
        <w:pStyle w:val="ListParagraph"/>
        <w:numPr>
          <w:ilvl w:val="1"/>
          <w:numId w:val="2"/>
        </w:numPr>
      </w:pPr>
      <w:r>
        <w:t xml:space="preserve">Often, the landlord pays a constable (a sworn officer for a municipality in Massachusetts) to serve the tenant with the summary process summons and complaint so as to have a </w:t>
      </w:r>
      <w:proofErr w:type="gramStart"/>
      <w:r>
        <w:t>third party</w:t>
      </w:r>
      <w:proofErr w:type="gramEnd"/>
      <w:r>
        <w:t xml:space="preserve"> witness of service.</w:t>
      </w:r>
      <w:r w:rsidR="00E97288">
        <w:t xml:space="preserve"> </w:t>
      </w:r>
    </w:p>
    <w:p w14:paraId="6297660B" w14:textId="3615A041" w:rsidR="00A17EEB" w:rsidRDefault="00F02A9A" w:rsidP="00A17EEB">
      <w:pPr>
        <w:pStyle w:val="ListParagraph"/>
        <w:numPr>
          <w:ilvl w:val="0"/>
          <w:numId w:val="2"/>
        </w:numPr>
      </w:pPr>
      <w:r>
        <w:t xml:space="preserve">Upon receiving the summons and complaint, the tenant may file </w:t>
      </w:r>
      <w:r w:rsidR="00A17EEB">
        <w:t>a Summary Process Answer Form with the court. This form is free. It contains:</w:t>
      </w:r>
    </w:p>
    <w:p w14:paraId="76B1BC65" w14:textId="60655C2E" w:rsidR="00A17EEB" w:rsidRDefault="00A17EEB" w:rsidP="00A17EEB">
      <w:pPr>
        <w:pStyle w:val="ListParagraph"/>
        <w:numPr>
          <w:ilvl w:val="1"/>
          <w:numId w:val="2"/>
        </w:numPr>
      </w:pPr>
      <w:r>
        <w:t>Defenses, or legal reasons that the landlord should not evict the tenant</w:t>
      </w:r>
    </w:p>
    <w:p w14:paraId="2B8E2934" w14:textId="54F5B53B" w:rsidR="00A17EEB" w:rsidRDefault="00206DD6" w:rsidP="00A17EEB">
      <w:pPr>
        <w:pStyle w:val="ListParagraph"/>
        <w:numPr>
          <w:ilvl w:val="1"/>
          <w:numId w:val="2"/>
        </w:numPr>
      </w:pPr>
      <w:r>
        <w:t>Counterclaims, or claims by the tenant against the landlord</w:t>
      </w:r>
    </w:p>
    <w:p w14:paraId="713681DB" w14:textId="0A0A23C6" w:rsidR="00206DD6" w:rsidRDefault="00206DD6" w:rsidP="00206DD6">
      <w:pPr>
        <w:pStyle w:val="ListParagraph"/>
        <w:numPr>
          <w:ilvl w:val="2"/>
          <w:numId w:val="2"/>
        </w:numPr>
      </w:pPr>
      <w:r>
        <w:t>For example, the tenant may claim that the landlord owes them money for breaking the law</w:t>
      </w:r>
    </w:p>
    <w:p w14:paraId="420B11FC" w14:textId="4C4DB861" w:rsidR="00206DD6" w:rsidRDefault="00206DD6" w:rsidP="00206DD6">
      <w:pPr>
        <w:pStyle w:val="ListParagraph"/>
        <w:numPr>
          <w:ilvl w:val="2"/>
          <w:numId w:val="2"/>
        </w:numPr>
      </w:pPr>
      <w:r>
        <w:t>Another possibility is that the tenant may ask the court to order the landlord to fix the heating system</w:t>
      </w:r>
    </w:p>
    <w:p w14:paraId="5CA7493D" w14:textId="71140D68" w:rsidR="00206DD6" w:rsidRDefault="00206DD6" w:rsidP="00206DD6">
      <w:pPr>
        <w:pStyle w:val="ListParagraph"/>
        <w:numPr>
          <w:ilvl w:val="0"/>
          <w:numId w:val="2"/>
        </w:numPr>
      </w:pPr>
      <w:r>
        <w:t xml:space="preserve">At this time, the tenant may also file for Discovery. This is the court process that allows </w:t>
      </w:r>
    </w:p>
    <w:p w14:paraId="0729CE01" w14:textId="07ED6603" w:rsidR="00B5555E" w:rsidRDefault="00B5555E" w:rsidP="00C44655">
      <w:pPr>
        <w:pStyle w:val="ListParagraph"/>
        <w:numPr>
          <w:ilvl w:val="0"/>
          <w:numId w:val="2"/>
        </w:numPr>
      </w:pPr>
      <w:r>
        <w:t xml:space="preserve">Tenant may call for discovery. This </w:t>
      </w:r>
      <w:r w:rsidR="00206DD6">
        <w:t xml:space="preserve">allows the tenant to request information from their landlord, which the landlord must provide under oath. The tenant may also </w:t>
      </w:r>
      <w:proofErr w:type="gramStart"/>
      <w:r w:rsidR="00206DD6">
        <w:t>requests</w:t>
      </w:r>
      <w:proofErr w:type="gramEnd"/>
      <w:r w:rsidR="00206DD6">
        <w:t xml:space="preserve"> documents from the landlord which would be useful in preparing a case.</w:t>
      </w:r>
    </w:p>
    <w:p w14:paraId="396F4640" w14:textId="712011CC" w:rsidR="00206DD6" w:rsidRDefault="00206DD6" w:rsidP="00206DD6">
      <w:pPr>
        <w:pStyle w:val="ListParagraph"/>
        <w:numPr>
          <w:ilvl w:val="1"/>
          <w:numId w:val="2"/>
        </w:numPr>
      </w:pPr>
      <w:r>
        <w:t>If the landlord refuses to give the information requested, the tenant can file a Motion to Compel, ordering the landlord to respond to the tenant’s Discovery</w:t>
      </w:r>
    </w:p>
    <w:p w14:paraId="7657A9BB" w14:textId="202BF09F" w:rsidR="00206DD6" w:rsidRDefault="00206DD6" w:rsidP="00206DD6">
      <w:pPr>
        <w:pStyle w:val="ListParagraph"/>
        <w:numPr>
          <w:ilvl w:val="1"/>
          <w:numId w:val="2"/>
        </w:numPr>
      </w:pPr>
      <w:proofErr w:type="gramStart"/>
      <w:r>
        <w:t>As long as</w:t>
      </w:r>
      <w:proofErr w:type="gramEnd"/>
      <w:r>
        <w:t xml:space="preserve"> the court receives the request for discovery by the answer deadline, </w:t>
      </w:r>
      <w:r w:rsidR="00BE7283">
        <w:t>the trial is postponed by two weeks.</w:t>
      </w:r>
    </w:p>
    <w:p w14:paraId="50BACE77" w14:textId="77777777" w:rsidR="006054F6" w:rsidRPr="007F4975" w:rsidRDefault="006054F6" w:rsidP="00206DD6">
      <w:pPr>
        <w:pStyle w:val="ListParagraph"/>
        <w:numPr>
          <w:ilvl w:val="1"/>
          <w:numId w:val="2"/>
        </w:numPr>
      </w:pPr>
    </w:p>
    <w:sectPr w:rsidR="006054F6" w:rsidRPr="007F4975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4276"/>
    <w:multiLevelType w:val="hybridMultilevel"/>
    <w:tmpl w:val="D5EC4558"/>
    <w:lvl w:ilvl="0" w:tplc="8C926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587"/>
    <w:multiLevelType w:val="hybridMultilevel"/>
    <w:tmpl w:val="7F72CF9C"/>
    <w:lvl w:ilvl="0" w:tplc="7FA69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11596">
    <w:abstractNumId w:val="1"/>
  </w:num>
  <w:num w:numId="2" w16cid:durableId="7715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60"/>
    <w:rsid w:val="00017D09"/>
    <w:rsid w:val="000F7531"/>
    <w:rsid w:val="00140C56"/>
    <w:rsid w:val="00206DD6"/>
    <w:rsid w:val="0047412E"/>
    <w:rsid w:val="004B6DC3"/>
    <w:rsid w:val="004E6364"/>
    <w:rsid w:val="00502F96"/>
    <w:rsid w:val="00544280"/>
    <w:rsid w:val="005611AE"/>
    <w:rsid w:val="005F4D9E"/>
    <w:rsid w:val="006054F6"/>
    <w:rsid w:val="00617072"/>
    <w:rsid w:val="006B62EC"/>
    <w:rsid w:val="00790F6E"/>
    <w:rsid w:val="00797BE6"/>
    <w:rsid w:val="007F4975"/>
    <w:rsid w:val="00810CC8"/>
    <w:rsid w:val="009715E4"/>
    <w:rsid w:val="00A17EEB"/>
    <w:rsid w:val="00A670B6"/>
    <w:rsid w:val="00A67527"/>
    <w:rsid w:val="00B5555E"/>
    <w:rsid w:val="00BC3893"/>
    <w:rsid w:val="00BE7283"/>
    <w:rsid w:val="00C44655"/>
    <w:rsid w:val="00CD4BA2"/>
    <w:rsid w:val="00D118DB"/>
    <w:rsid w:val="00DB2B60"/>
    <w:rsid w:val="00E97288"/>
    <w:rsid w:val="00F02A9A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4C8C"/>
  <w15:chartTrackingRefBased/>
  <w15:docId w15:val="{D6DB673E-9BE3-7548-849A-65E6C050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12</cp:revision>
  <dcterms:created xsi:type="dcterms:W3CDTF">2022-08-17T02:35:00Z</dcterms:created>
  <dcterms:modified xsi:type="dcterms:W3CDTF">2022-08-24T14:09:00Z</dcterms:modified>
</cp:coreProperties>
</file>