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1F3864"/>
          <w:sz w:val="44"/>
          <w:szCs w:val="44"/>
        </w:rPr>
        <w:t xml:space="preserve">STANDARD OPERATING PROCEDURE</w:t>
      </w:r>
    </w:p>
    <w:p>
      <w:pPr>
        <w:spacing w:after="100" w:before="200"/>
        <w:jc w:val="center"/>
      </w:pPr>
      <w:r>
        <w:rPr>
          <w:b/>
          <w:bCs/>
          <w:color w:val="2E5395"/>
          <w:sz w:val="32"/>
          <w:szCs w:val="32"/>
        </w:rPr>
        <w:t xml:space="preserve">AI Threat Modelling &amp; Risk Assessment</w:t>
      </w:r>
    </w:p>
    <w:p>
      <w:pPr>
        <w:spacing w:after="600"/>
        <w:jc w:val="center"/>
      </w:pPr>
      <w:r>
        <w:rPr>
          <w:i/>
          <w:iCs/>
          <w:color w:val="222222"/>
          <w:sz w:val="24"/>
          <w:szCs w:val="24"/>
        </w:rPr>
        <w:t xml:space="preserve">for AI/ML-Enabled Financial &amp; Customer-Facing Systems</w:t>
      </w:r>
    </w:p>
    <w:p>
      <w:pPr>
        <w:spacing w:after="900"/>
        <w:jc w:val="center"/>
      </w:pPr>
      <w:r>
        <w:rPr>
          <w:color w:val="555555"/>
          <w:sz w:val="20"/>
          <w:szCs w:val="20"/>
        </w:rPr>
        <w:t xml:space="preserve">Applicable to: Loan Origination Models • Fraud Detection Pipelines • RAG-based Customer Support Chatbots • Other Enterprise AI Systems</w:t>
      </w:r>
    </w:p>
    <w:tbl>
      <w:tblPr>
        <w:tblW w:type="dxa" w:w="85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5500"/>
      </w:tblGrid>
      <w:tr>
        <w:tc>
          <w:tcPr>
            <w:tcW w:type="dxa" w:w="3000"/>
            <w:shd w:fill="DCE6F1" w:val="clear"/>
            <w:tcMar>
              <w:top w:type="dxa" w:w="80"/>
              <w:left w:type="dxa" w:w="120"/>
              <w:bottom w:type="dxa" w:w="80"/>
              <w:right w:type="dxa" w:w="120"/>
            </w:tcMar>
            <w:vAlign w:val="center"/>
          </w:tcPr>
          <w:p>
            <w:r>
              <w:rPr>
                <w:b/>
                <w:bCs/>
                <w:color w:val="222222"/>
                <w:sz w:val="20"/>
                <w:szCs w:val="20"/>
              </w:rPr>
              <w:t xml:space="preserve">Document Title</w:t>
            </w:r>
          </w:p>
        </w:tc>
        <w:tc>
          <w:tcPr>
            <w:tcW w:type="dxa" w:w="5500"/>
            <w:tcMar>
              <w:top w:type="dxa" w:w="80"/>
              <w:left w:type="dxa" w:w="120"/>
              <w:bottom w:type="dxa" w:w="80"/>
              <w:right w:type="dxa" w:w="120"/>
            </w:tcMar>
            <w:vAlign w:val="center"/>
          </w:tcPr>
          <w:p>
            <w:r>
              <w:rPr>
                <w:b w:val="false"/>
                <w:bCs w:val="false"/>
                <w:color w:val="222222"/>
                <w:sz w:val="20"/>
                <w:szCs w:val="20"/>
              </w:rPr>
              <w:t xml:space="preserve">SOP – AI Threat Assessment Procedure</w:t>
            </w:r>
          </w:p>
        </w:tc>
      </w:tr>
      <w:tr>
        <w:tc>
          <w:tcPr>
            <w:tcW w:type="dxa" w:w="3000"/>
            <w:shd w:fill="DCE6F1" w:val="clear"/>
            <w:tcMar>
              <w:top w:type="dxa" w:w="80"/>
              <w:left w:type="dxa" w:w="120"/>
              <w:bottom w:type="dxa" w:w="80"/>
              <w:right w:type="dxa" w:w="120"/>
            </w:tcMar>
            <w:vAlign w:val="center"/>
          </w:tcPr>
          <w:p>
            <w:r>
              <w:rPr>
                <w:b/>
                <w:bCs/>
                <w:color w:val="222222"/>
                <w:sz w:val="20"/>
                <w:szCs w:val="20"/>
              </w:rPr>
              <w:t xml:space="preserve">Document Owner</w:t>
            </w:r>
          </w:p>
        </w:tc>
        <w:tc>
          <w:tcPr>
            <w:tcW w:type="dxa" w:w="5500"/>
            <w:tcMar>
              <w:top w:type="dxa" w:w="80"/>
              <w:left w:type="dxa" w:w="120"/>
              <w:bottom w:type="dxa" w:w="80"/>
              <w:right w:type="dxa" w:w="120"/>
            </w:tcMar>
            <w:vAlign w:val="center"/>
          </w:tcPr>
          <w:p>
            <w:r>
              <w:rPr>
                <w:b w:val="false"/>
                <w:bCs w:val="false"/>
                <w:color w:val="222222"/>
                <w:sz w:val="20"/>
                <w:szCs w:val="20"/>
              </w:rPr>
              <w:t xml:space="preserve">Chief Information Security Officer (CISO) / Head – IT Risk &amp; Governance</w:t>
            </w:r>
          </w:p>
        </w:tc>
      </w:tr>
      <w:tr>
        <w:tc>
          <w:tcPr>
            <w:tcW w:type="dxa" w:w="3000"/>
            <w:shd w:fill="DCE6F1" w:val="clear"/>
            <w:tcMar>
              <w:top w:type="dxa" w:w="80"/>
              <w:left w:type="dxa" w:w="120"/>
              <w:bottom w:type="dxa" w:w="80"/>
              <w:right w:type="dxa" w:w="120"/>
            </w:tcMar>
            <w:vAlign w:val="center"/>
          </w:tcPr>
          <w:p>
            <w:r>
              <w:rPr>
                <w:b/>
                <w:bCs/>
                <w:color w:val="222222"/>
                <w:sz w:val="20"/>
                <w:szCs w:val="20"/>
              </w:rPr>
              <w:t xml:space="preserve">Applicable Entity</w:t>
            </w:r>
          </w:p>
        </w:tc>
        <w:tc>
          <w:tcPr>
            <w:tcW w:type="dxa" w:w="5500"/>
            <w:tcMar>
              <w:top w:type="dxa" w:w="80"/>
              <w:left w:type="dxa" w:w="120"/>
              <w:bottom w:type="dxa" w:w="80"/>
              <w:right w:type="dxa" w:w="120"/>
            </w:tcMar>
            <w:vAlign w:val="center"/>
          </w:tcPr>
          <w:p>
            <w:r>
              <w:rPr>
                <w:b w:val="false"/>
                <w:bCs w:val="false"/>
                <w:color w:val="222222"/>
                <w:sz w:val="20"/>
                <w:szCs w:val="20"/>
              </w:rPr>
              <w:t xml:space="preserve">[NBFC Name] – an RBI-Regulated Non-Banking Financial Company</w:t>
            </w:r>
          </w:p>
        </w:tc>
      </w:tr>
      <w:tr>
        <w:tc>
          <w:tcPr>
            <w:tcW w:type="dxa" w:w="3000"/>
            <w:shd w:fill="DCE6F1" w:val="clear"/>
            <w:tcMar>
              <w:top w:type="dxa" w:w="80"/>
              <w:left w:type="dxa" w:w="120"/>
              <w:bottom w:type="dxa" w:w="80"/>
              <w:right w:type="dxa" w:w="120"/>
            </w:tcMar>
            <w:vAlign w:val="center"/>
          </w:tcPr>
          <w:p>
            <w:r>
              <w:rPr>
                <w:b/>
                <w:bCs/>
                <w:color w:val="222222"/>
                <w:sz w:val="20"/>
                <w:szCs w:val="20"/>
              </w:rPr>
              <w:t xml:space="preserve">Classification</w:t>
            </w:r>
          </w:p>
        </w:tc>
        <w:tc>
          <w:tcPr>
            <w:tcW w:type="dxa" w:w="5500"/>
            <w:tcMar>
              <w:top w:type="dxa" w:w="80"/>
              <w:left w:type="dxa" w:w="120"/>
              <w:bottom w:type="dxa" w:w="80"/>
              <w:right w:type="dxa" w:w="120"/>
            </w:tcMar>
            <w:vAlign w:val="center"/>
          </w:tcPr>
          <w:p>
            <w:r>
              <w:rPr>
                <w:b w:val="false"/>
                <w:bCs w:val="false"/>
                <w:color w:val="222222"/>
                <w:sz w:val="20"/>
                <w:szCs w:val="20"/>
              </w:rPr>
              <w:t xml:space="preserve">Internal / Confidential</w:t>
            </w:r>
          </w:p>
        </w:tc>
      </w:tr>
      <w:tr>
        <w:tc>
          <w:tcPr>
            <w:tcW w:type="dxa" w:w="3000"/>
            <w:shd w:fill="DCE6F1" w:val="clear"/>
            <w:tcMar>
              <w:top w:type="dxa" w:w="80"/>
              <w:left w:type="dxa" w:w="120"/>
              <w:bottom w:type="dxa" w:w="80"/>
              <w:right w:type="dxa" w:w="120"/>
            </w:tcMar>
            <w:vAlign w:val="center"/>
          </w:tcPr>
          <w:p>
            <w:r>
              <w:rPr>
                <w:b/>
                <w:bCs/>
                <w:color w:val="222222"/>
                <w:sz w:val="20"/>
                <w:szCs w:val="20"/>
              </w:rPr>
              <w:t xml:space="preserve">Version</w:t>
            </w:r>
          </w:p>
        </w:tc>
        <w:tc>
          <w:tcPr>
            <w:tcW w:type="dxa" w:w="5500"/>
            <w:tcMar>
              <w:top w:type="dxa" w:w="80"/>
              <w:left w:type="dxa" w:w="120"/>
              <w:bottom w:type="dxa" w:w="80"/>
              <w:right w:type="dxa" w:w="120"/>
            </w:tcMar>
            <w:vAlign w:val="center"/>
          </w:tcPr>
          <w:p>
            <w:r>
              <w:rPr>
                <w:b w:val="false"/>
                <w:bCs w:val="false"/>
                <w:color w:val="222222"/>
                <w:sz w:val="20"/>
                <w:szCs w:val="20"/>
              </w:rPr>
              <w:t xml:space="preserve">1.0</w:t>
            </w:r>
          </w:p>
        </w:tc>
      </w:tr>
      <w:tr>
        <w:tc>
          <w:tcPr>
            <w:tcW w:type="dxa" w:w="3000"/>
            <w:shd w:fill="DCE6F1" w:val="clear"/>
            <w:tcMar>
              <w:top w:type="dxa" w:w="80"/>
              <w:left w:type="dxa" w:w="120"/>
              <w:bottom w:type="dxa" w:w="80"/>
              <w:right w:type="dxa" w:w="120"/>
            </w:tcMar>
            <w:vAlign w:val="center"/>
          </w:tcPr>
          <w:p>
            <w:r>
              <w:rPr>
                <w:b/>
                <w:bCs/>
                <w:color w:val="222222"/>
                <w:sz w:val="20"/>
                <w:szCs w:val="20"/>
              </w:rPr>
              <w:t xml:space="preserve">Effective Date</w:t>
            </w:r>
          </w:p>
        </w:tc>
        <w:tc>
          <w:tcPr>
            <w:tcW w:type="dxa" w:w="5500"/>
            <w:tcMar>
              <w:top w:type="dxa" w:w="80"/>
              <w:left w:type="dxa" w:w="120"/>
              <w:bottom w:type="dxa" w:w="80"/>
              <w:right w:type="dxa" w:w="120"/>
            </w:tcMar>
            <w:vAlign w:val="center"/>
          </w:tcPr>
          <w:p>
            <w:r>
              <w:rPr>
                <w:b w:val="false"/>
                <w:bCs w:val="false"/>
                <w:color w:val="222222"/>
                <w:sz w:val="20"/>
                <w:szCs w:val="20"/>
              </w:rPr>
              <w:t xml:space="preserve">[DD-MM-YYYY]</w:t>
            </w:r>
          </w:p>
        </w:tc>
      </w:tr>
      <w:tr>
        <w:tc>
          <w:tcPr>
            <w:tcW w:type="dxa" w:w="3000"/>
            <w:shd w:fill="DCE6F1" w:val="clear"/>
            <w:tcMar>
              <w:top w:type="dxa" w:w="80"/>
              <w:left w:type="dxa" w:w="120"/>
              <w:bottom w:type="dxa" w:w="80"/>
              <w:right w:type="dxa" w:w="120"/>
            </w:tcMar>
            <w:vAlign w:val="center"/>
          </w:tcPr>
          <w:p>
            <w:r>
              <w:rPr>
                <w:b/>
                <w:bCs/>
                <w:color w:val="222222"/>
                <w:sz w:val="20"/>
                <w:szCs w:val="20"/>
              </w:rPr>
              <w:t xml:space="preserve">Review Cycle</w:t>
            </w:r>
          </w:p>
        </w:tc>
        <w:tc>
          <w:tcPr>
            <w:tcW w:type="dxa" w:w="5500"/>
            <w:tcMar>
              <w:top w:type="dxa" w:w="80"/>
              <w:left w:type="dxa" w:w="120"/>
              <w:bottom w:type="dxa" w:w="80"/>
              <w:right w:type="dxa" w:w="120"/>
            </w:tcMar>
            <w:vAlign w:val="center"/>
          </w:tcPr>
          <w:p>
            <w:r>
              <w:rPr>
                <w:b w:val="false"/>
                <w:bCs w:val="false"/>
                <w:color w:val="222222"/>
                <w:sz w:val="20"/>
                <w:szCs w:val="20"/>
              </w:rPr>
              <w:t xml:space="preserve">Annual, or upon material change to AI architecture / regulatory guidance</w:t>
            </w:r>
          </w:p>
        </w:tc>
      </w:tr>
      <w:tr>
        <w:tc>
          <w:tcPr>
            <w:tcW w:type="dxa" w:w="3000"/>
            <w:shd w:fill="DCE6F1" w:val="clear"/>
            <w:tcMar>
              <w:top w:type="dxa" w:w="80"/>
              <w:left w:type="dxa" w:w="120"/>
              <w:bottom w:type="dxa" w:w="80"/>
              <w:right w:type="dxa" w:w="120"/>
            </w:tcMar>
            <w:vAlign w:val="center"/>
          </w:tcPr>
          <w:p>
            <w:r>
              <w:rPr>
                <w:b/>
                <w:bCs/>
                <w:color w:val="222222"/>
                <w:sz w:val="20"/>
                <w:szCs w:val="20"/>
              </w:rPr>
              <w:t xml:space="preserve">Approved By</w:t>
            </w:r>
          </w:p>
        </w:tc>
        <w:tc>
          <w:tcPr>
            <w:tcW w:type="dxa" w:w="5500"/>
            <w:tcMar>
              <w:top w:type="dxa" w:w="80"/>
              <w:left w:type="dxa" w:w="120"/>
              <w:bottom w:type="dxa" w:w="80"/>
              <w:right w:type="dxa" w:w="120"/>
            </w:tcMar>
            <w:vAlign w:val="center"/>
          </w:tcPr>
          <w:p>
            <w:r>
              <w:rPr>
                <w:b w:val="false"/>
                <w:bCs w:val="false"/>
                <w:color w:val="222222"/>
                <w:sz w:val="20"/>
                <w:szCs w:val="20"/>
              </w:rPr>
              <w:t xml:space="preserve">IT Strategy Committee / Board Risk Management Committee</w:t>
            </w:r>
          </w:p>
        </w:tc>
      </w:tr>
    </w:tbl>
    <w:p>
      <w:r>
        <w:br w:type="page"/>
      </w:r>
    </w:p>
    <w:p>
      <w:pPr>
        <w:pStyle w:val="Heading1"/>
        <w:spacing w:after="160" w:before="360"/>
      </w:pPr>
      <w:r>
        <w:t xml:space="preserve">Table of Contents</w:t>
      </w:r>
    </w:p>
    <w:p>
      <w:pPr>
        <w:spacing w:after="110"/>
      </w:pPr>
      <w:r>
        <w:rPr>
          <w:b/>
          <w:bCs/>
          <w:color w:val="2E5395"/>
          <w:sz w:val="22"/>
          <w:szCs w:val="22"/>
        </w:rPr>
        <w:t xml:space="preserve">1. Purpose &amp; Scope</w:t>
      </w:r>
    </w:p>
    <w:p>
      <w:pPr>
        <w:spacing w:after="110"/>
      </w:pPr>
      <w:r>
        <w:rPr>
          <w:b/>
          <w:bCs/>
          <w:color w:val="2E5395"/>
          <w:sz w:val="22"/>
          <w:szCs w:val="22"/>
        </w:rPr>
        <w:t xml:space="preserve">2. Objectives</w:t>
      </w:r>
    </w:p>
    <w:p>
      <w:pPr>
        <w:spacing w:after="110"/>
      </w:pPr>
      <w:r>
        <w:rPr>
          <w:b/>
          <w:bCs/>
          <w:color w:val="2E5395"/>
          <w:sz w:val="22"/>
          <w:szCs w:val="22"/>
        </w:rPr>
        <w:t xml:space="preserve">3. Key Terms &amp; Definitions</w:t>
      </w:r>
    </w:p>
    <w:p>
      <w:pPr>
        <w:spacing w:after="110"/>
      </w:pPr>
      <w:r>
        <w:rPr>
          <w:b/>
          <w:bCs/>
          <w:color w:val="2E5395"/>
          <w:sz w:val="22"/>
          <w:szCs w:val="22"/>
        </w:rPr>
        <w:t xml:space="preserve">4. Methodology</w:t>
      </w:r>
    </w:p>
    <w:p>
      <w:pPr>
        <w:spacing w:after="110"/>
      </w:pPr>
      <w:r>
        <w:rPr>
          <w:b/>
          <w:bCs/>
          <w:color w:val="2E5395"/>
          <w:sz w:val="22"/>
          <w:szCs w:val="22"/>
        </w:rPr>
        <w:t xml:space="preserve">5. Prerequisites</w:t>
      </w:r>
    </w:p>
    <w:p>
      <w:pPr>
        <w:spacing w:after="110"/>
      </w:pPr>
      <w:r>
        <w:rPr>
          <w:b/>
          <w:bCs/>
          <w:color w:val="2E5395"/>
          <w:sz w:val="22"/>
          <w:szCs w:val="22"/>
        </w:rPr>
        <w:t xml:space="preserve">6. Step-by-Step Process</w:t>
      </w:r>
    </w:p>
    <w:p>
      <w:pPr>
        <w:spacing w:after="110"/>
      </w:pPr>
      <w:r>
        <w:rPr>
          <w:b w:val="false"/>
          <w:bCs w:val="false"/>
          <w:color w:val="2E5395"/>
          <w:sz w:val="22"/>
          <w:szCs w:val="22"/>
        </w:rPr>
        <w:t xml:space="preserve">   6.1 AI Asset Inventory &amp; Classification</w:t>
      </w:r>
    </w:p>
    <w:p>
      <w:pPr>
        <w:spacing w:after="110"/>
      </w:pPr>
      <w:r>
        <w:rPr>
          <w:b w:val="false"/>
          <w:bCs w:val="false"/>
          <w:color w:val="2E5395"/>
          <w:sz w:val="22"/>
          <w:szCs w:val="22"/>
        </w:rPr>
        <w:t xml:space="preserve">   6.2 Securing the AI Data Supply Chain</w:t>
      </w:r>
    </w:p>
    <w:p>
      <w:pPr>
        <w:spacing w:after="110"/>
      </w:pPr>
      <w:r>
        <w:rPr>
          <w:b w:val="false"/>
          <w:bCs w:val="false"/>
          <w:color w:val="2E5395"/>
          <w:sz w:val="22"/>
          <w:szCs w:val="22"/>
        </w:rPr>
        <w:t xml:space="preserve">   6.3 Threat Identification using STRIDE-AI</w:t>
      </w:r>
    </w:p>
    <w:p>
      <w:pPr>
        <w:spacing w:after="110"/>
      </w:pPr>
      <w:r>
        <w:rPr>
          <w:b w:val="false"/>
          <w:bCs w:val="false"/>
          <w:color w:val="2E5395"/>
          <w:sz w:val="22"/>
          <w:szCs w:val="22"/>
        </w:rPr>
        <w:t xml:space="preserve">   6.4 MITRE ATLAS &amp; OWASP LLM Mapping</w:t>
      </w:r>
    </w:p>
    <w:p>
      <w:pPr>
        <w:spacing w:after="110"/>
      </w:pPr>
      <w:r>
        <w:rPr>
          <w:b/>
          <w:bCs/>
          <w:color w:val="2E5395"/>
          <w:sz w:val="22"/>
          <w:szCs w:val="22"/>
        </w:rPr>
        <w:t xml:space="preserve">7. Roles &amp; Responsibilities</w:t>
      </w:r>
    </w:p>
    <w:p>
      <w:pPr>
        <w:spacing w:after="110"/>
      </w:pPr>
      <w:r>
        <w:rPr>
          <w:b/>
          <w:bCs/>
          <w:color w:val="2E5395"/>
          <w:sz w:val="22"/>
          <w:szCs w:val="22"/>
        </w:rPr>
        <w:t xml:space="preserve">8. References</w:t>
      </w:r>
    </w:p>
    <w:p>
      <w:r>
        <w:br w:type="page"/>
      </w:r>
    </w:p>
    <w:p>
      <w:pPr>
        <w:pStyle w:val="Heading1"/>
        <w:spacing w:after="160" w:before="360"/>
      </w:pPr>
      <w:r>
        <w:t xml:space="preserve">1. Purpose &amp; Scope</w:t>
      </w:r>
    </w:p>
    <w:p>
      <w:pPr>
        <w:pStyle w:val="Heading2"/>
        <w:spacing w:after="120" w:before="260"/>
      </w:pPr>
      <w:r>
        <w:t xml:space="preserve">1.1 Purpose</w:t>
      </w:r>
    </w:p>
    <w:p>
      <w:pPr>
        <w:spacing w:after="140" w:line="276"/>
      </w:pPr>
      <w:r>
        <w:rPr>
          <w:color w:val="222222"/>
          <w:sz w:val="21"/>
          <w:szCs w:val="21"/>
        </w:rPr>
        <w:t xml:space="preserve">This Standard Operating Procedure (SOP) establishes a repeatable, auditable methodology for identifying, assessing, and mitigating security threats to Artificial Intelligence (AI) and Machine Learning (ML) systems deployed by the NBFC, including AI-driven loan origination models, fraud detection pipelines, and Retrieval-Augmented Generation (RAG) based customer support chatbots. Unlike traditional application security, which focuses on code, infrastructure, and network boundaries, AI systems introduce new categories of assets — training data, model weights, embeddings, system prompts, feature stores, and model registries — along with non-deterministic behaviour and limited explainability (the “black box” problem). This SOP ensures that AI-specific risks are systematically identified using the STRIDE-AI, MITRE ATLAS, and OWASP LLM Top 10 frameworks before, during, and after deployment, and that findings are translated into actionable, owner-assigned remediation — in line with the NBFC’s obligations as an RBI-regulated entity handling sensitive financial and customer data.</w:t>
      </w:r>
    </w:p>
    <w:p>
      <w:pPr>
        <w:pStyle w:val="Heading2"/>
        <w:spacing w:after="120" w:before="260"/>
      </w:pPr>
      <w:r>
        <w:t xml:space="preserve">1.2 Scope</w:t>
      </w:r>
    </w:p>
    <w:p>
      <w:pPr>
        <w:spacing w:after="140" w:line="276"/>
      </w:pPr>
      <w:r>
        <w:rPr>
          <w:color w:val="222222"/>
          <w:sz w:val="21"/>
          <w:szCs w:val="21"/>
        </w:rPr>
        <w:t xml:space="preserve">This SOP applies to all AI/ML systems across their lifecycle — design, development, procurement, deployment, and retirement — within the NBFC, and covers three categories of AI: </w:t>
      </w:r>
      <w:r>
        <w:rPr>
          <w:b/>
          <w:bCs/>
          <w:color w:val="222222"/>
          <w:sz w:val="21"/>
          <w:szCs w:val="21"/>
        </w:rPr>
        <w:t xml:space="preserve">(i) Home-grown AI</w:t>
      </w:r>
      <w:r>
        <w:rPr>
          <w:color w:val="222222"/>
          <w:sz w:val="21"/>
          <w:szCs w:val="21"/>
        </w:rPr>
        <w:t xml:space="preserve"> — models built, trained, and fine-tuned in-house (e.g., proprietary credit-scoring or fraud-detection models); </w:t>
      </w:r>
      <w:r>
        <w:rPr>
          <w:b/>
          <w:bCs/>
          <w:color w:val="222222"/>
          <w:sz w:val="21"/>
          <w:szCs w:val="21"/>
        </w:rPr>
        <w:t xml:space="preserve">(ii) Generative AI</w:t>
      </w:r>
      <w:r>
        <w:rPr>
          <w:color w:val="222222"/>
          <w:sz w:val="21"/>
          <w:szCs w:val="21"/>
        </w:rPr>
        <w:t xml:space="preserve"> — LLM-based and RAG-based systems such as customer support chatbots, document summarisation tools, and agentic assistants with tool/plugin access; and </w:t>
      </w:r>
      <w:r>
        <w:rPr>
          <w:b/>
          <w:bCs/>
          <w:color w:val="222222"/>
          <w:sz w:val="21"/>
          <w:szCs w:val="21"/>
        </w:rPr>
        <w:t xml:space="preserve">(iii) Third-Party / Vendor AI</w:t>
      </w:r>
      <w:r>
        <w:rPr>
          <w:color w:val="222222"/>
          <w:sz w:val="21"/>
          <w:szCs w:val="21"/>
        </w:rPr>
        <w:t xml:space="preserve"> — externally procured or API-consumed models, pre-trained foundation models, SaaS-embedded AI features, and outsourced ML pipelines. The SOP applies regardless of hosting model (on-premises, private cloud, or public cloud/SaaS) and is binding on the Security Engineering, Data Science/ML Engineering, Governance &amp; Compliance teams, and any third-party vendor contractually engaged to build, host, or operate AI systems on behalf of the NBFC.</w:t>
      </w:r>
    </w:p>
    <w:p>
      <w:pPr>
        <w:pStyle w:val="Heading1"/>
        <w:spacing w:after="160" w:before="360"/>
      </w:pPr>
      <w:r>
        <w:t xml:space="preserve">2. Objectives</w:t>
      </w:r>
    </w:p>
    <w:p>
      <w:pPr>
        <w:pStyle w:val="ListParagraph"/>
        <w:numPr>
          <w:ilvl w:val="0"/>
          <w:numId w:val="2"/>
        </w:numPr>
        <w:spacing w:after="90" w:line="270"/>
      </w:pPr>
      <w:r>
        <w:rPr>
          <w:color w:val="222222"/>
          <w:sz w:val="21"/>
          <w:szCs w:val="21"/>
        </w:rPr>
        <w:t xml:space="preserve">Establish a standardised, repeatable process for conducting AI-specific threat assessments across all in-scope systems, rather than relying solely on traditional application security reviews.</w:t>
      </w:r>
    </w:p>
    <w:p>
      <w:pPr>
        <w:pStyle w:val="ListParagraph"/>
        <w:numPr>
          <w:ilvl w:val="0"/>
          <w:numId w:val="2"/>
        </w:numPr>
        <w:spacing w:after="90" w:line="270"/>
      </w:pPr>
      <w:r>
        <w:rPr>
          <w:color w:val="222222"/>
          <w:sz w:val="21"/>
          <w:szCs w:val="21"/>
        </w:rPr>
        <w:t xml:space="preserve">Ensure complete inventory and risk classification of AI-specific assets (training data, model weights, embeddings, system prompts, feature stores, and model registries) so that no asset class is omitted from risk coverage.</w:t>
      </w:r>
    </w:p>
    <w:p>
      <w:pPr>
        <w:pStyle w:val="ListParagraph"/>
        <w:numPr>
          <w:ilvl w:val="0"/>
          <w:numId w:val="2"/>
        </w:numPr>
        <w:spacing w:after="90" w:line="270"/>
      </w:pPr>
      <w:r>
        <w:rPr>
          <w:color w:val="222222"/>
          <w:sz w:val="21"/>
          <w:szCs w:val="21"/>
        </w:rPr>
        <w:t xml:space="preserve">Detect and prevent long-term, low-visibility threats — particularly data poisoning and model backdoors — that evade traditional point-in-time security controls due to their delayed and diffuse effects.</w:t>
      </w:r>
    </w:p>
    <w:p>
      <w:pPr>
        <w:pStyle w:val="ListParagraph"/>
        <w:numPr>
          <w:ilvl w:val="0"/>
          <w:numId w:val="2"/>
        </w:numPr>
        <w:spacing w:after="90" w:line="270"/>
      </w:pPr>
      <w:r>
        <w:rPr>
          <w:color w:val="222222"/>
          <w:sz w:val="21"/>
          <w:szCs w:val="21"/>
        </w:rPr>
        <w:t xml:space="preserve">Provide regulators, auditors, and the Board Risk Management Committee with a defensible, evidence-based audit trail of AI risk identification, decisioning, and mitigation — supporting explainability obligations for lending and fraud-detection decisions.</w:t>
      </w:r>
    </w:p>
    <w:p>
      <w:pPr>
        <w:pStyle w:val="ListParagraph"/>
        <w:numPr>
          <w:ilvl w:val="0"/>
          <w:numId w:val="2"/>
        </w:numPr>
        <w:spacing w:after="90" w:line="270"/>
      </w:pPr>
      <w:r>
        <w:rPr>
          <w:color w:val="222222"/>
          <w:sz w:val="21"/>
          <w:szCs w:val="21"/>
        </w:rPr>
        <w:t xml:space="preserve">Embed AI risk assessment as a mandatory gate within the AI development and vendor-onboarding lifecycle, rather than a one-time or optional activity, aligned with RBI's IT governance and FREE-AI expectations.</w:t>
      </w:r>
    </w:p>
    <w:p>
      <w:pPr>
        <w:pStyle w:val="Heading1"/>
        <w:spacing w:after="160" w:before="360"/>
      </w:pPr>
      <w:r>
        <w:t xml:space="preserve">3. Key Terms &amp; Definitions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20"/>
              <w:bottom w:type="dxa" w:w="80"/>
              <w:right w:type="dxa" w:w="120"/>
            </w:tcMar>
            <w:vAlign w:val="center"/>
          </w:tcPr>
          <w:p>
            <w:r>
              <w:rPr>
                <w:b/>
                <w:bCs/>
                <w:color w:val="FFFFFF"/>
                <w:sz w:val="20"/>
                <w:szCs w:val="20"/>
              </w:rPr>
              <w:t xml:space="preserve">Term</w:t>
            </w:r>
          </w:p>
        </w:tc>
        <w:tc>
          <w:tcPr>
            <w:tcW w:type="dxa" w:w="6900"/>
            <w:shd w:fill="1F3864" w:val="clear"/>
            <w:tcMar>
              <w:top w:type="dxa" w:w="80"/>
              <w:left w:type="dxa" w:w="120"/>
              <w:bottom w:type="dxa" w:w="80"/>
              <w:right w:type="dxa" w:w="120"/>
            </w:tcMar>
            <w:vAlign w:val="center"/>
          </w:tcPr>
          <w:p>
            <w:r>
              <w:rPr>
                <w:b/>
                <w:bCs/>
                <w:color w:val="FFFFFF"/>
                <w:sz w:val="20"/>
                <w:szCs w:val="20"/>
              </w:rPr>
              <w:t xml:space="preserve">Definition</w:t>
            </w:r>
          </w:p>
        </w:tc>
      </w:tr>
      <w:tr>
        <w:tc>
          <w:tcPr>
            <w:tcW w:type="dxa" w:w="2600"/>
            <w:tcMar>
              <w:top w:type="dxa" w:w="80"/>
              <w:left w:type="dxa" w:w="120"/>
              <w:bottom w:type="dxa" w:w="80"/>
              <w:right w:type="dxa" w:w="120"/>
            </w:tcMar>
            <w:vAlign w:val="center"/>
          </w:tcPr>
          <w:p>
            <w:r>
              <w:rPr>
                <w:b w:val="false"/>
                <w:bCs w:val="false"/>
                <w:color w:val="222222"/>
                <w:sz w:val="20"/>
                <w:szCs w:val="20"/>
              </w:rPr>
              <w:t xml:space="preserve">AI Asset</w:t>
            </w:r>
          </w:p>
        </w:tc>
        <w:tc>
          <w:tcPr>
            <w:tcW w:type="dxa" w:w="6900"/>
            <w:tcMar>
              <w:top w:type="dxa" w:w="80"/>
              <w:left w:type="dxa" w:w="120"/>
              <w:bottom w:type="dxa" w:w="80"/>
              <w:right w:type="dxa" w:w="120"/>
            </w:tcMar>
            <w:vAlign w:val="center"/>
          </w:tcPr>
          <w:p>
            <w:r>
              <w:rPr>
                <w:b w:val="false"/>
                <w:bCs w:val="false"/>
                <w:color w:val="222222"/>
                <w:sz w:val="20"/>
                <w:szCs w:val="20"/>
              </w:rPr>
              <w:t xml:space="preserve">Any data, model, prompt, or artefact that gives an AI system its learned behaviour or defines its runtime instructions (training data, model weights, embeddings, system prompts, feature stores, model registry entries).</w:t>
            </w:r>
          </w:p>
        </w:tc>
      </w:tr>
      <w:tr>
        <w:tc>
          <w:tcPr>
            <w:tcW w:type="dxa" w:w="2600"/>
            <w:shd w:fill="F2F2F2" w:val="clear"/>
            <w:tcMar>
              <w:top w:type="dxa" w:w="80"/>
              <w:left w:type="dxa" w:w="120"/>
              <w:bottom w:type="dxa" w:w="80"/>
              <w:right w:type="dxa" w:w="120"/>
            </w:tcMar>
            <w:vAlign w:val="center"/>
          </w:tcPr>
          <w:p>
            <w:r>
              <w:rPr>
                <w:b w:val="false"/>
                <w:bCs w:val="false"/>
                <w:color w:val="222222"/>
                <w:sz w:val="20"/>
                <w:szCs w:val="20"/>
              </w:rPr>
              <w:t xml:space="preserve">Data Poisoning</w:t>
            </w:r>
          </w:p>
        </w:tc>
        <w:tc>
          <w:tcPr>
            <w:tcW w:type="dxa" w:w="6900"/>
            <w:shd w:fill="F2F2F2" w:val="clear"/>
            <w:tcMar>
              <w:top w:type="dxa" w:w="80"/>
              <w:left w:type="dxa" w:w="120"/>
              <w:bottom w:type="dxa" w:w="80"/>
              <w:right w:type="dxa" w:w="120"/>
            </w:tcMar>
            <w:vAlign w:val="center"/>
          </w:tcPr>
          <w:p>
            <w:r>
              <w:rPr>
                <w:b w:val="false"/>
                <w:bCs w:val="false"/>
                <w:color w:val="222222"/>
                <w:sz w:val="20"/>
                <w:szCs w:val="20"/>
              </w:rPr>
              <w:t xml:space="preserve">Deliberate injection or manipulation of training/feature data to corrupt a model's learned behaviour (MITRE ATLAS AML.T0020).</w:t>
            </w:r>
          </w:p>
        </w:tc>
      </w:tr>
      <w:tr>
        <w:tc>
          <w:tcPr>
            <w:tcW w:type="dxa" w:w="2600"/>
            <w:tcMar>
              <w:top w:type="dxa" w:w="80"/>
              <w:left w:type="dxa" w:w="120"/>
              <w:bottom w:type="dxa" w:w="80"/>
              <w:right w:type="dxa" w:w="120"/>
            </w:tcMar>
            <w:vAlign w:val="center"/>
          </w:tcPr>
          <w:p>
            <w:r>
              <w:rPr>
                <w:b w:val="false"/>
                <w:bCs w:val="false"/>
                <w:color w:val="222222"/>
                <w:sz w:val="20"/>
                <w:szCs w:val="20"/>
              </w:rPr>
              <w:t xml:space="preserve">Model Extraction</w:t>
            </w:r>
          </w:p>
        </w:tc>
        <w:tc>
          <w:tcPr>
            <w:tcW w:type="dxa" w:w="6900"/>
            <w:tcMar>
              <w:top w:type="dxa" w:w="80"/>
              <w:left w:type="dxa" w:w="120"/>
              <w:bottom w:type="dxa" w:w="80"/>
              <w:right w:type="dxa" w:w="120"/>
            </w:tcMar>
            <w:vAlign w:val="center"/>
          </w:tcPr>
          <w:p>
            <w:r>
              <w:rPr>
                <w:b w:val="false"/>
                <w:bCs w:val="false"/>
                <w:color w:val="222222"/>
                <w:sz w:val="20"/>
                <w:szCs w:val="20"/>
              </w:rPr>
              <w:t xml:space="preserve">Systematic querying of a model's API to reconstruct a functionally equivalent copy without accessing model internals (AML.T0024).</w:t>
            </w:r>
          </w:p>
        </w:tc>
      </w:tr>
      <w:tr>
        <w:tc>
          <w:tcPr>
            <w:tcW w:type="dxa" w:w="2600"/>
            <w:shd w:fill="F2F2F2" w:val="clear"/>
            <w:tcMar>
              <w:top w:type="dxa" w:w="80"/>
              <w:left w:type="dxa" w:w="120"/>
              <w:bottom w:type="dxa" w:w="80"/>
              <w:right w:type="dxa" w:w="120"/>
            </w:tcMar>
            <w:vAlign w:val="center"/>
          </w:tcPr>
          <w:p>
            <w:r>
              <w:rPr>
                <w:b w:val="false"/>
                <w:bCs w:val="false"/>
                <w:color w:val="222222"/>
                <w:sz w:val="20"/>
                <w:szCs w:val="20"/>
              </w:rPr>
              <w:t xml:space="preserve">Prompt Injection</w:t>
            </w:r>
          </w:p>
        </w:tc>
        <w:tc>
          <w:tcPr>
            <w:tcW w:type="dxa" w:w="6900"/>
            <w:shd w:fill="F2F2F2" w:val="clear"/>
            <w:tcMar>
              <w:top w:type="dxa" w:w="80"/>
              <w:left w:type="dxa" w:w="120"/>
              <w:bottom w:type="dxa" w:w="80"/>
              <w:right w:type="dxa" w:w="120"/>
            </w:tcMar>
            <w:vAlign w:val="center"/>
          </w:tcPr>
          <w:p>
            <w:r>
              <w:rPr>
                <w:b w:val="false"/>
                <w:bCs w:val="false"/>
                <w:color w:val="222222"/>
                <w:sz w:val="20"/>
                <w:szCs w:val="20"/>
              </w:rPr>
              <w:t xml:space="preserve">Manipulation of an LLM's behaviour via crafted instructions in user input (direct) or retrieved/processed content (indirect) (AML.T0051).</w:t>
            </w:r>
          </w:p>
        </w:tc>
      </w:tr>
      <w:tr>
        <w:tc>
          <w:tcPr>
            <w:tcW w:type="dxa" w:w="2600"/>
            <w:tcMar>
              <w:top w:type="dxa" w:w="80"/>
              <w:left w:type="dxa" w:w="120"/>
              <w:bottom w:type="dxa" w:w="80"/>
              <w:right w:type="dxa" w:w="120"/>
            </w:tcMar>
            <w:vAlign w:val="center"/>
          </w:tcPr>
          <w:p>
            <w:r>
              <w:rPr>
                <w:b w:val="false"/>
                <w:bCs w:val="false"/>
                <w:color w:val="222222"/>
                <w:sz w:val="20"/>
                <w:szCs w:val="20"/>
              </w:rPr>
              <w:t xml:space="preserve">Backdoor / Trojaned Model</w:t>
            </w:r>
          </w:p>
        </w:tc>
        <w:tc>
          <w:tcPr>
            <w:tcW w:type="dxa" w:w="6900"/>
            <w:tcMar>
              <w:top w:type="dxa" w:w="80"/>
              <w:left w:type="dxa" w:w="120"/>
              <w:bottom w:type="dxa" w:w="80"/>
              <w:right w:type="dxa" w:w="120"/>
            </w:tcMar>
            <w:vAlign w:val="center"/>
          </w:tcPr>
          <w:p>
            <w:r>
              <w:rPr>
                <w:b w:val="false"/>
                <w:bCs w:val="false"/>
                <w:color w:val="222222"/>
                <w:sz w:val="20"/>
                <w:szCs w:val="20"/>
              </w:rPr>
              <w:t xml:space="preserve">A model embedded with a hidden trigger during training that behaves normally on standard inputs but maliciously when the trigger pattern is present (AML.T0018).</w:t>
            </w:r>
          </w:p>
        </w:tc>
      </w:tr>
      <w:tr>
        <w:tc>
          <w:tcPr>
            <w:tcW w:type="dxa" w:w="2600"/>
            <w:shd w:fill="F2F2F2" w:val="clear"/>
            <w:tcMar>
              <w:top w:type="dxa" w:w="80"/>
              <w:left w:type="dxa" w:w="120"/>
              <w:bottom w:type="dxa" w:w="80"/>
              <w:right w:type="dxa" w:w="120"/>
            </w:tcMar>
            <w:vAlign w:val="center"/>
          </w:tcPr>
          <w:p>
            <w:r>
              <w:rPr>
                <w:b w:val="false"/>
                <w:bCs w:val="false"/>
                <w:color w:val="222222"/>
                <w:sz w:val="20"/>
                <w:szCs w:val="20"/>
              </w:rPr>
              <w:t xml:space="preserve">RAG (Retrieval-Augmented Generation)</w:t>
            </w:r>
          </w:p>
        </w:tc>
        <w:tc>
          <w:tcPr>
            <w:tcW w:type="dxa" w:w="6900"/>
            <w:shd w:fill="F2F2F2" w:val="clear"/>
            <w:tcMar>
              <w:top w:type="dxa" w:w="80"/>
              <w:left w:type="dxa" w:w="120"/>
              <w:bottom w:type="dxa" w:w="80"/>
              <w:right w:type="dxa" w:w="120"/>
            </w:tcMar>
            <w:vAlign w:val="center"/>
          </w:tcPr>
          <w:p>
            <w:r>
              <w:rPr>
                <w:b w:val="false"/>
                <w:bCs w:val="false"/>
                <w:color w:val="222222"/>
                <w:sz w:val="20"/>
                <w:szCs w:val="20"/>
              </w:rPr>
              <w:t xml:space="preserve">An architecture where an LLM retrieves context from a vector database or document store at query time and treats it as trustworthy input.</w:t>
            </w:r>
          </w:p>
        </w:tc>
      </w:tr>
      <w:tr>
        <w:tc>
          <w:tcPr>
            <w:tcW w:type="dxa" w:w="2600"/>
            <w:tcMar>
              <w:top w:type="dxa" w:w="80"/>
              <w:left w:type="dxa" w:w="120"/>
              <w:bottom w:type="dxa" w:w="80"/>
              <w:right w:type="dxa" w:w="120"/>
            </w:tcMar>
            <w:vAlign w:val="center"/>
          </w:tcPr>
          <w:p>
            <w:r>
              <w:rPr>
                <w:b w:val="false"/>
                <w:bCs w:val="false"/>
                <w:color w:val="222222"/>
                <w:sz w:val="20"/>
                <w:szCs w:val="20"/>
              </w:rPr>
              <w:t xml:space="preserve">STRIDE-AI</w:t>
            </w:r>
          </w:p>
        </w:tc>
        <w:tc>
          <w:tcPr>
            <w:tcW w:type="dxa" w:w="6900"/>
            <w:tcMar>
              <w:top w:type="dxa" w:w="80"/>
              <w:left w:type="dxa" w:w="120"/>
              <w:bottom w:type="dxa" w:w="80"/>
              <w:right w:type="dxa" w:w="120"/>
            </w:tcMar>
            <w:vAlign w:val="center"/>
          </w:tcPr>
          <w:p>
            <w:r>
              <w:rPr>
                <w:b w:val="false"/>
                <w:bCs w:val="false"/>
                <w:color w:val="222222"/>
                <w:sz w:val="20"/>
                <w:szCs w:val="20"/>
              </w:rPr>
              <w:t xml:space="preserve">The STRIDE threat-categorisation framework (Spoofing, Tampering, Repudiation, Information Disclosure, Denial of Service, Elevation of Privilege), adapted to reflect AI-specific manifestations of each category.</w:t>
            </w:r>
          </w:p>
        </w:tc>
      </w:tr>
      <w:tr>
        <w:tc>
          <w:tcPr>
            <w:tcW w:type="dxa" w:w="2600"/>
            <w:shd w:fill="F2F2F2" w:val="clear"/>
            <w:tcMar>
              <w:top w:type="dxa" w:w="80"/>
              <w:left w:type="dxa" w:w="120"/>
              <w:bottom w:type="dxa" w:w="80"/>
              <w:right w:type="dxa" w:w="120"/>
            </w:tcMar>
            <w:vAlign w:val="center"/>
          </w:tcPr>
          <w:p>
            <w:r>
              <w:rPr>
                <w:b w:val="false"/>
                <w:bCs w:val="false"/>
                <w:color w:val="222222"/>
                <w:sz w:val="20"/>
                <w:szCs w:val="20"/>
              </w:rPr>
              <w:t xml:space="preserve">MITRE ATLAS</w:t>
            </w:r>
          </w:p>
        </w:tc>
        <w:tc>
          <w:tcPr>
            <w:tcW w:type="dxa" w:w="6900"/>
            <w:shd w:fill="F2F2F2" w:val="clear"/>
            <w:tcMar>
              <w:top w:type="dxa" w:w="80"/>
              <w:left w:type="dxa" w:w="120"/>
              <w:bottom w:type="dxa" w:w="80"/>
              <w:right w:type="dxa" w:w="120"/>
            </w:tcMar>
            <w:vAlign w:val="center"/>
          </w:tcPr>
          <w:p>
            <w:r>
              <w:rPr>
                <w:b w:val="false"/>
                <w:bCs w:val="false"/>
                <w:color w:val="222222"/>
                <w:sz w:val="20"/>
                <w:szCs w:val="20"/>
              </w:rPr>
              <w:t xml:space="preserve">Adversarial Threat Landscape for Artificial-Intelligence Systems — a MITRE ATT&amp;CK-aligned knowledge base of AI/ML-specific adversary tactics, techniques, and mitigations.</w:t>
            </w:r>
          </w:p>
        </w:tc>
      </w:tr>
      <w:tr>
        <w:tc>
          <w:tcPr>
            <w:tcW w:type="dxa" w:w="2600"/>
            <w:tcMar>
              <w:top w:type="dxa" w:w="80"/>
              <w:left w:type="dxa" w:w="120"/>
              <w:bottom w:type="dxa" w:w="80"/>
              <w:right w:type="dxa" w:w="120"/>
            </w:tcMar>
            <w:vAlign w:val="center"/>
          </w:tcPr>
          <w:p>
            <w:r>
              <w:rPr>
                <w:b w:val="false"/>
                <w:bCs w:val="false"/>
                <w:color w:val="222222"/>
                <w:sz w:val="20"/>
                <w:szCs w:val="20"/>
              </w:rPr>
              <w:t xml:space="preserve">OWASP LLM Top 10</w:t>
            </w:r>
          </w:p>
        </w:tc>
        <w:tc>
          <w:tcPr>
            <w:tcW w:type="dxa" w:w="6900"/>
            <w:tcMar>
              <w:top w:type="dxa" w:w="80"/>
              <w:left w:type="dxa" w:w="120"/>
              <w:bottom w:type="dxa" w:w="80"/>
              <w:right w:type="dxa" w:w="120"/>
            </w:tcMar>
            <w:vAlign w:val="center"/>
          </w:tcPr>
          <w:p>
            <w:r>
              <w:rPr>
                <w:b w:val="false"/>
                <w:bCs w:val="false"/>
                <w:color w:val="222222"/>
                <w:sz w:val="20"/>
                <w:szCs w:val="20"/>
              </w:rPr>
              <w:t xml:space="preserve">A community-maintained list of the ten most critical security risks in LLM applications, each mapped to the architectural components where the risk resides.</w:t>
            </w:r>
          </w:p>
        </w:tc>
      </w:tr>
      <w:tr>
        <w:tc>
          <w:tcPr>
            <w:tcW w:type="dxa" w:w="2600"/>
            <w:shd w:fill="F2F2F2" w:val="clear"/>
            <w:tcMar>
              <w:top w:type="dxa" w:w="80"/>
              <w:left w:type="dxa" w:w="120"/>
              <w:bottom w:type="dxa" w:w="80"/>
              <w:right w:type="dxa" w:w="120"/>
            </w:tcMar>
            <w:vAlign w:val="center"/>
          </w:tcPr>
          <w:p>
            <w:r>
              <w:rPr>
                <w:b w:val="false"/>
                <w:bCs w:val="false"/>
                <w:color w:val="222222"/>
                <w:sz w:val="20"/>
                <w:szCs w:val="20"/>
              </w:rPr>
              <w:t xml:space="preserve">Denial of Wallet</w:t>
            </w:r>
          </w:p>
        </w:tc>
        <w:tc>
          <w:tcPr>
            <w:tcW w:type="dxa" w:w="6900"/>
            <w:shd w:fill="F2F2F2" w:val="clear"/>
            <w:tcMar>
              <w:top w:type="dxa" w:w="80"/>
              <w:left w:type="dxa" w:w="120"/>
              <w:bottom w:type="dxa" w:w="80"/>
              <w:right w:type="dxa" w:w="120"/>
            </w:tcMar>
            <w:vAlign w:val="center"/>
          </w:tcPr>
          <w:p>
            <w:r>
              <w:rPr>
                <w:b w:val="false"/>
                <w:bCs w:val="false"/>
                <w:color w:val="222222"/>
                <w:sz w:val="20"/>
                <w:szCs w:val="20"/>
              </w:rPr>
              <w:t xml:space="preserve">A denial-of-service variant where an attacker drives up per-token/per-query inference costs to cause financial rather than availability harm.</w:t>
            </w:r>
          </w:p>
        </w:tc>
      </w:tr>
      <w:tr>
        <w:tc>
          <w:tcPr>
            <w:tcW w:type="dxa" w:w="2600"/>
            <w:tcMar>
              <w:top w:type="dxa" w:w="80"/>
              <w:left w:type="dxa" w:w="120"/>
              <w:bottom w:type="dxa" w:w="80"/>
              <w:right w:type="dxa" w:w="120"/>
            </w:tcMar>
            <w:vAlign w:val="center"/>
          </w:tcPr>
          <w:p>
            <w:r>
              <w:rPr>
                <w:b w:val="false"/>
                <w:bCs w:val="false"/>
                <w:color w:val="222222"/>
                <w:sz w:val="20"/>
                <w:szCs w:val="20"/>
              </w:rPr>
              <w:t xml:space="preserve">Excessive Agency</w:t>
            </w:r>
          </w:p>
        </w:tc>
        <w:tc>
          <w:tcPr>
            <w:tcW w:type="dxa" w:w="6900"/>
            <w:tcMar>
              <w:top w:type="dxa" w:w="80"/>
              <w:left w:type="dxa" w:w="120"/>
              <w:bottom w:type="dxa" w:w="80"/>
              <w:right w:type="dxa" w:w="120"/>
            </w:tcMar>
            <w:vAlign w:val="center"/>
          </w:tcPr>
          <w:p>
            <w:r>
              <w:rPr>
                <w:b w:val="false"/>
                <w:bCs w:val="false"/>
                <w:color w:val="222222"/>
                <w:sz w:val="20"/>
                <w:szCs w:val="20"/>
              </w:rPr>
              <w:t xml:space="preserve">A condition where an AI system is granted tool permissions, autonomy, or access beyond what its function requires, widening the blast radius of a jailbreak or compromise.</w:t>
            </w:r>
          </w:p>
        </w:tc>
      </w:tr>
      <w:tr>
        <w:tc>
          <w:tcPr>
            <w:tcW w:type="dxa" w:w="2600"/>
            <w:shd w:fill="F2F2F2" w:val="clear"/>
            <w:tcMar>
              <w:top w:type="dxa" w:w="80"/>
              <w:left w:type="dxa" w:w="120"/>
              <w:bottom w:type="dxa" w:w="80"/>
              <w:right w:type="dxa" w:w="120"/>
            </w:tcMar>
            <w:vAlign w:val="center"/>
          </w:tcPr>
          <w:p>
            <w:r>
              <w:rPr>
                <w:b w:val="false"/>
                <w:bCs w:val="false"/>
                <w:color w:val="222222"/>
                <w:sz w:val="20"/>
                <w:szCs w:val="20"/>
              </w:rPr>
              <w:t xml:space="preserve">Model Registry</w:t>
            </w:r>
          </w:p>
        </w:tc>
        <w:tc>
          <w:tcPr>
            <w:tcW w:type="dxa" w:w="6900"/>
            <w:shd w:fill="F2F2F2" w:val="clear"/>
            <w:tcMar>
              <w:top w:type="dxa" w:w="80"/>
              <w:left w:type="dxa" w:w="120"/>
              <w:bottom w:type="dxa" w:w="80"/>
              <w:right w:type="dxa" w:w="120"/>
            </w:tcMar>
            <w:vAlign w:val="center"/>
          </w:tcPr>
          <w:p>
            <w:r>
              <w:rPr>
                <w:b w:val="false"/>
                <w:bCs w:val="false"/>
                <w:color w:val="222222"/>
                <w:sz w:val="20"/>
                <w:szCs w:val="20"/>
              </w:rPr>
              <w:t xml:space="preserve">A governed repository of trained, versioned models approved for deployment; the control point that prevents unauthorised or backdoored models from reaching production.</w:t>
            </w:r>
          </w:p>
        </w:tc>
      </w:tr>
    </w:tbl>
    <w:p>
      <w:pPr>
        <w:pStyle w:val="Heading1"/>
        <w:spacing w:after="160" w:before="360"/>
      </w:pPr>
      <w:r>
        <w:t xml:space="preserve">4. Methodology</w:t>
      </w:r>
    </w:p>
    <w:p>
      <w:pPr>
        <w:spacing w:after="140" w:line="276"/>
      </w:pPr>
      <w:r>
        <w:rPr>
          <w:color w:val="222222"/>
          <w:sz w:val="21"/>
          <w:szCs w:val="21"/>
        </w:rPr>
        <w:t xml:space="preserve">This SOP uses a three-layer, complementary assessment methodology. No single framework is sufficient on its own — STRIDE-AI identifies threat categories, MITRE ATLAS supplies attacker technique detail, and the OWASP LLM Top 10 maps risk to specific architectural components. Assessors must apply all three layers, in sequence, to every in-scope AI system.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5100"/>
        <w:gridCol w:w="2200"/>
      </w:tblGrid>
      <w:tr>
        <w:trPr>
          <w:tblHeader/>
        </w:trPr>
        <w:tc>
          <w:tcPr>
            <w:tcW w:type="dxa" w:w="2200"/>
            <w:shd w:fill="1F3864" w:val="clear"/>
            <w:tcMar>
              <w:top w:type="dxa" w:w="80"/>
              <w:left w:type="dxa" w:w="120"/>
              <w:bottom w:type="dxa" w:w="80"/>
              <w:right w:type="dxa" w:w="120"/>
            </w:tcMar>
            <w:vAlign w:val="center"/>
          </w:tcPr>
          <w:p>
            <w:r>
              <w:rPr>
                <w:b/>
                <w:bCs/>
                <w:color w:val="FFFFFF"/>
                <w:sz w:val="20"/>
                <w:szCs w:val="20"/>
              </w:rPr>
              <w:t xml:space="preserve">Layer</w:t>
            </w:r>
          </w:p>
        </w:tc>
        <w:tc>
          <w:tcPr>
            <w:tcW w:type="dxa" w:w="5100"/>
            <w:shd w:fill="1F3864" w:val="clear"/>
            <w:tcMar>
              <w:top w:type="dxa" w:w="80"/>
              <w:left w:type="dxa" w:w="120"/>
              <w:bottom w:type="dxa" w:w="80"/>
              <w:right w:type="dxa" w:w="120"/>
            </w:tcMar>
            <w:vAlign w:val="center"/>
          </w:tcPr>
          <w:p>
            <w:r>
              <w:rPr>
                <w:b/>
                <w:bCs/>
                <w:color w:val="FFFFFF"/>
                <w:sz w:val="20"/>
                <w:szCs w:val="20"/>
              </w:rPr>
              <w:t xml:space="preserve">Purpose</w:t>
            </w:r>
          </w:p>
        </w:tc>
        <w:tc>
          <w:tcPr>
            <w:tcW w:type="dxa" w:w="2200"/>
            <w:shd w:fill="1F3864" w:val="clear"/>
            <w:tcMar>
              <w:top w:type="dxa" w:w="80"/>
              <w:left w:type="dxa" w:w="120"/>
              <w:bottom w:type="dxa" w:w="80"/>
              <w:right w:type="dxa" w:w="120"/>
            </w:tcMar>
            <w:vAlign w:val="center"/>
          </w:tcPr>
          <w:p>
            <w:r>
              <w:rPr>
                <w:b/>
                <w:bCs/>
                <w:color w:val="FFFFFF"/>
                <w:sz w:val="20"/>
                <w:szCs w:val="20"/>
              </w:rPr>
              <w:t xml:space="preserve">Primary Question Answered</w:t>
            </w:r>
          </w:p>
        </w:tc>
      </w:tr>
      <w:tr>
        <w:tc>
          <w:tcPr>
            <w:tcW w:type="dxa" w:w="2200"/>
            <w:tcMar>
              <w:top w:type="dxa" w:w="80"/>
              <w:left w:type="dxa" w:w="120"/>
              <w:bottom w:type="dxa" w:w="80"/>
              <w:right w:type="dxa" w:w="120"/>
            </w:tcMar>
            <w:vAlign w:val="center"/>
          </w:tcPr>
          <w:p>
            <w:r>
              <w:rPr>
                <w:b w:val="false"/>
                <w:bCs w:val="false"/>
                <w:color w:val="222222"/>
                <w:sz w:val="20"/>
                <w:szCs w:val="20"/>
              </w:rPr>
              <w:t xml:space="preserve">STRIDE-AI</w:t>
            </w:r>
          </w:p>
        </w:tc>
        <w:tc>
          <w:tcPr>
            <w:tcW w:type="dxa" w:w="5100"/>
            <w:tcMar>
              <w:top w:type="dxa" w:w="80"/>
              <w:left w:type="dxa" w:w="120"/>
              <w:bottom w:type="dxa" w:w="80"/>
              <w:right w:type="dxa" w:w="120"/>
            </w:tcMar>
            <w:vAlign w:val="center"/>
          </w:tcPr>
          <w:p>
            <w:r>
              <w:rPr>
                <w:b w:val="false"/>
                <w:bCs w:val="false"/>
                <w:color w:val="222222"/>
                <w:sz w:val="20"/>
                <w:szCs w:val="20"/>
              </w:rPr>
              <w:t xml:space="preserve">Categorise threats by type across Spoofing, Tampering, Repudiation, Information Disclosure, Denial of Service, and Elevation of Privilege, each re-interpreted for AI components.</w:t>
            </w:r>
          </w:p>
        </w:tc>
        <w:tc>
          <w:tcPr>
            <w:tcW w:type="dxa" w:w="2200"/>
            <w:tcMar>
              <w:top w:type="dxa" w:w="80"/>
              <w:left w:type="dxa" w:w="120"/>
              <w:bottom w:type="dxa" w:w="80"/>
              <w:right w:type="dxa" w:w="120"/>
            </w:tcMar>
            <w:vAlign w:val="center"/>
          </w:tcPr>
          <w:p>
            <w:r>
              <w:rPr>
                <w:b w:val="false"/>
                <w:bCs w:val="false"/>
                <w:color w:val="222222"/>
                <w:sz w:val="20"/>
                <w:szCs w:val="20"/>
              </w:rPr>
              <w:t xml:space="preserve">“What could go wrong?”</w:t>
            </w:r>
          </w:p>
        </w:tc>
      </w:tr>
      <w:tr>
        <w:tc>
          <w:tcPr>
            <w:tcW w:type="dxa" w:w="2200"/>
            <w:shd w:fill="F2F2F2" w:val="clear"/>
            <w:tcMar>
              <w:top w:type="dxa" w:w="80"/>
              <w:left w:type="dxa" w:w="120"/>
              <w:bottom w:type="dxa" w:w="80"/>
              <w:right w:type="dxa" w:w="120"/>
            </w:tcMar>
            <w:vAlign w:val="center"/>
          </w:tcPr>
          <w:p>
            <w:r>
              <w:rPr>
                <w:b w:val="false"/>
                <w:bCs w:val="false"/>
                <w:color w:val="222222"/>
                <w:sz w:val="20"/>
                <w:szCs w:val="20"/>
              </w:rPr>
              <w:t xml:space="preserve">MITRE ATLAS</w:t>
            </w:r>
          </w:p>
        </w:tc>
        <w:tc>
          <w:tcPr>
            <w:tcW w:type="dxa" w:w="5100"/>
            <w:shd w:fill="F2F2F2" w:val="clear"/>
            <w:tcMar>
              <w:top w:type="dxa" w:w="80"/>
              <w:left w:type="dxa" w:w="120"/>
              <w:bottom w:type="dxa" w:w="80"/>
              <w:right w:type="dxa" w:w="120"/>
            </w:tcMar>
            <w:vAlign w:val="center"/>
          </w:tcPr>
          <w:p>
            <w:r>
              <w:rPr>
                <w:b w:val="false"/>
                <w:bCs w:val="false"/>
                <w:color w:val="222222"/>
                <w:sz w:val="20"/>
                <w:szCs w:val="20"/>
              </w:rPr>
              <w:t xml:space="preserve">For each STRIDE-AI threat identified, look up the corresponding ATLAS tactic/technique (e.g., AML.T0020, AML.T0024, AML.T0051, AML.T0018) to obtain documented attacker methods, sub-techniques, and mitigations.</w:t>
            </w:r>
          </w:p>
        </w:tc>
        <w:tc>
          <w:tcPr>
            <w:tcW w:type="dxa" w:w="2200"/>
            <w:shd w:fill="F2F2F2" w:val="clear"/>
            <w:tcMar>
              <w:top w:type="dxa" w:w="80"/>
              <w:left w:type="dxa" w:w="120"/>
              <w:bottom w:type="dxa" w:w="80"/>
              <w:right w:type="dxa" w:w="120"/>
            </w:tcMar>
            <w:vAlign w:val="center"/>
          </w:tcPr>
          <w:p>
            <w:r>
              <w:rPr>
                <w:b w:val="false"/>
                <w:bCs w:val="false"/>
                <w:color w:val="222222"/>
                <w:sz w:val="20"/>
                <w:szCs w:val="20"/>
              </w:rPr>
              <w:t xml:space="preserve">“How exactly would an attacker do this?”</w:t>
            </w:r>
          </w:p>
        </w:tc>
      </w:tr>
      <w:tr>
        <w:tc>
          <w:tcPr>
            <w:tcW w:type="dxa" w:w="2200"/>
            <w:tcMar>
              <w:top w:type="dxa" w:w="80"/>
              <w:left w:type="dxa" w:w="120"/>
              <w:bottom w:type="dxa" w:w="80"/>
              <w:right w:type="dxa" w:w="120"/>
            </w:tcMar>
            <w:vAlign w:val="center"/>
          </w:tcPr>
          <w:p>
            <w:r>
              <w:rPr>
                <w:b w:val="false"/>
                <w:bCs w:val="false"/>
                <w:color w:val="222222"/>
                <w:sz w:val="20"/>
                <w:szCs w:val="20"/>
              </w:rPr>
              <w:t xml:space="preserve">OWASP LLM Top 10</w:t>
            </w:r>
          </w:p>
        </w:tc>
        <w:tc>
          <w:tcPr>
            <w:tcW w:type="dxa" w:w="5100"/>
            <w:tcMar>
              <w:top w:type="dxa" w:w="80"/>
              <w:left w:type="dxa" w:w="120"/>
              <w:bottom w:type="dxa" w:w="80"/>
              <w:right w:type="dxa" w:w="120"/>
            </w:tcMar>
            <w:vAlign w:val="center"/>
          </w:tcPr>
          <w:p>
            <w:r>
              <w:rPr>
                <w:b w:val="false"/>
                <w:bCs w:val="false"/>
                <w:color w:val="222222"/>
                <w:sz w:val="20"/>
                <w:szCs w:val="20"/>
              </w:rPr>
              <w:t xml:space="preserve">Map each risk to the specific architectural component it lives in (inference endpoint, vector database, training pipeline, API gateway, etc.) to scope and prioritise remediation.</w:t>
            </w:r>
          </w:p>
        </w:tc>
        <w:tc>
          <w:tcPr>
            <w:tcW w:type="dxa" w:w="2200"/>
            <w:tcMar>
              <w:top w:type="dxa" w:w="80"/>
              <w:left w:type="dxa" w:w="120"/>
              <w:bottom w:type="dxa" w:w="80"/>
              <w:right w:type="dxa" w:w="120"/>
            </w:tcMar>
            <w:vAlign w:val="center"/>
          </w:tcPr>
          <w:p>
            <w:r>
              <w:rPr>
                <w:b w:val="false"/>
                <w:bCs w:val="false"/>
                <w:color w:val="222222"/>
                <w:sz w:val="20"/>
                <w:szCs w:val="20"/>
              </w:rPr>
              <w:t xml:space="preserve">“Where does this risk live, and how critical is it?”</w:t>
            </w:r>
          </w:p>
        </w:tc>
      </w:tr>
    </w:tbl>
    <w:p>
      <w:pPr>
        <w:spacing w:after="140" w:line="276"/>
      </w:pPr>
      <w:r>
        <w:rPr>
          <w:color w:val="222222"/>
          <w:sz w:val="21"/>
          <w:szCs w:val="21"/>
        </w:rPr>
        <w:t xml:space="preserve">Assessors are expected to work top-down (STRIDE → ATLAS → OWASP) during initial threat identification, and bottom-up (OWASP component → applicable STRIDE categories → relevant ATLAS techniques) when a new component or vendor integration is added to an existing, previously-assessed system.</w:t>
      </w:r>
    </w:p>
    <w:p>
      <w:pPr>
        <w:pStyle w:val="Heading1"/>
        <w:spacing w:after="160" w:before="360"/>
      </w:pPr>
      <w:r>
        <w:t xml:space="preserve">5. Prerequisites</w:t>
      </w:r>
    </w:p>
    <w:p>
      <w:pPr>
        <w:spacing w:after="140" w:line="276"/>
      </w:pPr>
      <w:r>
        <w:rPr>
          <w:color w:val="222222"/>
          <w:sz w:val="21"/>
          <w:szCs w:val="21"/>
        </w:rPr>
        <w:t xml:space="preserve">Before initiating a formal AI Threat Assessment, the assigned Security Engineering lead must confirm the following are in place:</w:t>
      </w:r>
    </w:p>
    <w:p>
      <w:pPr>
        <w:pStyle w:val="ListParagraph"/>
        <w:numPr>
          <w:ilvl w:val="0"/>
          <w:numId w:val="3"/>
        </w:numPr>
        <w:spacing w:after="90" w:line="270"/>
      </w:pPr>
      <w:r>
        <w:rPr>
          <w:color w:val="222222"/>
          <w:sz w:val="21"/>
          <w:szCs w:val="21"/>
        </w:rPr>
        <w:t xml:space="preserve">Updated system/data flow diagram of the AI system, including all upstream data sources, the training/fine-tuning pipeline, the model registry, the inference endpoint, and any connected tools, plugins, or vector databases.</w:t>
      </w:r>
    </w:p>
    <w:p>
      <w:pPr>
        <w:pStyle w:val="ListParagraph"/>
        <w:numPr>
          <w:ilvl w:val="0"/>
          <w:numId w:val="3"/>
        </w:numPr>
        <w:spacing w:after="90" w:line="270"/>
      </w:pPr>
      <w:r>
        <w:rPr>
          <w:color w:val="222222"/>
          <w:sz w:val="21"/>
          <w:szCs w:val="21"/>
        </w:rPr>
        <w:t xml:space="preserve">Completed or draft AI Asset Inventory entry for the system (see Section 6.1) covering training data, model weights, embeddings, system prompts, feature stores, and registry artefacts.</w:t>
      </w:r>
    </w:p>
    <w:p>
      <w:pPr>
        <w:pStyle w:val="ListParagraph"/>
        <w:numPr>
          <w:ilvl w:val="0"/>
          <w:numId w:val="3"/>
        </w:numPr>
        <w:spacing w:after="90" w:line="270"/>
      </w:pPr>
      <w:r>
        <w:rPr>
          <w:color w:val="222222"/>
          <w:sz w:val="21"/>
          <w:szCs w:val="21"/>
        </w:rPr>
        <w:t xml:space="preserve">Data classification and lineage documentation for all datasets feeding the model (source, ownership, PII/sensitivity flags, and consent basis where applicable under DPDP Act obligations).</w:t>
      </w:r>
    </w:p>
    <w:p>
      <w:pPr>
        <w:pStyle w:val="ListParagraph"/>
        <w:numPr>
          <w:ilvl w:val="0"/>
          <w:numId w:val="3"/>
        </w:numPr>
        <w:spacing w:after="90" w:line="270"/>
      </w:pPr>
      <w:r>
        <w:rPr>
          <w:color w:val="222222"/>
          <w:sz w:val="21"/>
          <w:szCs w:val="21"/>
        </w:rPr>
        <w:t xml:space="preserve">Nominated representatives from Security Engineering, Data Science/ML Engineering, and Governance &amp; Compliance available for the assessment workshop.</w:t>
      </w:r>
    </w:p>
    <w:p>
      <w:pPr>
        <w:pStyle w:val="ListParagraph"/>
        <w:numPr>
          <w:ilvl w:val="0"/>
          <w:numId w:val="3"/>
        </w:numPr>
        <w:spacing w:after="90" w:line="270"/>
      </w:pPr>
      <w:r>
        <w:rPr>
          <w:color w:val="222222"/>
          <w:sz w:val="21"/>
          <w:szCs w:val="21"/>
        </w:rPr>
        <w:t xml:space="preserve">For vendor/third-party AI: a signed data processing agreement, vendor security questionnaire response, and — where feasible — model card or technical documentation from the provider.</w:t>
      </w:r>
    </w:p>
    <w:p>
      <w:pPr>
        <w:pStyle w:val="ListParagraph"/>
        <w:numPr>
          <w:ilvl w:val="0"/>
          <w:numId w:val="3"/>
        </w:numPr>
        <w:spacing w:after="90" w:line="270"/>
      </w:pPr>
      <w:r>
        <w:rPr>
          <w:color w:val="222222"/>
          <w:sz w:val="21"/>
          <w:szCs w:val="21"/>
        </w:rPr>
        <w:t xml:space="preserve">Access to logging/monitoring tooling capable of capturing model version, input, output, and retrieval context, to support the Repudiation assessment in Section 6.3.</w:t>
      </w:r>
    </w:p>
    <w:p>
      <w:pPr>
        <w:pStyle w:val="ListParagraph"/>
        <w:numPr>
          <w:ilvl w:val="0"/>
          <w:numId w:val="3"/>
        </w:numPr>
        <w:spacing w:after="90" w:line="270"/>
      </w:pPr>
      <w:r>
        <w:rPr>
          <w:color w:val="222222"/>
          <w:sz w:val="21"/>
          <w:szCs w:val="21"/>
        </w:rPr>
        <w:t xml:space="preserve">Approved threat-model template and MITRE ATLAS / OWASP LLM Top 10 reference sheets (Appendix references in Section 8) circulated to all assessment participants in advance.</w:t>
      </w:r>
    </w:p>
    <w:p>
      <w:pPr>
        <w:pStyle w:val="Heading1"/>
        <w:spacing w:after="160" w:before="360"/>
      </w:pPr>
      <w:r>
        <w:t xml:space="preserve">6. Step-by-Step Process</w:t>
      </w:r>
    </w:p>
    <w:p>
      <w:pPr>
        <w:spacing w:after="140" w:line="276"/>
      </w:pPr>
      <w:r>
        <w:rPr>
          <w:color w:val="222222"/>
          <w:sz w:val="21"/>
          <w:szCs w:val="21"/>
        </w:rPr>
        <w:t xml:space="preserve">The process below is executed sequentially for every new AI system prior to production go-live, and re-executed in full (or as a delta assessment for a single changed component) on the annual review cycle, on material architecture change, or following a security incident.</w:t>
      </w:r>
    </w:p>
    <w:p>
      <w:pPr>
        <w:pStyle w:val="Heading2"/>
        <w:spacing w:after="120" w:before="260"/>
      </w:pPr>
      <w:r>
        <w:t xml:space="preserve">6.1 AI Asset Inventory &amp; Classification</w:t>
      </w:r>
    </w:p>
    <w:p>
      <w:pPr>
        <w:spacing w:after="140" w:line="276"/>
      </w:pPr>
      <w:r>
        <w:rPr>
          <w:color w:val="222222"/>
          <w:sz w:val="21"/>
          <w:szCs w:val="21"/>
        </w:rPr>
        <w:t xml:space="preserve">Step 1 — Identify. For the system under assessment, the Data Science/ML Engineering team populates an asset register covering each of the six AI-specific asset classes below, in addition to any traditional assets (databases, APIs, credentials) already covered by existing IT asset management.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3900"/>
      </w:tblGrid>
      <w:tr>
        <w:trPr>
          <w:tblHeader/>
        </w:trPr>
        <w:tc>
          <w:tcPr>
            <w:tcW w:type="dxa" w:w="1900"/>
            <w:shd w:fill="1F3864" w:val="clear"/>
            <w:tcMar>
              <w:top w:type="dxa" w:w="80"/>
              <w:left w:type="dxa" w:w="120"/>
              <w:bottom w:type="dxa" w:w="80"/>
              <w:right w:type="dxa" w:w="120"/>
            </w:tcMar>
            <w:vAlign w:val="center"/>
          </w:tcPr>
          <w:p>
            <w:r>
              <w:rPr>
                <w:b/>
                <w:bCs/>
                <w:color w:val="FFFFFF"/>
                <w:sz w:val="20"/>
                <w:szCs w:val="20"/>
              </w:rPr>
              <w:t xml:space="preserve">Asset Class</w:t>
            </w:r>
          </w:p>
        </w:tc>
        <w:tc>
          <w:tcPr>
            <w:tcW w:type="dxa" w:w="3300"/>
            <w:shd w:fill="1F3864" w:val="clear"/>
            <w:tcMar>
              <w:top w:type="dxa" w:w="80"/>
              <w:left w:type="dxa" w:w="120"/>
              <w:bottom w:type="dxa" w:w="80"/>
              <w:right w:type="dxa" w:w="120"/>
            </w:tcMar>
            <w:vAlign w:val="center"/>
          </w:tcPr>
          <w:p>
            <w:r>
              <w:rPr>
                <w:b/>
                <w:bCs/>
                <w:color w:val="FFFFFF"/>
                <w:sz w:val="20"/>
                <w:szCs w:val="20"/>
              </w:rPr>
              <w:t xml:space="preserve">Classification Criteria</w:t>
            </w:r>
          </w:p>
        </w:tc>
        <w:tc>
          <w:tcPr>
            <w:tcW w:type="dxa" w:w="3900"/>
            <w:shd w:fill="1F3864" w:val="clear"/>
            <w:tcMar>
              <w:top w:type="dxa" w:w="80"/>
              <w:left w:type="dxa" w:w="120"/>
              <w:bottom w:type="dxa" w:w="80"/>
              <w:right w:type="dxa" w:w="120"/>
            </w:tcMar>
            <w:vAlign w:val="center"/>
          </w:tcPr>
          <w:p>
            <w:r>
              <w:rPr>
                <w:b/>
                <w:bCs/>
                <w:color w:val="FFFFFF"/>
                <w:sz w:val="20"/>
                <w:szCs w:val="20"/>
              </w:rPr>
              <w:t xml:space="preserve">Baseline Control Requirement</w:t>
            </w:r>
          </w:p>
        </w:tc>
      </w:tr>
      <w:tr>
        <w:tc>
          <w:tcPr>
            <w:tcW w:type="dxa" w:w="1900"/>
            <w:tcMar>
              <w:top w:type="dxa" w:w="80"/>
              <w:left w:type="dxa" w:w="120"/>
              <w:bottom w:type="dxa" w:w="80"/>
              <w:right w:type="dxa" w:w="120"/>
            </w:tcMar>
            <w:vAlign w:val="center"/>
          </w:tcPr>
          <w:p>
            <w:r>
              <w:rPr>
                <w:b w:val="false"/>
                <w:bCs w:val="false"/>
                <w:color w:val="222222"/>
                <w:sz w:val="20"/>
                <w:szCs w:val="20"/>
              </w:rPr>
              <w:t xml:space="preserve">Training Data</w:t>
            </w:r>
          </w:p>
        </w:tc>
        <w:tc>
          <w:tcPr>
            <w:tcW w:type="dxa" w:w="3300"/>
            <w:tcMar>
              <w:top w:type="dxa" w:w="80"/>
              <w:left w:type="dxa" w:w="120"/>
              <w:bottom w:type="dxa" w:w="80"/>
              <w:right w:type="dxa" w:w="120"/>
            </w:tcMar>
            <w:vAlign w:val="center"/>
          </w:tcPr>
          <w:p>
            <w:r>
              <w:rPr>
                <w:b w:val="false"/>
                <w:bCs w:val="false"/>
                <w:color w:val="222222"/>
                <w:sz w:val="20"/>
                <w:szCs w:val="20"/>
              </w:rPr>
              <w:t xml:space="preserve">Classify by sensitivity of source data (PII, financial transaction data, credit bureau data) and by provenance (internal, purchased, scraped, user-generated).</w:t>
            </w:r>
          </w:p>
        </w:tc>
        <w:tc>
          <w:tcPr>
            <w:tcW w:type="dxa" w:w="3900"/>
            <w:tcMar>
              <w:top w:type="dxa" w:w="80"/>
              <w:left w:type="dxa" w:w="120"/>
              <w:bottom w:type="dxa" w:w="80"/>
              <w:right w:type="dxa" w:w="120"/>
            </w:tcMar>
            <w:vAlign w:val="center"/>
          </w:tcPr>
          <w:p>
            <w:r>
              <w:rPr>
                <w:b w:val="false"/>
                <w:bCs w:val="false"/>
                <w:color w:val="222222"/>
                <w:sz w:val="20"/>
                <w:szCs w:val="20"/>
              </w:rPr>
              <w:t xml:space="preserve">Data lineage tracking; access logging; segregation of production customer data from training environments; anonymisation/masking where feasible.</w:t>
            </w:r>
          </w:p>
        </w:tc>
      </w:tr>
      <w:tr>
        <w:tc>
          <w:tcPr>
            <w:tcW w:type="dxa" w:w="1900"/>
            <w:shd w:fill="F2F2F2" w:val="clear"/>
            <w:tcMar>
              <w:top w:type="dxa" w:w="80"/>
              <w:left w:type="dxa" w:w="120"/>
              <w:bottom w:type="dxa" w:w="80"/>
              <w:right w:type="dxa" w:w="120"/>
            </w:tcMar>
            <w:vAlign w:val="center"/>
          </w:tcPr>
          <w:p>
            <w:r>
              <w:rPr>
                <w:b w:val="false"/>
                <w:bCs w:val="false"/>
                <w:color w:val="222222"/>
                <w:sz w:val="20"/>
                <w:szCs w:val="20"/>
              </w:rPr>
              <w:t xml:space="preserve">Model Weights / Parameters</w:t>
            </w:r>
          </w:p>
        </w:tc>
        <w:tc>
          <w:tcPr>
            <w:tcW w:type="dxa" w:w="3300"/>
            <w:shd w:fill="F2F2F2" w:val="clear"/>
            <w:tcMar>
              <w:top w:type="dxa" w:w="80"/>
              <w:left w:type="dxa" w:w="120"/>
              <w:bottom w:type="dxa" w:w="80"/>
              <w:right w:type="dxa" w:w="120"/>
            </w:tcMar>
            <w:vAlign w:val="center"/>
          </w:tcPr>
          <w:p>
            <w:r>
              <w:rPr>
                <w:b w:val="false"/>
                <w:bCs w:val="false"/>
                <w:color w:val="222222"/>
                <w:sz w:val="20"/>
                <w:szCs w:val="20"/>
              </w:rPr>
              <w:t xml:space="preserve">Classify as “Critical IP” by default for any model trained on proprietary or regulated data.</w:t>
            </w:r>
          </w:p>
        </w:tc>
        <w:tc>
          <w:tcPr>
            <w:tcW w:type="dxa" w:w="3900"/>
            <w:shd w:fill="F2F2F2" w:val="clear"/>
            <w:tcMar>
              <w:top w:type="dxa" w:w="80"/>
              <w:left w:type="dxa" w:w="120"/>
              <w:bottom w:type="dxa" w:w="80"/>
              <w:right w:type="dxa" w:w="120"/>
            </w:tcMar>
            <w:vAlign w:val="center"/>
          </w:tcPr>
          <w:p>
            <w:r>
              <w:rPr>
                <w:b w:val="false"/>
                <w:bCs w:val="false"/>
                <w:color w:val="222222"/>
                <w:sz w:val="20"/>
                <w:szCs w:val="20"/>
              </w:rPr>
              <w:t xml:space="preserve">Encrypted at rest and in transit; access restricted to named ML engineering roles; version-controlled with checksums; export/download logging.</w:t>
            </w:r>
          </w:p>
        </w:tc>
      </w:tr>
      <w:tr>
        <w:tc>
          <w:tcPr>
            <w:tcW w:type="dxa" w:w="1900"/>
            <w:tcMar>
              <w:top w:type="dxa" w:w="80"/>
              <w:left w:type="dxa" w:w="120"/>
              <w:bottom w:type="dxa" w:w="80"/>
              <w:right w:type="dxa" w:w="120"/>
            </w:tcMar>
            <w:vAlign w:val="center"/>
          </w:tcPr>
          <w:p>
            <w:r>
              <w:rPr>
                <w:b w:val="false"/>
                <w:bCs w:val="false"/>
                <w:color w:val="222222"/>
                <w:sz w:val="20"/>
                <w:szCs w:val="20"/>
              </w:rPr>
              <w:t xml:space="preserve">Embedding Vectors</w:t>
            </w:r>
          </w:p>
        </w:tc>
        <w:tc>
          <w:tcPr>
            <w:tcW w:type="dxa" w:w="3300"/>
            <w:tcMar>
              <w:top w:type="dxa" w:w="80"/>
              <w:left w:type="dxa" w:w="120"/>
              <w:bottom w:type="dxa" w:w="80"/>
              <w:right w:type="dxa" w:w="120"/>
            </w:tcMar>
            <w:vAlign w:val="center"/>
          </w:tcPr>
          <w:p>
            <w:r>
              <w:rPr>
                <w:b w:val="false"/>
                <w:bCs w:val="false"/>
                <w:color w:val="222222"/>
                <w:sz w:val="20"/>
                <w:szCs w:val="20"/>
              </w:rPr>
              <w:t xml:space="preserve">Classify by sensitivity of the underlying source documents they represent (e.g., customer KYC documents, policy documents).</w:t>
            </w:r>
          </w:p>
        </w:tc>
        <w:tc>
          <w:tcPr>
            <w:tcW w:type="dxa" w:w="3900"/>
            <w:tcMar>
              <w:top w:type="dxa" w:w="80"/>
              <w:left w:type="dxa" w:w="120"/>
              <w:bottom w:type="dxa" w:w="80"/>
              <w:right w:type="dxa" w:w="120"/>
            </w:tcMar>
            <w:vAlign w:val="center"/>
          </w:tcPr>
          <w:p>
            <w:r>
              <w:rPr>
                <w:b w:val="false"/>
                <w:bCs w:val="false"/>
                <w:color w:val="222222"/>
                <w:sz w:val="20"/>
                <w:szCs w:val="20"/>
              </w:rPr>
              <w:t xml:space="preserve">Access controls on the vector store equivalent to the source document's classification; monitoring for bulk vector export (indicative of inversion attempts).</w:t>
            </w:r>
          </w:p>
        </w:tc>
      </w:tr>
      <w:tr>
        <w:tc>
          <w:tcPr>
            <w:tcW w:type="dxa" w:w="1900"/>
            <w:shd w:fill="F2F2F2" w:val="clear"/>
            <w:tcMar>
              <w:top w:type="dxa" w:w="80"/>
              <w:left w:type="dxa" w:w="120"/>
              <w:bottom w:type="dxa" w:w="80"/>
              <w:right w:type="dxa" w:w="120"/>
            </w:tcMar>
            <w:vAlign w:val="center"/>
          </w:tcPr>
          <w:p>
            <w:r>
              <w:rPr>
                <w:b w:val="false"/>
                <w:bCs w:val="false"/>
                <w:color w:val="222222"/>
                <w:sz w:val="20"/>
                <w:szCs w:val="20"/>
              </w:rPr>
              <w:t xml:space="preserve">System Prompts</w:t>
            </w:r>
          </w:p>
        </w:tc>
        <w:tc>
          <w:tcPr>
            <w:tcW w:type="dxa" w:w="3300"/>
            <w:shd w:fill="F2F2F2" w:val="clear"/>
            <w:tcMar>
              <w:top w:type="dxa" w:w="80"/>
              <w:left w:type="dxa" w:w="120"/>
              <w:bottom w:type="dxa" w:w="80"/>
              <w:right w:type="dxa" w:w="120"/>
            </w:tcMar>
            <w:vAlign w:val="center"/>
          </w:tcPr>
          <w:p>
            <w:r>
              <w:rPr>
                <w:b w:val="false"/>
                <w:bCs w:val="false"/>
                <w:color w:val="222222"/>
                <w:sz w:val="20"/>
                <w:szCs w:val="20"/>
              </w:rPr>
              <w:t xml:space="preserve">Classify as “Confidential” if they encode business logic, guardrails, or reference credentials/keys.</w:t>
            </w:r>
          </w:p>
        </w:tc>
        <w:tc>
          <w:tcPr>
            <w:tcW w:type="dxa" w:w="3900"/>
            <w:shd w:fill="F2F2F2" w:val="clear"/>
            <w:tcMar>
              <w:top w:type="dxa" w:w="80"/>
              <w:left w:type="dxa" w:w="120"/>
              <w:bottom w:type="dxa" w:w="80"/>
              <w:right w:type="dxa" w:w="120"/>
            </w:tcMar>
            <w:vAlign w:val="center"/>
          </w:tcPr>
          <w:p>
            <w:r>
              <w:rPr>
                <w:b w:val="false"/>
                <w:bCs w:val="false"/>
                <w:color w:val="222222"/>
                <w:sz w:val="20"/>
                <w:szCs w:val="20"/>
              </w:rPr>
              <w:t xml:space="preserve">Stored in a secrets/config management system, never hard-coded in client-accessible code; never contain embedded credentials; access-logged and version-controlled.</w:t>
            </w:r>
          </w:p>
        </w:tc>
      </w:tr>
      <w:tr>
        <w:tc>
          <w:tcPr>
            <w:tcW w:type="dxa" w:w="1900"/>
            <w:tcMar>
              <w:top w:type="dxa" w:w="80"/>
              <w:left w:type="dxa" w:w="120"/>
              <w:bottom w:type="dxa" w:w="80"/>
              <w:right w:type="dxa" w:w="120"/>
            </w:tcMar>
            <w:vAlign w:val="center"/>
          </w:tcPr>
          <w:p>
            <w:r>
              <w:rPr>
                <w:b w:val="false"/>
                <w:bCs w:val="false"/>
                <w:color w:val="222222"/>
                <w:sz w:val="20"/>
                <w:szCs w:val="20"/>
              </w:rPr>
              <w:t xml:space="preserve">Feature Stores</w:t>
            </w:r>
          </w:p>
        </w:tc>
        <w:tc>
          <w:tcPr>
            <w:tcW w:type="dxa" w:w="3300"/>
            <w:tcMar>
              <w:top w:type="dxa" w:w="80"/>
              <w:left w:type="dxa" w:w="120"/>
              <w:bottom w:type="dxa" w:w="80"/>
              <w:right w:type="dxa" w:w="120"/>
            </w:tcMar>
            <w:vAlign w:val="center"/>
          </w:tcPr>
          <w:p>
            <w:r>
              <w:rPr>
                <w:b w:val="false"/>
                <w:bCs w:val="false"/>
                <w:color w:val="222222"/>
                <w:sz w:val="20"/>
                <w:szCs w:val="20"/>
              </w:rPr>
              <w:t xml:space="preserve">Classify by the sensitivity of the highest-sensitivity input feature (e.g., income, repayment history, bureau score).</w:t>
            </w:r>
          </w:p>
        </w:tc>
        <w:tc>
          <w:tcPr>
            <w:tcW w:type="dxa" w:w="3900"/>
            <w:tcMar>
              <w:top w:type="dxa" w:w="80"/>
              <w:left w:type="dxa" w:w="120"/>
              <w:bottom w:type="dxa" w:w="80"/>
              <w:right w:type="dxa" w:w="120"/>
            </w:tcMar>
            <w:vAlign w:val="center"/>
          </w:tcPr>
          <w:p>
            <w:r>
              <w:rPr>
                <w:b w:val="false"/>
                <w:bCs w:val="false"/>
                <w:color w:val="222222"/>
                <w:sz w:val="20"/>
                <w:szCs w:val="20"/>
              </w:rPr>
              <w:t xml:space="preserve">Write-access restricted and change-logged; anomaly detection on feature drift; reconciliation against source-of-truth systems.</w:t>
            </w:r>
          </w:p>
        </w:tc>
      </w:tr>
      <w:tr>
        <w:tc>
          <w:tcPr>
            <w:tcW w:type="dxa" w:w="1900"/>
            <w:shd w:fill="F2F2F2" w:val="clear"/>
            <w:tcMar>
              <w:top w:type="dxa" w:w="80"/>
              <w:left w:type="dxa" w:w="120"/>
              <w:bottom w:type="dxa" w:w="80"/>
              <w:right w:type="dxa" w:w="120"/>
            </w:tcMar>
            <w:vAlign w:val="center"/>
          </w:tcPr>
          <w:p>
            <w:r>
              <w:rPr>
                <w:b w:val="false"/>
                <w:bCs w:val="false"/>
                <w:color w:val="222222"/>
                <w:sz w:val="20"/>
                <w:szCs w:val="20"/>
              </w:rPr>
              <w:t xml:space="preserve">Model Registry / Artefacts</w:t>
            </w:r>
          </w:p>
        </w:tc>
        <w:tc>
          <w:tcPr>
            <w:tcW w:type="dxa" w:w="3300"/>
            <w:shd w:fill="F2F2F2" w:val="clear"/>
            <w:tcMar>
              <w:top w:type="dxa" w:w="80"/>
              <w:left w:type="dxa" w:w="120"/>
              <w:bottom w:type="dxa" w:w="80"/>
              <w:right w:type="dxa" w:w="120"/>
            </w:tcMar>
            <w:vAlign w:val="center"/>
          </w:tcPr>
          <w:p>
            <w:r>
              <w:rPr>
                <w:b w:val="false"/>
                <w:bCs w:val="false"/>
                <w:color w:val="222222"/>
                <w:sz w:val="20"/>
                <w:szCs w:val="20"/>
              </w:rPr>
              <w:t xml:space="preserve">Classify as “Critical” — the registry is the control point preventing unauthorised model substitution.</w:t>
            </w:r>
          </w:p>
        </w:tc>
        <w:tc>
          <w:tcPr>
            <w:tcW w:type="dxa" w:w="3900"/>
            <w:shd w:fill="F2F2F2" w:val="clear"/>
            <w:tcMar>
              <w:top w:type="dxa" w:w="80"/>
              <w:left w:type="dxa" w:w="120"/>
              <w:bottom w:type="dxa" w:w="80"/>
              <w:right w:type="dxa" w:w="120"/>
            </w:tcMar>
            <w:vAlign w:val="center"/>
          </w:tcPr>
          <w:p>
            <w:r>
              <w:rPr>
                <w:b w:val="false"/>
                <w:bCs w:val="false"/>
                <w:color w:val="222222"/>
                <w:sz w:val="20"/>
                <w:szCs w:val="20"/>
              </w:rPr>
              <w:t xml:space="preserve">Role-based deployment approval (four-eyes principle); cryptographic signing of approved model artefacts; immutable version history.</w:t>
            </w:r>
          </w:p>
        </w:tc>
      </w:tr>
    </w:tbl>
    <w:p>
      <w:pPr>
        <w:spacing w:after="140" w:line="276"/>
      </w:pPr>
      <w:r>
        <w:rPr>
          <w:color w:val="222222"/>
          <w:sz w:val="21"/>
          <w:szCs w:val="21"/>
        </w:rPr>
        <w:t xml:space="preserve">Step 2 — Classify. Each asset is assigned a sensitivity tier (Critical / High / Medium / Low) and a designated owner, consistent with the NBFC's existing Data and Information Asset Classification Policy.</w:t>
      </w:r>
    </w:p>
    <w:p>
      <w:pPr>
        <w:spacing w:after="140" w:line="276"/>
      </w:pPr>
      <w:r>
        <w:rPr>
          <w:color w:val="222222"/>
          <w:sz w:val="21"/>
          <w:szCs w:val="21"/>
        </w:rPr>
        <w:t xml:space="preserve">Step 3 — Register. All AI assets are logged in the central AI Asset Register with owner, classification, hosting location, and last-review date, and the register is reconciled quarterly by Governance &amp; Compliance.</w:t>
      </w:r>
    </w:p>
    <w:p>
      <w:pPr>
        <w:spacing w:after="140" w:line="276"/>
      </w:pPr>
      <w:r>
        <w:rPr>
          <w:color w:val="222222"/>
          <w:sz w:val="21"/>
          <w:szCs w:val="21"/>
        </w:rPr>
        <w:t xml:space="preserve">Step 4 — Secure. Baseline controls from the table above are verified as implemented before the system proceeds to the Data Supply Chain review in Section 6.2. Any gap is logged as a finding with a remediation owner and target date.</w:t>
      </w:r>
    </w:p>
    <w:p>
      <w:pPr>
        <w:pStyle w:val="Heading2"/>
        <w:spacing w:after="120" w:before="260"/>
      </w:pPr>
      <w:r>
        <w:t xml:space="preserve">6.2 Securing the AI Data Supply Chain</w:t>
      </w:r>
    </w:p>
    <w:p>
      <w:pPr>
        <w:spacing w:after="140" w:line="276"/>
      </w:pPr>
      <w:r>
        <w:rPr>
          <w:color w:val="222222"/>
          <w:sz w:val="21"/>
          <w:szCs w:val="21"/>
        </w:rPr>
        <w:t xml:space="preserve">The AI data supply chain is assessed stage-by-stage, mirroring the model lifecycle. The primary objective at every stage is prevention and early detection of Data Poisoning (MITRE ATLAS AML.T0020), whose effects are delayed and typically invisible until the poisoned model is deployed and exploited.</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00"/>
        <w:gridCol w:w="6700"/>
      </w:tblGrid>
      <w:tr>
        <w:trPr>
          <w:tblHeader/>
        </w:trPr>
        <w:tc>
          <w:tcPr>
            <w:tcW w:type="dxa" w:w="2400"/>
            <w:shd w:fill="1F3864" w:val="clear"/>
            <w:tcMar>
              <w:top w:type="dxa" w:w="80"/>
              <w:left w:type="dxa" w:w="120"/>
              <w:bottom w:type="dxa" w:w="80"/>
              <w:right w:type="dxa" w:w="120"/>
            </w:tcMar>
            <w:vAlign w:val="center"/>
          </w:tcPr>
          <w:p>
            <w:r>
              <w:rPr>
                <w:b/>
                <w:bCs/>
                <w:color w:val="FFFFFF"/>
                <w:sz w:val="20"/>
                <w:szCs w:val="20"/>
              </w:rPr>
              <w:t xml:space="preserve">Lifecycle Stage</w:t>
            </w:r>
          </w:p>
        </w:tc>
        <w:tc>
          <w:tcPr>
            <w:tcW w:type="dxa" w:w="6700"/>
            <w:shd w:fill="1F3864" w:val="clear"/>
            <w:tcMar>
              <w:top w:type="dxa" w:w="80"/>
              <w:left w:type="dxa" w:w="120"/>
              <w:bottom w:type="dxa" w:w="80"/>
              <w:right w:type="dxa" w:w="120"/>
            </w:tcMar>
            <w:vAlign w:val="center"/>
          </w:tcPr>
          <w:p>
            <w:r>
              <w:rPr>
                <w:b/>
                <w:bCs/>
                <w:color w:val="FFFFFF"/>
                <w:sz w:val="20"/>
                <w:szCs w:val="20"/>
              </w:rPr>
              <w:t xml:space="preserve">Security Checkpoint(s)</w:t>
            </w:r>
          </w:p>
        </w:tc>
      </w:tr>
      <w:tr>
        <w:tc>
          <w:tcPr>
            <w:tcW w:type="dxa" w:w="2400"/>
            <w:tcMar>
              <w:top w:type="dxa" w:w="80"/>
              <w:left w:type="dxa" w:w="120"/>
              <w:bottom w:type="dxa" w:w="80"/>
              <w:right w:type="dxa" w:w="120"/>
            </w:tcMar>
            <w:vAlign w:val="center"/>
          </w:tcPr>
          <w:p>
            <w:r>
              <w:rPr>
                <w:b w:val="false"/>
                <w:bCs w:val="false"/>
                <w:color w:val="222222"/>
                <w:sz w:val="20"/>
                <w:szCs w:val="20"/>
              </w:rPr>
              <w:t xml:space="preserve">1. Data Collection</w:t>
            </w:r>
          </w:p>
        </w:tc>
        <w:tc>
          <w:tcPr>
            <w:tcW w:type="dxa" w:w="6700"/>
            <w:tcMar>
              <w:top w:type="dxa" w:w="80"/>
              <w:left w:type="dxa" w:w="120"/>
              <w:bottom w:type="dxa" w:w="80"/>
              <w:right w:type="dxa" w:w="120"/>
            </w:tcMar>
            <w:vAlign w:val="center"/>
          </w:tcPr>
          <w:p>
            <w:r>
              <w:rPr>
                <w:b w:val="false"/>
                <w:bCs w:val="false"/>
                <w:color w:val="222222"/>
                <w:sz w:val="20"/>
                <w:szCs w:val="20"/>
              </w:rPr>
              <w:t xml:space="preserve">Maintain a documented, approved list of data sources; require provenance tagging on every ingested record; apply statistical outlier and anomaly screening on newly collected batches; contractually restrict and monitor third-party/crowdsourced data contribution channels.</w:t>
            </w:r>
          </w:p>
        </w:tc>
      </w:tr>
      <w:tr>
        <w:tc>
          <w:tcPr>
            <w:tcW w:type="dxa" w:w="2400"/>
            <w:shd w:fill="F2F2F2" w:val="clear"/>
            <w:tcMar>
              <w:top w:type="dxa" w:w="80"/>
              <w:left w:type="dxa" w:w="120"/>
              <w:bottom w:type="dxa" w:w="80"/>
              <w:right w:type="dxa" w:w="120"/>
            </w:tcMar>
            <w:vAlign w:val="center"/>
          </w:tcPr>
          <w:p>
            <w:r>
              <w:rPr>
                <w:b w:val="false"/>
                <w:bCs w:val="false"/>
                <w:color w:val="222222"/>
                <w:sz w:val="20"/>
                <w:szCs w:val="20"/>
              </w:rPr>
              <w:t xml:space="preserve">2. Cleaning &amp; Labelling</w:t>
            </w:r>
          </w:p>
        </w:tc>
        <w:tc>
          <w:tcPr>
            <w:tcW w:type="dxa" w:w="6700"/>
            <w:shd w:fill="F2F2F2" w:val="clear"/>
            <w:tcMar>
              <w:top w:type="dxa" w:w="80"/>
              <w:left w:type="dxa" w:w="120"/>
              <w:bottom w:type="dxa" w:w="80"/>
              <w:right w:type="dxa" w:w="120"/>
            </w:tcMar>
            <w:vAlign w:val="center"/>
          </w:tcPr>
          <w:p>
            <w:r>
              <w:rPr>
                <w:b w:val="false"/>
                <w:bCs w:val="false"/>
                <w:color w:val="222222"/>
                <w:sz w:val="20"/>
                <w:szCs w:val="20"/>
              </w:rPr>
              <w:t xml:space="preserve">Apply dual-control (peer review or sampled QA) on labelling outputs, especially where labels are externally sourced or implicitly derived (e.g., chargebacks); baseline label-distribution statistics and alert on significant drift between batches; restrict and log annotation-tool access.</w:t>
            </w:r>
          </w:p>
        </w:tc>
      </w:tr>
      <w:tr>
        <w:tc>
          <w:tcPr>
            <w:tcW w:type="dxa" w:w="2400"/>
            <w:tcMar>
              <w:top w:type="dxa" w:w="80"/>
              <w:left w:type="dxa" w:w="120"/>
              <w:bottom w:type="dxa" w:w="80"/>
              <w:right w:type="dxa" w:w="120"/>
            </w:tcMar>
            <w:vAlign w:val="center"/>
          </w:tcPr>
          <w:p>
            <w:r>
              <w:rPr>
                <w:b w:val="false"/>
                <w:bCs w:val="false"/>
                <w:color w:val="222222"/>
                <w:sz w:val="20"/>
                <w:szCs w:val="20"/>
              </w:rPr>
              <w:t xml:space="preserve">3. Model Training</w:t>
            </w:r>
          </w:p>
        </w:tc>
        <w:tc>
          <w:tcPr>
            <w:tcW w:type="dxa" w:w="6700"/>
            <w:tcMar>
              <w:top w:type="dxa" w:w="80"/>
              <w:left w:type="dxa" w:w="120"/>
              <w:bottom w:type="dxa" w:w="80"/>
              <w:right w:type="dxa" w:w="120"/>
            </w:tcMar>
            <w:vAlign w:val="center"/>
          </w:tcPr>
          <w:p>
            <w:r>
              <w:rPr>
                <w:b w:val="false"/>
                <w:bCs w:val="false"/>
                <w:color w:val="222222"/>
                <w:sz w:val="20"/>
                <w:szCs w:val="20"/>
              </w:rPr>
              <w:t xml:space="preserve">Freeze and hash the training dataset used for each training run; compare each run's data distribution against the prior approved baseline; run adversarial/backdoor-trigger scanning on the trained model before promotion; retain full training run lineage (data version, code version, hyperparameters) for audit.</w:t>
            </w:r>
          </w:p>
        </w:tc>
      </w:tr>
      <w:tr>
        <w:tc>
          <w:tcPr>
            <w:tcW w:type="dxa" w:w="2400"/>
            <w:shd w:fill="F2F2F2" w:val="clear"/>
            <w:tcMar>
              <w:top w:type="dxa" w:w="80"/>
              <w:left w:type="dxa" w:w="120"/>
              <w:bottom w:type="dxa" w:w="80"/>
              <w:right w:type="dxa" w:w="120"/>
            </w:tcMar>
            <w:vAlign w:val="center"/>
          </w:tcPr>
          <w:p>
            <w:r>
              <w:rPr>
                <w:b w:val="false"/>
                <w:bCs w:val="false"/>
                <w:color w:val="222222"/>
                <w:sz w:val="20"/>
                <w:szCs w:val="20"/>
              </w:rPr>
              <w:t xml:space="preserve">4. Validation &amp; Packaging</w:t>
            </w:r>
          </w:p>
        </w:tc>
        <w:tc>
          <w:tcPr>
            <w:tcW w:type="dxa" w:w="6700"/>
            <w:shd w:fill="F2F2F2" w:val="clear"/>
            <w:tcMar>
              <w:top w:type="dxa" w:w="80"/>
              <w:left w:type="dxa" w:w="120"/>
              <w:bottom w:type="dxa" w:w="80"/>
              <w:right w:type="dxa" w:w="120"/>
            </w:tcMar>
            <w:vAlign w:val="center"/>
          </w:tcPr>
          <w:p>
            <w:r>
              <w:rPr>
                <w:b w:val="false"/>
                <w:bCs w:val="false"/>
                <w:color w:val="222222"/>
                <w:sz w:val="20"/>
                <w:szCs w:val="20"/>
              </w:rPr>
              <w:t xml:space="preserve">Independent (non-training-team) validation against a held-out, provenance-verified test set; expand validation test sets periodically to reduce blind spots that hidden triggers could exploit; enforce four-eyes approval and cryptographic signing before registry promotion; restrict registry write-access to a segregated deployment role.</w:t>
            </w:r>
          </w:p>
        </w:tc>
      </w:tr>
      <w:tr>
        <w:tc>
          <w:tcPr>
            <w:tcW w:type="dxa" w:w="2400"/>
            <w:tcMar>
              <w:top w:type="dxa" w:w="80"/>
              <w:left w:type="dxa" w:w="120"/>
              <w:bottom w:type="dxa" w:w="80"/>
              <w:right w:type="dxa" w:w="120"/>
            </w:tcMar>
            <w:vAlign w:val="center"/>
          </w:tcPr>
          <w:p>
            <w:r>
              <w:rPr>
                <w:b w:val="false"/>
                <w:bCs w:val="false"/>
                <w:color w:val="222222"/>
                <w:sz w:val="20"/>
                <w:szCs w:val="20"/>
              </w:rPr>
              <w:t xml:space="preserve">5. Inference</w:t>
            </w:r>
          </w:p>
        </w:tc>
        <w:tc>
          <w:tcPr>
            <w:tcW w:type="dxa" w:w="6700"/>
            <w:tcMar>
              <w:top w:type="dxa" w:w="80"/>
              <w:left w:type="dxa" w:w="120"/>
              <w:bottom w:type="dxa" w:w="80"/>
              <w:right w:type="dxa" w:w="120"/>
            </w:tcMar>
            <w:vAlign w:val="center"/>
          </w:tcPr>
          <w:p>
            <w:r>
              <w:rPr>
                <w:b w:val="false"/>
                <w:bCs w:val="false"/>
                <w:color w:val="222222"/>
                <w:sz w:val="20"/>
                <w:szCs w:val="20"/>
              </w:rPr>
              <w:t xml:space="preserve">Apply input validation and rate limiting at the inference endpoint; sandbox and monitor retrieval pipelines (RAG) for indirect content injection; implement continuous production drift and performance monitoring to catch poisoning effects that surface only post-deployment; maintain rollback capability to the last known-good model version.</w:t>
            </w:r>
          </w:p>
        </w:tc>
      </w:tr>
    </w:tbl>
    <w:p>
      <w:pPr>
        <w:spacing w:after="140" w:line="276"/>
      </w:pPr>
      <w:r>
        <w:rPr>
          <w:color w:val="222222"/>
          <w:sz w:val="21"/>
          <w:szCs w:val="21"/>
        </w:rPr>
        <w:t xml:space="preserve">For systems retrained on a recurring schedule (e.g., a fraud model retrained monthly), Security Engineering and Data Science/ML Engineering jointly review each retraining cycle's data delta against the checkpoints above before the retrained model is promoted — recurring retraining is treated as a recurring, not one-time, control point, precisely because gradual, low-volume poisoning across multiple cycles is the primary threat pattern for this stage.</w:t>
      </w:r>
    </w:p>
    <w:p>
      <w:pPr>
        <w:pStyle w:val="Heading2"/>
        <w:spacing w:after="120" w:before="260"/>
      </w:pPr>
      <w:r>
        <w:t xml:space="preserve">6.3 Threat Identification using STRIDE-AI</w:t>
      </w:r>
    </w:p>
    <w:p>
      <w:pPr>
        <w:spacing w:after="140" w:line="276"/>
      </w:pPr>
      <w:r>
        <w:rPr>
          <w:color w:val="222222"/>
          <w:sz w:val="21"/>
          <w:szCs w:val="21"/>
        </w:rPr>
        <w:t xml:space="preserve">The assessment team walks every AI component identified in Section 6.1 through each of the six STRIDE-AI categories below, documenting applicable threats, likelihood, impact, and existing/required controls in the threat model worksheet.</w:t>
      </w:r>
    </w:p>
    <w:p>
      <w:pPr>
        <w:pStyle w:val="Heading3"/>
        <w:spacing w:after="100" w:before="180"/>
      </w:pPr>
      <w:r>
        <w:t xml:space="preserve">Spoofing — Data Source Impersonation</w:t>
      </w:r>
    </w:p>
    <w:p>
      <w:pPr>
        <w:pStyle w:val="ListParagraph"/>
        <w:numPr>
          <w:ilvl w:val="0"/>
          <w:numId w:val="3"/>
        </w:numPr>
        <w:spacing w:after="90" w:line="270"/>
      </w:pPr>
      <w:r>
        <w:rPr>
          <w:color w:val="222222"/>
          <w:sz w:val="21"/>
          <w:szCs w:val="21"/>
        </w:rPr>
        <w:t xml:space="preserve">Identify every external content source the system trusts at inference time (RAG document stores, vector databases, third-party data feeds).</w:t>
      </w:r>
    </w:p>
    <w:p>
      <w:pPr>
        <w:pStyle w:val="ListParagraph"/>
        <w:numPr>
          <w:ilvl w:val="0"/>
          <w:numId w:val="3"/>
        </w:numPr>
        <w:spacing w:after="90" w:line="270"/>
      </w:pPr>
      <w:r>
        <w:rPr>
          <w:color w:val="222222"/>
          <w:sz w:val="21"/>
          <w:szCs w:val="21"/>
        </w:rPr>
        <w:t xml:space="preserve">Assess whether injected or substituted content in these sources could cause the chatbot or model to generate responses grounded in attacker-controlled information.</w:t>
      </w:r>
    </w:p>
    <w:p>
      <w:pPr>
        <w:pStyle w:val="ListParagraph"/>
        <w:numPr>
          <w:ilvl w:val="0"/>
          <w:numId w:val="3"/>
        </w:numPr>
        <w:spacing w:after="90" w:line="270"/>
      </w:pPr>
      <w:r>
        <w:rPr>
          <w:color w:val="222222"/>
          <w:sz w:val="21"/>
          <w:szCs w:val="21"/>
        </w:rPr>
        <w:t xml:space="preserve">Verify source authentication, content integrity checks, and change-detection on the knowledge base feeding any RAG pipeline.</w:t>
      </w:r>
    </w:p>
    <w:p>
      <w:pPr>
        <w:pStyle w:val="Heading3"/>
        <w:spacing w:after="100" w:before="180"/>
      </w:pPr>
      <w:r>
        <w:t xml:space="preserve">Tampering — Targeted and Untargeted Data Poisoning</w:t>
      </w:r>
    </w:p>
    <w:p>
      <w:pPr>
        <w:pStyle w:val="ListParagraph"/>
        <w:numPr>
          <w:ilvl w:val="0"/>
          <w:numId w:val="3"/>
        </w:numPr>
        <w:spacing w:after="90" w:line="270"/>
      </w:pPr>
      <w:r>
        <w:rPr>
          <w:color w:val="222222"/>
          <w:sz w:val="21"/>
          <w:szCs w:val="21"/>
        </w:rPr>
        <w:t xml:space="preserve">Assess exposure to targeted poisoning (forcing specific misclassifications, e.g., making a known fraud pattern invisible) versus untargeted poisoning (general performance degradation).</w:t>
      </w:r>
    </w:p>
    <w:p>
      <w:pPr>
        <w:pStyle w:val="ListParagraph"/>
        <w:numPr>
          <w:ilvl w:val="0"/>
          <w:numId w:val="3"/>
        </w:numPr>
        <w:spacing w:after="90" w:line="270"/>
      </w:pPr>
      <w:r>
        <w:rPr>
          <w:color w:val="222222"/>
          <w:sz w:val="21"/>
          <w:szCs w:val="21"/>
        </w:rPr>
        <w:t xml:space="preserve">Confirm the Section 6.2 supply-chain checkpoints are operating for this specific system, with particular attention to recurring retraining pipelines.</w:t>
      </w:r>
    </w:p>
    <w:p>
      <w:pPr>
        <w:pStyle w:val="ListParagraph"/>
        <w:numPr>
          <w:ilvl w:val="0"/>
          <w:numId w:val="3"/>
        </w:numPr>
        <w:spacing w:after="90" w:line="270"/>
      </w:pPr>
      <w:r>
        <w:rPr>
          <w:color w:val="222222"/>
          <w:sz w:val="21"/>
          <w:szCs w:val="21"/>
        </w:rPr>
        <w:t xml:space="preserve">Evaluate prompt injection exposure separately for direct (user-submitted) and indirect (retrieved-content) vectors, and classify each occurrence as Tampering (input alteration) or Elevation of Privilege (guardrail bypass) based on attacker intent.</w:t>
      </w:r>
    </w:p>
    <w:p>
      <w:pPr>
        <w:pStyle w:val="Heading3"/>
        <w:spacing w:after="100" w:before="180"/>
      </w:pPr>
      <w:r>
        <w:t xml:space="preserve">Repudiation — Lack of Decision Audit Trails</w:t>
      </w:r>
    </w:p>
    <w:p>
      <w:pPr>
        <w:pStyle w:val="ListParagraph"/>
        <w:numPr>
          <w:ilvl w:val="0"/>
          <w:numId w:val="3"/>
        </w:numPr>
        <w:spacing w:after="90" w:line="270"/>
      </w:pPr>
      <w:r>
        <w:rPr>
          <w:color w:val="222222"/>
          <w:sz w:val="21"/>
          <w:szCs w:val="21"/>
        </w:rPr>
        <w:t xml:space="preserve">For lending and fraud-decisioning systems, confirm that every consequential decision (approval, rejection, flag) is logged with: model version, input feature snapshot, output/score, decision threshold applied, and — for LLM components — the full prompt/context (system prompt, retrieved context, conversation history).</w:t>
      </w:r>
    </w:p>
    <w:p>
      <w:pPr>
        <w:pStyle w:val="ListParagraph"/>
        <w:numPr>
          <w:ilvl w:val="0"/>
          <w:numId w:val="3"/>
        </w:numPr>
        <w:spacing w:after="90" w:line="270"/>
      </w:pPr>
      <w:r>
        <w:rPr>
          <w:color w:val="222222"/>
          <w:sz w:val="21"/>
          <w:szCs w:val="21"/>
        </w:rPr>
        <w:t xml:space="preserve">Verify logs are tamper-evident, retained per RBI record-retention requirements, and can reconstruct “why” a specific historical decision was made — this is a mandatory control given regulatory explainability obligations for credit decisions.</w:t>
      </w:r>
    </w:p>
    <w:p>
      <w:pPr>
        <w:pStyle w:val="ListParagraph"/>
        <w:numPr>
          <w:ilvl w:val="0"/>
          <w:numId w:val="3"/>
        </w:numPr>
        <w:spacing w:after="90" w:line="270"/>
      </w:pPr>
      <w:r>
        <w:rPr>
          <w:color w:val="222222"/>
          <w:sz w:val="21"/>
          <w:szCs w:val="21"/>
        </w:rPr>
        <w:t xml:space="preserve">Confirm model version deployed at any point in time can be unambiguously attributed from deployment logs.</w:t>
      </w:r>
    </w:p>
    <w:p>
      <w:pPr>
        <w:pStyle w:val="Heading3"/>
        <w:spacing w:after="100" w:before="180"/>
      </w:pPr>
      <w:r>
        <w:t xml:space="preserve">Information Disclosure — Model Extraction &amp; Data Leakage</w:t>
      </w:r>
    </w:p>
    <w:p>
      <w:pPr>
        <w:pStyle w:val="ListParagraph"/>
        <w:numPr>
          <w:ilvl w:val="0"/>
          <w:numId w:val="3"/>
        </w:numPr>
        <w:spacing w:after="90" w:line="270"/>
      </w:pPr>
      <w:r>
        <w:rPr>
          <w:color w:val="222222"/>
          <w:sz w:val="21"/>
          <w:szCs w:val="21"/>
        </w:rPr>
        <w:t xml:space="preserve">Assess whether the inference API's response detail (confidence scores, probability distributions, verbose errors) could enable model extraction (AML.T0024) by a systematic querying adversary.</w:t>
      </w:r>
    </w:p>
    <w:p>
      <w:pPr>
        <w:pStyle w:val="ListParagraph"/>
        <w:numPr>
          <w:ilvl w:val="0"/>
          <w:numId w:val="3"/>
        </w:numPr>
        <w:spacing w:after="90" w:line="270"/>
      </w:pPr>
      <w:r>
        <w:rPr>
          <w:color w:val="222222"/>
          <w:sz w:val="21"/>
          <w:szCs w:val="21"/>
        </w:rPr>
        <w:t xml:space="preserve">Test for training data memorisation/regurgitation, particularly PII from customer records used in training or fine-tuning.</w:t>
      </w:r>
    </w:p>
    <w:p>
      <w:pPr>
        <w:pStyle w:val="ListParagraph"/>
        <w:numPr>
          <w:ilvl w:val="0"/>
          <w:numId w:val="3"/>
        </w:numPr>
        <w:spacing w:after="90" w:line="270"/>
      </w:pPr>
      <w:r>
        <w:rPr>
          <w:color w:val="222222"/>
          <w:sz w:val="21"/>
          <w:szCs w:val="21"/>
        </w:rPr>
        <w:t xml:space="preserve">Assess system prompt leakage risk — confirm no credentials, API keys, or sensitive business logic are embedded directly in prompts, and test resistance to prompt-extraction techniques.</w:t>
      </w:r>
    </w:p>
    <w:p>
      <w:pPr>
        <w:pStyle w:val="Heading3"/>
        <w:spacing w:after="100" w:before="180"/>
      </w:pPr>
      <w:r>
        <w:t xml:space="preserve">Denial of Service — Inference Cost Exploitation (Denial of Wallet)</w:t>
      </w:r>
    </w:p>
    <w:p>
      <w:pPr>
        <w:pStyle w:val="ListParagraph"/>
        <w:numPr>
          <w:ilvl w:val="0"/>
          <w:numId w:val="3"/>
        </w:numPr>
        <w:spacing w:after="90" w:line="270"/>
      </w:pPr>
      <w:r>
        <w:rPr>
          <w:color w:val="222222"/>
          <w:sz w:val="21"/>
          <w:szCs w:val="21"/>
        </w:rPr>
        <w:t xml:space="preserve">Review rate limiting, per-user/per-session query quotas, and maximum-output-length constraints on all customer-facing inference endpoints.</w:t>
      </w:r>
    </w:p>
    <w:p>
      <w:pPr>
        <w:pStyle w:val="ListParagraph"/>
        <w:numPr>
          <w:ilvl w:val="0"/>
          <w:numId w:val="3"/>
        </w:numPr>
        <w:spacing w:after="90" w:line="270"/>
      </w:pPr>
      <w:r>
        <w:rPr>
          <w:color w:val="222222"/>
          <w:sz w:val="21"/>
          <w:szCs w:val="21"/>
        </w:rPr>
        <w:t xml:space="preserve">Model expected cost-per-query and set financial alerting thresholds on the AI inference cloud spend, distinct from traditional infrastructure uptime alerting.</w:t>
      </w:r>
    </w:p>
    <w:p>
      <w:pPr>
        <w:pStyle w:val="ListParagraph"/>
        <w:numPr>
          <w:ilvl w:val="0"/>
          <w:numId w:val="3"/>
        </w:numPr>
        <w:spacing w:after="90" w:line="270"/>
      </w:pPr>
      <w:r>
        <w:rPr>
          <w:color w:val="222222"/>
          <w:sz w:val="21"/>
          <w:szCs w:val="21"/>
        </w:rPr>
        <w:t xml:space="preserve">Assess exposure to sponge examples (inputs engineered to maximise compute per call) and to training-pipeline disruption via junk-data flooding.</w:t>
      </w:r>
    </w:p>
    <w:p>
      <w:pPr>
        <w:pStyle w:val="Heading3"/>
        <w:spacing w:after="100" w:before="180"/>
      </w:pPr>
      <w:r>
        <w:t xml:space="preserve">Elevation of Privilege — Jailbreaking, Excessive Agency &amp; Guardrail Bypass</w:t>
      </w:r>
    </w:p>
    <w:p>
      <w:pPr>
        <w:pStyle w:val="ListParagraph"/>
        <w:numPr>
          <w:ilvl w:val="0"/>
          <w:numId w:val="3"/>
        </w:numPr>
        <w:spacing w:after="90" w:line="270"/>
      </w:pPr>
      <w:r>
        <w:rPr>
          <w:color w:val="222222"/>
          <w:sz w:val="21"/>
          <w:szCs w:val="21"/>
        </w:rPr>
        <w:t xml:space="preserve">Conduct adversarial red-team testing of guardrail bypass resistance for any customer-facing chatbot or agentic assistant.</w:t>
      </w:r>
    </w:p>
    <w:p>
      <w:pPr>
        <w:pStyle w:val="ListParagraph"/>
        <w:numPr>
          <w:ilvl w:val="0"/>
          <w:numId w:val="3"/>
        </w:numPr>
        <w:spacing w:after="90" w:line="270"/>
      </w:pPr>
      <w:r>
        <w:rPr>
          <w:color w:val="222222"/>
          <w:sz w:val="21"/>
          <w:szCs w:val="21"/>
        </w:rPr>
        <w:t xml:space="preserve">Inventory every tool/plugin/database-query capability granted to the AI system and verify each is scoped to least privilege — explicitly test whether a successful jailbreak could be chained into unauthorised database queries, email sending, or code execution.</w:t>
      </w:r>
    </w:p>
    <w:p>
      <w:pPr>
        <w:pStyle w:val="ListParagraph"/>
        <w:numPr>
          <w:ilvl w:val="0"/>
          <w:numId w:val="3"/>
        </w:numPr>
        <w:spacing w:after="90" w:line="270"/>
      </w:pPr>
      <w:r>
        <w:rPr>
          <w:color w:val="222222"/>
          <w:sz w:val="21"/>
          <w:szCs w:val="21"/>
        </w:rPr>
        <w:t xml:space="preserve">For multi-plugin or multi-agent architectures, assess cross-plugin escalation — whether compromising one integration's input can influence the model's behaviour in a more privileged integration.</w:t>
      </w:r>
    </w:p>
    <w:p>
      <w:pPr>
        <w:pStyle w:val="Heading2"/>
        <w:spacing w:after="120" w:before="260"/>
      </w:pPr>
      <w:r>
        <w:t xml:space="preserve">6.4 MITRE ATLAS &amp; OWASP LLM Mapping</w:t>
      </w:r>
    </w:p>
    <w:p>
      <w:pPr>
        <w:spacing w:after="140" w:line="276"/>
      </w:pPr>
      <w:r>
        <w:rPr>
          <w:color w:val="222222"/>
          <w:sz w:val="21"/>
          <w:szCs w:val="21"/>
        </w:rPr>
        <w:t xml:space="preserve">Once STRIDE-AI threats are documented, the assessment team enriches each finding using the two-step mapping protocol below.</w:t>
      </w:r>
    </w:p>
    <w:p>
      <w:pPr>
        <w:pStyle w:val="Heading3"/>
        <w:spacing w:after="100" w:before="180"/>
      </w:pPr>
      <w:r>
        <w:t xml:space="preserve">Step A — Map to MITRE ATLAS</w:t>
      </w:r>
    </w:p>
    <w:p>
      <w:pPr>
        <w:pStyle w:val="ListParagraph"/>
        <w:numPr>
          <w:ilvl w:val="0"/>
          <w:numId w:val="3"/>
        </w:numPr>
        <w:spacing w:after="90" w:line="270"/>
      </w:pPr>
      <w:r>
        <w:rPr>
          <w:color w:val="222222"/>
          <w:sz w:val="21"/>
          <w:szCs w:val="21"/>
        </w:rPr>
        <w:t xml:space="preserve">For each STRIDE-AI finding, identify the corresponding ATLAS tactic and technique ID(s) from the reference table (e.g., Tampering → Data Poisoning AML.T0020 or Backdoor ML Model AML.T0018; Information Disclosure → Model Extraction AML.T0024; prompt-based Tampering/Elevation of Privilege → LLM Prompt Injection AML.T0051).</w:t>
      </w:r>
    </w:p>
    <w:p>
      <w:pPr>
        <w:pStyle w:val="ListParagraph"/>
        <w:numPr>
          <w:ilvl w:val="0"/>
          <w:numId w:val="3"/>
        </w:numPr>
        <w:spacing w:after="90" w:line="270"/>
      </w:pPr>
      <w:r>
        <w:rPr>
          <w:color w:val="222222"/>
          <w:sz w:val="21"/>
          <w:szCs w:val="21"/>
        </w:rPr>
        <w:t xml:space="preserve">Record the technique's documented sub-techniques, known real-world case studies (e.g., ShadowRay AML.CS0023, Morris II Worm AML.CS0024), and MITRE-recommended mitigations directly in the finding.</w:t>
      </w:r>
    </w:p>
    <w:p>
      <w:pPr>
        <w:pStyle w:val="ListParagraph"/>
        <w:numPr>
          <w:ilvl w:val="0"/>
          <w:numId w:val="3"/>
        </w:numPr>
        <w:spacing w:after="90" w:line="270"/>
      </w:pPr>
      <w:r>
        <w:rPr>
          <w:color w:val="222222"/>
          <w:sz w:val="21"/>
          <w:szCs w:val="21"/>
        </w:rPr>
        <w:t xml:space="preserve">Where a threat spans multiple STRIDE categories (e.g., adversarial evasion inputs), map it to all relevant ATLAS techniques rather than forcing a single-category fit.</w:t>
      </w:r>
    </w:p>
    <w:p>
      <w:pPr>
        <w:pStyle w:val="Heading3"/>
        <w:spacing w:after="100" w:before="180"/>
      </w:pPr>
      <w:r>
        <w:t xml:space="preserve">Step B — Map to OWASP LLM Top 10</w:t>
      </w:r>
    </w:p>
    <w:p>
      <w:pPr>
        <w:pStyle w:val="ListParagraph"/>
        <w:numPr>
          <w:ilvl w:val="0"/>
          <w:numId w:val="3"/>
        </w:numPr>
        <w:spacing w:after="90" w:line="270"/>
      </w:pPr>
      <w:r>
        <w:rPr>
          <w:color w:val="222222"/>
          <w:sz w:val="21"/>
          <w:szCs w:val="21"/>
        </w:rPr>
        <w:t xml:space="preserve">For every architectural component in scope, cross-reference the OWASP LLM Top 10 “Where It Lives” mapping to confirm which of the ten risk categories apply (e.g., the vector database/RAG pipeline is assessed against LLM01, LLM08, and LLM09; the inference endpoint against LLM01, LLM02, LLM05, LLM06, LLM07, LLM09, and LLM10; the training pipeline against LLM02, LLM03, and LLM04).</w:t>
      </w:r>
    </w:p>
    <w:p>
      <w:pPr>
        <w:pStyle w:val="ListParagraph"/>
        <w:numPr>
          <w:ilvl w:val="0"/>
          <w:numId w:val="3"/>
        </w:numPr>
        <w:spacing w:after="90" w:line="270"/>
      </w:pPr>
      <w:r>
        <w:rPr>
          <w:color w:val="222222"/>
          <w:sz w:val="21"/>
          <w:szCs w:val="21"/>
        </w:rPr>
        <w:t xml:space="preserve">Prioritise remediation using component risk concentration — components mapping to a higher number of OWASP categories (typically the inference endpoint) receive the most comprehensive hardening and the shortest remediation SLA.</w:t>
      </w:r>
    </w:p>
    <w:p>
      <w:pPr>
        <w:pStyle w:val="ListParagraph"/>
        <w:numPr>
          <w:ilvl w:val="0"/>
          <w:numId w:val="3"/>
        </w:numPr>
        <w:spacing w:after="90" w:line="270"/>
      </w:pPr>
      <w:r>
        <w:rPr>
          <w:color w:val="222222"/>
          <w:sz w:val="21"/>
          <w:szCs w:val="21"/>
        </w:rPr>
        <w:t xml:space="preserve">Record the finalised STRIDE → ATLAS → OWASP mapping, along with assigned severity, owner, and target remediation date, in the AI Threat Register for tracking to closure.</w:t>
      </w:r>
    </w:p>
    <w:p>
      <w:pPr>
        <w:spacing w:after="140" w:line="276"/>
      </w:pPr>
      <w:r>
        <w:rPr>
          <w:color w:val="222222"/>
          <w:sz w:val="21"/>
          <w:szCs w:val="21"/>
        </w:rPr>
        <w:t xml:space="preserve">The completed mapping constitutes the system's actionable defensive playbook and is the primary artefact reviewed at go-live sign-off and at each periodic re-assessment.</w:t>
      </w:r>
    </w:p>
    <w:p>
      <w:pPr>
        <w:pStyle w:val="Heading1"/>
        <w:spacing w:after="160" w:before="360"/>
      </w:pPr>
      <w:r>
        <w:t xml:space="preserve">7. Roles &amp; Responsibilities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20"/>
              <w:bottom w:type="dxa" w:w="80"/>
              <w:right w:type="dxa" w:w="120"/>
            </w:tcMar>
            <w:vAlign w:val="center"/>
          </w:tcPr>
          <w:p>
            <w:r>
              <w:rPr>
                <w:b/>
                <w:bCs/>
                <w:color w:val="FFFFFF"/>
                <w:sz w:val="20"/>
                <w:szCs w:val="20"/>
              </w:rPr>
              <w:t xml:space="preserve">Team</w:t>
            </w:r>
          </w:p>
        </w:tc>
        <w:tc>
          <w:tcPr>
            <w:tcW w:type="dxa" w:w="6900"/>
            <w:shd w:fill="1F3864" w:val="clear"/>
            <w:tcMar>
              <w:top w:type="dxa" w:w="80"/>
              <w:left w:type="dxa" w:w="120"/>
              <w:bottom w:type="dxa" w:w="80"/>
              <w:right w:type="dxa" w:w="120"/>
            </w:tcMar>
            <w:vAlign w:val="center"/>
          </w:tcPr>
          <w:p>
            <w:r>
              <w:rPr>
                <w:b/>
                <w:bCs/>
                <w:color w:val="FFFFFF"/>
                <w:sz w:val="20"/>
                <w:szCs w:val="20"/>
              </w:rPr>
              <w:t xml:space="preserve">Responsibilities</w:t>
            </w:r>
          </w:p>
        </w:tc>
      </w:tr>
      <w:tr>
        <w:tc>
          <w:tcPr>
            <w:tcW w:type="dxa" w:w="2600"/>
            <w:tcMar>
              <w:top w:type="dxa" w:w="80"/>
              <w:left w:type="dxa" w:w="120"/>
              <w:bottom w:type="dxa" w:w="80"/>
              <w:right w:type="dxa" w:w="120"/>
            </w:tcMar>
            <w:vAlign w:val="center"/>
          </w:tcPr>
          <w:p>
            <w:r>
              <w:rPr>
                <w:b w:val="false"/>
                <w:bCs w:val="false"/>
                <w:color w:val="222222"/>
                <w:sz w:val="20"/>
                <w:szCs w:val="20"/>
              </w:rPr>
              <w:t xml:space="preserve">Security Engineering Team</w:t>
            </w:r>
          </w:p>
        </w:tc>
        <w:tc>
          <w:tcPr>
            <w:tcW w:type="dxa" w:w="6900"/>
            <w:tcMar>
              <w:top w:type="dxa" w:w="80"/>
              <w:left w:type="dxa" w:w="120"/>
              <w:bottom w:type="dxa" w:w="80"/>
              <w:right w:type="dxa" w:w="120"/>
            </w:tcMar>
            <w:vAlign w:val="center"/>
          </w:tcPr>
          <w:p>
            <w:r>
              <w:rPr>
                <w:b w:val="false"/>
                <w:bCs w:val="false"/>
                <w:color w:val="222222"/>
                <w:sz w:val="20"/>
                <w:szCs w:val="20"/>
              </w:rPr>
              <w:t xml:space="preserve">Owns and facilitates the end-to-end threat assessment process; maintains the STRIDE-AI / MITRE ATLAS / OWASP reference material and threat-model templates; leads adversarial testing (jailbreak, prompt injection, model extraction probes); maintains the AI Threat Register and tracks findings to closure; sets and enforces remediation SLAs; approves go-live from a security standpoint.</w:t>
            </w:r>
          </w:p>
        </w:tc>
      </w:tr>
      <w:tr>
        <w:tc>
          <w:tcPr>
            <w:tcW w:type="dxa" w:w="2600"/>
            <w:shd w:fill="F2F2F2" w:val="clear"/>
            <w:tcMar>
              <w:top w:type="dxa" w:w="80"/>
              <w:left w:type="dxa" w:w="120"/>
              <w:bottom w:type="dxa" w:w="80"/>
              <w:right w:type="dxa" w:w="120"/>
            </w:tcMar>
            <w:vAlign w:val="center"/>
          </w:tcPr>
          <w:p>
            <w:r>
              <w:rPr>
                <w:b w:val="false"/>
                <w:bCs w:val="false"/>
                <w:color w:val="222222"/>
                <w:sz w:val="20"/>
                <w:szCs w:val="20"/>
              </w:rPr>
              <w:t xml:space="preserve">Data Science / ML Engineering Team</w:t>
            </w:r>
          </w:p>
        </w:tc>
        <w:tc>
          <w:tcPr>
            <w:tcW w:type="dxa" w:w="6900"/>
            <w:shd w:fill="F2F2F2" w:val="clear"/>
            <w:tcMar>
              <w:top w:type="dxa" w:w="80"/>
              <w:left w:type="dxa" w:w="120"/>
              <w:bottom w:type="dxa" w:w="80"/>
              <w:right w:type="dxa" w:w="120"/>
            </w:tcMar>
            <w:vAlign w:val="center"/>
          </w:tcPr>
          <w:p>
            <w:r>
              <w:rPr>
                <w:b w:val="false"/>
                <w:bCs w:val="false"/>
                <w:color w:val="222222"/>
                <w:sz w:val="20"/>
                <w:szCs w:val="20"/>
              </w:rPr>
              <w:t xml:space="preserve">Owns the AI Asset Inventory content for systems it builds or operates; implements and evidences the data-supply-chain checkpoints in Section 6.2 (data lineage, training-run hashing, drift monitoring, rollback capability); supports Security Engineering with technical context during STRIDE-AI and ATLAS mapping sessions; implements agreed technical remediations (input validation, rate limiting, tool-permission scoping, logging enhancements).</w:t>
            </w:r>
          </w:p>
        </w:tc>
      </w:tr>
      <w:tr>
        <w:tc>
          <w:tcPr>
            <w:tcW w:type="dxa" w:w="2600"/>
            <w:tcMar>
              <w:top w:type="dxa" w:w="80"/>
              <w:left w:type="dxa" w:w="120"/>
              <w:bottom w:type="dxa" w:w="80"/>
              <w:right w:type="dxa" w:w="120"/>
            </w:tcMar>
            <w:vAlign w:val="center"/>
          </w:tcPr>
          <w:p>
            <w:r>
              <w:rPr>
                <w:b w:val="false"/>
                <w:bCs w:val="false"/>
                <w:color w:val="222222"/>
                <w:sz w:val="20"/>
                <w:szCs w:val="20"/>
              </w:rPr>
              <w:t xml:space="preserve">Governance &amp; Compliance Team</w:t>
            </w:r>
          </w:p>
        </w:tc>
        <w:tc>
          <w:tcPr>
            <w:tcW w:type="dxa" w:w="6900"/>
            <w:tcMar>
              <w:top w:type="dxa" w:w="80"/>
              <w:left w:type="dxa" w:w="120"/>
              <w:bottom w:type="dxa" w:w="80"/>
              <w:right w:type="dxa" w:w="120"/>
            </w:tcMar>
            <w:vAlign w:val="center"/>
          </w:tcPr>
          <w:p>
            <w:r>
              <w:rPr>
                <w:b w:val="false"/>
                <w:bCs w:val="false"/>
                <w:color w:val="222222"/>
                <w:sz w:val="20"/>
                <w:szCs w:val="20"/>
              </w:rPr>
              <w:t xml:space="preserve">Confirms the assessment satisfies applicable RBI IT governance, data protection, and fair-lending/explainability obligations; reconciles the AI Asset Register quarterly; reviews and approves risk acceptances where residual risk is retained rather than remediated; escalates unresolved Critical/High findings to the IT Strategy Committee / Board Risk Management Committee; maintains the audit trail required for regulatory examination; oversees vendor AI risk assessments and contractual security requirements.</w:t>
            </w:r>
          </w:p>
        </w:tc>
      </w:tr>
    </w:tbl>
    <w:p>
      <w:pPr>
        <w:spacing w:after="140" w:line="276"/>
      </w:pPr>
      <w:r>
        <w:rPr>
          <w:color w:val="222222"/>
          <w:sz w:val="21"/>
          <w:szCs w:val="21"/>
        </w:rPr>
        <w:t xml:space="preserve">All three teams jointly participate in the assessment workshop for each system and jointly sign off the finalised AI Threat Register entry before production go-live.</w:t>
      </w:r>
    </w:p>
    <w:p>
      <w:pPr>
        <w:pStyle w:val="Heading1"/>
        <w:spacing w:after="160" w:before="360"/>
      </w:pPr>
      <w:r>
        <w:t xml:space="preserve">8. References</w:t>
      </w:r>
    </w:p>
    <w:p>
      <w:pPr>
        <w:pStyle w:val="ListParagraph"/>
        <w:numPr>
          <w:ilvl w:val="0"/>
          <w:numId w:val="3"/>
        </w:numPr>
        <w:spacing w:after="90" w:line="270"/>
      </w:pPr>
      <w:r>
        <w:rPr>
          <w:color w:val="222222"/>
          <w:sz w:val="21"/>
          <w:szCs w:val="21"/>
        </w:rPr>
        <w:t xml:space="preserve">Reserve Bank of India – Master Direction on Information Technology Governance, Risk, Controls and Assurance Practices, 2023.</w:t>
      </w:r>
    </w:p>
    <w:p>
      <w:pPr>
        <w:pStyle w:val="ListParagraph"/>
        <w:numPr>
          <w:ilvl w:val="0"/>
          <w:numId w:val="3"/>
        </w:numPr>
        <w:spacing w:after="90" w:line="270"/>
      </w:pPr>
      <w:r>
        <w:rPr>
          <w:color w:val="222222"/>
          <w:sz w:val="21"/>
          <w:szCs w:val="21"/>
        </w:rPr>
        <w:t xml:space="preserve">Reserve Bank of India – Report of the Committee on Framework for Responsible and Ethical Enablement of Artificial Intelligence (FREE-AI), released 13 August 2025.</w:t>
      </w:r>
    </w:p>
    <w:p>
      <w:pPr>
        <w:pStyle w:val="ListParagraph"/>
        <w:numPr>
          <w:ilvl w:val="0"/>
          <w:numId w:val="3"/>
        </w:numPr>
        <w:spacing w:after="90" w:line="270"/>
      </w:pPr>
      <w:r>
        <w:rPr>
          <w:color w:val="222222"/>
          <w:sz w:val="21"/>
          <w:szCs w:val="21"/>
        </w:rPr>
        <w:t xml:space="preserve">National Institute of Standards and Technology (NIST) – AI Risk Management Framework (AI RMF 1.0), and the NIST Adversarial Machine Learning (AML) taxonomy (NIST AI 100-2).</w:t>
      </w:r>
    </w:p>
    <w:p>
      <w:pPr>
        <w:pStyle w:val="ListParagraph"/>
        <w:numPr>
          <w:ilvl w:val="0"/>
          <w:numId w:val="3"/>
        </w:numPr>
        <w:spacing w:after="90" w:line="270"/>
      </w:pPr>
      <w:r>
        <w:rPr>
          <w:color w:val="222222"/>
          <w:sz w:val="21"/>
          <w:szCs w:val="21"/>
        </w:rPr>
        <w:t xml:space="preserve">MITRE ATLAS (Adversarial Threat Landscape for Artificial-Intelligence Systems) — atlas.mitre.org.</w:t>
      </w:r>
    </w:p>
    <w:p>
      <w:pPr>
        <w:pStyle w:val="ListParagraph"/>
        <w:numPr>
          <w:ilvl w:val="0"/>
          <w:numId w:val="3"/>
        </w:numPr>
        <w:spacing w:after="90" w:line="270"/>
      </w:pPr>
      <w:r>
        <w:rPr>
          <w:color w:val="222222"/>
          <w:sz w:val="21"/>
          <w:szCs w:val="21"/>
        </w:rPr>
        <w:t xml:space="preserve">OWASP GenAI Security Project – OWASP Top 10 for Large Language Model Applications (2025).</w:t>
      </w:r>
    </w:p>
    <w:p>
      <w:pPr>
        <w:pStyle w:val="ListParagraph"/>
        <w:numPr>
          <w:ilvl w:val="0"/>
          <w:numId w:val="3"/>
        </w:numPr>
        <w:spacing w:after="90" w:line="270"/>
      </w:pPr>
      <w:r>
        <w:rPr>
          <w:color w:val="222222"/>
          <w:sz w:val="21"/>
          <w:szCs w:val="21"/>
        </w:rPr>
        <w:t xml:space="preserve">MITRE ATT&amp;CK Framework — attack.mitre.org (parent framework referenced for tactic/technique structure).</w:t>
      </w:r>
    </w:p>
    <w:p>
      <w:pPr>
        <w:spacing w:after="140" w:line="276"/>
      </w:pPr>
      <w:r>
        <w:rPr>
          <w:color w:val="222222"/>
          <w:sz w:val="21"/>
          <w:szCs w:val="21"/>
        </w:rPr>
        <w:t xml:space="preserve"/>
      </w:r>
    </w:p>
    <w:p>
      <w:pPr>
        <w:spacing w:after="140" w:line="276"/>
      </w:pPr>
      <w:r>
        <w:rPr>
          <w:b/>
          <w:bCs/>
          <w:color w:val="222222"/>
          <w:sz w:val="21"/>
          <w:szCs w:val="21"/>
        </w:rPr>
        <w:t xml:space="preserve">Note: </w:t>
      </w:r>
      <w:r>
        <w:rPr>
          <w:color w:val="222222"/>
          <w:sz w:val="21"/>
          <w:szCs w:val="21"/>
        </w:rPr>
        <w:t xml:space="preserve">This document should be read alongside the NBFC's Information Security Policy, Data and Information Asset Classification Policy, Outsourcing/Vendor Risk Management Policy, and Business Continuity Policy. Where any provision of this SOP conflicts with a binding RBI circular, Master Direction, or statutory requirement, the regulatory requirement prevails and this SOP must be updated accordingly at the next review cycle.</w:t>
      </w:r>
    </w:p>
    <w:sectPr>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abstractNum>
  <w:abstractNum w:abstractNumId="4" w15:restartNumberingAfterBreak="0">
    <w:multiLevelType w:val="hybridMultilevel"/>
    <w:lvl w:ilvl="0" w15:tentative="1">
      <w:start w:val="1"/>
      <w:numFmt w:val="lowerLetter"/>
      <w:lvlText w:val="(%1)"/>
      <w:lvlJc w:val="left"/>
      <w:pPr>
        <w:ind w:left="504"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20" w:before="260"/>
      <w:outlineLvl w:val="1"/>
    </w:pPr>
    <w:rPr>
      <w:rFonts w:ascii="Calibri" w:cs="Calibri" w:eastAsia="Calibri" w:hAnsi="Calibri"/>
      <w:b/>
      <w:bCs/>
      <w:color w:val="2E5395"/>
      <w:sz w:val="25"/>
      <w:szCs w:val="25"/>
    </w:rPr>
  </w:style>
  <w:style w:type="paragraph" w:styleId="Heading3">
    <w:name w:val="Heading 3"/>
    <w:basedOn w:val="Normal"/>
    <w:next w:val="Normal"/>
    <w:qFormat/>
    <w:pPr>
      <w:keepNext/>
      <w:spacing w:after="100" w:before="180"/>
      <w:outlineLvl w:val="2"/>
    </w:pPr>
    <w:rPr>
      <w:rFonts w:ascii="Calibri" w:cs="Calibri" w:eastAsia="Calibri" w:hAnsi="Calibri"/>
      <w:b/>
      <w:bCs/>
      <w:i w:val="false"/>
      <w:iCs w:val="false"/>
      <w:color w:val="2222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2026-08-06T19:43:22.460Z</dcterms:created>
  <dcterms:modified xsi:type="dcterms:W3CDTF">2026-08-06T19:43:22.460Z</dcterms:modified>
</cp:coreProperties>
</file>

<file path=docProps/custom.xml><?xml version="1.0" encoding="utf-8"?>
<Properties xmlns="http://schemas.openxmlformats.org/officeDocument/2006/custom-properties" xmlns:vt="http://schemas.openxmlformats.org/officeDocument/2006/docPropsVTypes"/>
</file>