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BF9F4"/>
  <w:body>
    <w:p>
      <w:pPr>
        <w:spacing w:before="0" w:after="360"/>
        <w:ind w:left="0" w:firstLine="0"/>
      </w:pPr>
      <w:r>
        <w:drawing>
          <wp:inline xmlns:a="http://schemas.openxmlformats.org/drawingml/2006/main" xmlns:pic="http://schemas.openxmlformats.org/drawingml/2006/picture">
            <wp:extent cx="5943600" cy="214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jays-header-trim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left="0" w:firstLine="0"/>
      </w:pPr>
      <w:r>
        <w:rPr>
          <w:rFonts w:ascii="IBM Plex Mono SemiBold" w:hAnsi="IBM Plex Mono SemiBold" w:cs="IBM Plex Mono SemiBold" w:eastAsia="IBM Plex Mono SemiBold"/>
          <w:b w:val="0"/>
          <w:i w:val="0"/>
          <w:color w:val="454BC4"/>
          <w:sz w:val="17"/>
          <w:spacing w:val="14"/>
        </w:rPr>
        <w:t>TECHNICAL SPECIFICATION</w:t>
      </w:r>
    </w:p>
    <w:p>
      <w:pPr>
        <w:spacing w:before="0" w:after="80" w:line="250" w:lineRule="auto"/>
        <w:ind w:left="0" w:firstLine="0"/>
      </w:pPr>
      <w:r>
        <w:rPr>
          <w:rFonts w:ascii="Oranienbaum" w:hAnsi="Oranienbaum" w:cs="Oranienbaum" w:eastAsia="Oranienbaum"/>
          <w:b w:val="0"/>
          <w:i w:val="0"/>
          <w:color w:val="1C1C1E"/>
          <w:sz w:val="64"/>
        </w:rPr>
        <w:t>Technical Architecture &amp; Solution Design</w:t>
      </w:r>
    </w:p>
    <w:p>
      <w:pPr>
        <w:spacing w:before="0" w:after="520"/>
        <w:ind w:left="0" w:firstLine="0"/>
      </w:pPr>
      <w:r>
        <w:rPr>
          <w:rFonts w:ascii="IBM Plex Mono" w:hAnsi="IBM Plex Mono" w:cs="IBM Plex Mono" w:eastAsia="IBM Plex Mono"/>
          <w:b w:val="0"/>
          <w:i w:val="0"/>
          <w:color w:val="5A5A5E"/>
          <w:sz w:val="18"/>
        </w:rPr>
        <w:t>Keel Platform     ·     v1.0     ·     2026-06-27</w:t>
      </w:r>
    </w:p>
    <w:p>
      <w:pPr>
        <w:pBdr>
          <w:bottom w:val="single" w:sz="6" w:space="8" w:color="E6E1D6"/>
        </w:pBdr>
        <w:spacing w:before="160" w:after="160"/>
        <w:ind w:left="0" w:firstLine="0"/>
      </w:pPr>
      <w:r>
        <w:rPr>
          <w:rFonts w:ascii="IBM Plex Mono SemiBold" w:hAnsi="IBM Plex Mono SemiBold" w:cs="IBM Plex Mono SemiBold" w:eastAsia="IBM Plex Mono SemiBold"/>
          <w:b w:val="0"/>
          <w:i w:val="0"/>
          <w:color w:val="454BC4"/>
          <w:sz w:val="40"/>
        </w:rPr>
        <w:t xml:space="preserve">01   </w:t>
      </w:r>
      <w:r>
        <w:rPr>
          <w:rFonts w:ascii="Oranienbaum" w:hAnsi="Oranienbaum" w:cs="Oranienbaum" w:eastAsia="Oranienbaum"/>
          <w:b w:val="0"/>
          <w:i w:val="0"/>
          <w:color w:val="1C1C1E"/>
          <w:sz w:val="40"/>
        </w:rPr>
        <w:t>Overview</w:t>
      </w:r>
    </w:p>
    <w:p>
      <w:pPr>
        <w:spacing w:before="120" w:after="400" w:line="360" w:lineRule="auto"/>
        <w:ind w:left="0" w:firstLine="0"/>
      </w:pPr>
      <w:r>
        <w:rPr>
          <w:rFonts w:ascii="Roboto" w:hAnsi="Roboto" w:cs="Roboto" w:eastAsia="Roboto"/>
          <w:b w:val="0"/>
          <w:i w:val="0"/>
          <w:color w:val="34343A"/>
          <w:sz w:val="21"/>
        </w:rPr>
        <w:t>This document specifies the target architecture, the component responsibilities, and the data and integration boundaries for the platform. Each section drills into named sub-sections so the model stays legible at a glance rather than buried in prose. Diagrams, tables, and callout cards carry the detail; the narrative explains the intent.</w:t>
      </w:r>
    </w:p>
    <w:p>
      <w:pPr>
        <w:spacing w:before="320" w:after="120"/>
        <w:ind w:left="0" w:firstLine="0"/>
      </w:pPr>
      <w:r>
        <w:rPr>
          <w:rFonts w:ascii="IBM Plex Mono SemiBold" w:hAnsi="IBM Plex Mono SemiBold" w:cs="IBM Plex Mono SemiBold" w:eastAsia="IBM Plex Mono SemiBold"/>
          <w:b w:val="0"/>
          <w:i w:val="0"/>
          <w:color w:val="454BC4"/>
          <w:sz w:val="28"/>
        </w:rPr>
        <w:t xml:space="preserve">1.1   </w:t>
      </w:r>
      <w:r>
        <w:rPr>
          <w:rFonts w:ascii="Oranienbaum" w:hAnsi="Oranienbaum" w:cs="Oranienbaum" w:eastAsia="Oranienbaum"/>
          <w:b w:val="0"/>
          <w:i w:val="0"/>
          <w:color w:val="1C1C1E"/>
          <w:sz w:val="28"/>
        </w:rPr>
        <w:t>System Context</w:t>
      </w:r>
    </w:p>
    <w:p>
      <w:pPr>
        <w:spacing w:before="160" w:after="320"/>
        <w:ind w:left="0" w:firstLine="0"/>
      </w:pPr>
      <w:r>
        <w:rPr>
          <w:rFonts w:ascii="IBM Plex Mono SemiBold" w:hAnsi="IBM Plex Mono SemiBold" w:cs="IBM Plex Mono SemiBold" w:eastAsia="IBM Plex Mono SemiBold"/>
          <w:b w:val="0"/>
          <w:i w:val="0"/>
          <w:color w:val="454BC4"/>
          <w:sz w:val="24"/>
        </w:rPr>
        <w:t xml:space="preserve">1.1.1   </w:t>
      </w:r>
      <w:r>
        <w:rPr>
          <w:rFonts w:ascii="Oranienbaum" w:hAnsi="Oranienbaum" w:cs="Oranienbaum" w:eastAsia="Oranienbaum"/>
          <w:b w:val="0"/>
          <w:i w:val="0"/>
          <w:color w:val="1C1C1E"/>
          <w:sz w:val="24"/>
        </w:rPr>
        <w:t>Component Responsibilities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color="E6E1D6" w:space="0"/>
          <w:left w:val="single" w:sz="4" w:color="E6E1D6" w:space="0"/>
          <w:bottom w:val="single" w:sz="4" w:color="E6E1D6" w:space="0"/>
          <w:right w:val="single" w:sz="4" w:color="E6E1D6" w:space="0"/>
          <w:insideH w:val="single" w:sz="4" w:color="E6E1D6" w:space="0"/>
          <w:insideV w:val="single" w:sz="4" w:color="E6E1D6" w:space="0"/>
        </w:tblBorders>
        <w:tblCellMar>
          <w:top w:w="130" w:type="dxa"/>
          <w:left w:w="160" w:type="dxa"/>
          <w:bottom w:w="130" w:type="dxa"/>
          <w:right w:w="160" w:type="dxa"/>
        </w:tblCellMar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3312"/>
            <w:shd w:val="clear" w:color="auto" w:fill="15171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IBM Plex Mono SemiBold" w:hAnsi="IBM Plex Mono SemiBold" w:cs="IBM Plex Mono SemiBold" w:eastAsia="IBM Plex Mono SemiBold"/>
                <w:color w:val="FFFFFF"/>
                <w:sz w:val="17"/>
                <w:spacing w:val="8"/>
              </w:rPr>
              <w:t>METRIC</w:t>
            </w:r>
          </w:p>
        </w:tc>
        <w:tc>
          <w:tcPr>
            <w:tcW w:type="dxa" w:w="1728"/>
            <w:shd w:val="clear" w:color="auto" w:fill="15171A"/>
            <w:vAlign w:val="center"/>
          </w:tcPr>
          <w:p>
            <w:pPr>
              <w:spacing w:before="0" w:after="0" w:line="264" w:lineRule="auto"/>
              <w:jc w:val="right"/>
            </w:pPr>
            <w:r>
              <w:rPr>
                <w:rFonts w:ascii="IBM Plex Mono SemiBold" w:hAnsi="IBM Plex Mono SemiBold" w:cs="IBM Plex Mono SemiBold" w:eastAsia="IBM Plex Mono SemiBold"/>
                <w:color w:val="FFFFFF"/>
                <w:sz w:val="17"/>
                <w:spacing w:val="8"/>
              </w:rPr>
              <w:t>TARGET</w:t>
            </w:r>
          </w:p>
        </w:tc>
        <w:tc>
          <w:tcPr>
            <w:tcW w:type="dxa" w:w="2304"/>
            <w:shd w:val="clear" w:color="auto" w:fill="15171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IBM Plex Mono SemiBold" w:hAnsi="IBM Plex Mono SemiBold" w:cs="IBM Plex Mono SemiBold" w:eastAsia="IBM Plex Mono SemiBold"/>
                <w:color w:val="FFFFFF"/>
                <w:sz w:val="17"/>
                <w:spacing w:val="8"/>
              </w:rPr>
              <w:t>MEASURE</w:t>
            </w:r>
          </w:p>
        </w:tc>
        <w:tc>
          <w:tcPr>
            <w:tcW w:type="dxa" w:w="2016"/>
            <w:shd w:val="clear" w:color="auto" w:fill="15171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IBM Plex Mono SemiBold" w:hAnsi="IBM Plex Mono SemiBold" w:cs="IBM Plex Mono SemiBold" w:eastAsia="IBM Plex Mono SemiBold"/>
                <w:color w:val="FFFFFF"/>
                <w:sz w:val="17"/>
                <w:spacing w:val="8"/>
              </w:rPr>
              <w:t>STATUS</w:t>
            </w:r>
          </w:p>
        </w:tc>
      </w:tr>
      <w:tr>
        <w:trPr>
          <w:trHeight w:val="320" w:hRule="atLeast"/>
        </w:trPr>
        <w:tc>
          <w:tcPr>
            <w:tcW w:type="dxa" w:w="3312"/>
            <w:shd w:val="clear" w:color="auto" w:fill="FBF9F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IBM Plex Mono" w:hAnsi="IBM Plex Mono" w:cs="IBM Plex Mono" w:eastAsia="IBM Plex Mono"/>
                <w:color w:val="1C1C1E"/>
                <w:sz w:val="18"/>
              </w:rPr>
              <w:t>Latency (p95)</w:t>
            </w:r>
          </w:p>
        </w:tc>
        <w:tc>
          <w:tcPr>
            <w:tcW w:type="dxa" w:w="1728"/>
            <w:shd w:val="clear" w:color="auto" w:fill="FBF9F4"/>
            <w:vAlign w:val="center"/>
          </w:tcPr>
          <w:p>
            <w:pPr>
              <w:spacing w:before="0" w:after="0" w:line="264" w:lineRule="auto"/>
              <w:jc w:val="right"/>
            </w:pPr>
            <w:r>
              <w:rPr>
                <w:rFonts w:ascii="IBM Plex Mono" w:hAnsi="IBM Plex Mono" w:cs="IBM Plex Mono" w:eastAsia="IBM Plex Mono"/>
                <w:color w:val="1C1C1E"/>
                <w:sz w:val="18"/>
              </w:rPr>
              <w:t>≤ 200 ms</w:t>
            </w:r>
          </w:p>
        </w:tc>
        <w:tc>
          <w:tcPr>
            <w:tcW w:type="dxa" w:w="2304"/>
            <w:shd w:val="clear" w:color="auto" w:fill="FBF9F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IBM Plex Mono" w:hAnsi="IBM Plex Mono" w:cs="IBM Plex Mono" w:eastAsia="IBM Plex Mono"/>
                <w:color w:val="1C1C1E"/>
                <w:sz w:val="18"/>
              </w:rPr>
              <w:t>APM trace</w:t>
            </w:r>
          </w:p>
        </w:tc>
        <w:tc>
          <w:tcPr>
            <w:tcW w:type="dxa" w:w="2016"/>
            <w:shd w:val="clear" w:color="auto" w:fill="FBF9F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IBM Plex Mono" w:hAnsi="IBM Plex Mono" w:cs="IBM Plex Mono" w:eastAsia="IBM Plex Mono"/>
                <w:color w:val="1C1C1E"/>
                <w:sz w:val="18"/>
              </w:rPr>
              <w:t>On track</w:t>
            </w:r>
          </w:p>
        </w:tc>
      </w:tr>
      <w:tr>
        <w:trPr>
          <w:trHeight w:val="320" w:hRule="atLeast"/>
        </w:trPr>
        <w:tc>
          <w:tcPr>
            <w:tcW w:type="dxa" w:w="3312"/>
            <w:shd w:val="clear" w:color="auto" w:fill="F2EEE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IBM Plex Mono" w:hAnsi="IBM Plex Mono" w:cs="IBM Plex Mono" w:eastAsia="IBM Plex Mono"/>
                <w:color w:val="1C1C1E"/>
                <w:sz w:val="18"/>
              </w:rPr>
              <w:t>Availability</w:t>
            </w:r>
          </w:p>
        </w:tc>
        <w:tc>
          <w:tcPr>
            <w:tcW w:type="dxa" w:w="1728"/>
            <w:shd w:val="clear" w:color="auto" w:fill="F2EEE4"/>
            <w:vAlign w:val="center"/>
          </w:tcPr>
          <w:p>
            <w:pPr>
              <w:spacing w:before="0" w:after="0" w:line="264" w:lineRule="auto"/>
              <w:jc w:val="right"/>
            </w:pPr>
            <w:r>
              <w:rPr>
                <w:rFonts w:ascii="IBM Plex Mono" w:hAnsi="IBM Plex Mono" w:cs="IBM Plex Mono" w:eastAsia="IBM Plex Mono"/>
                <w:color w:val="1C1C1E"/>
                <w:sz w:val="18"/>
              </w:rPr>
              <w:t>99.9%</w:t>
            </w:r>
          </w:p>
        </w:tc>
        <w:tc>
          <w:tcPr>
            <w:tcW w:type="dxa" w:w="2304"/>
            <w:shd w:val="clear" w:color="auto" w:fill="F2EEE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IBM Plex Mono" w:hAnsi="IBM Plex Mono" w:cs="IBM Plex Mono" w:eastAsia="IBM Plex Mono"/>
                <w:color w:val="1C1C1E"/>
                <w:sz w:val="18"/>
              </w:rPr>
              <w:t>uptime SLA</w:t>
            </w:r>
          </w:p>
        </w:tc>
        <w:tc>
          <w:tcPr>
            <w:tcW w:type="dxa" w:w="2016"/>
            <w:shd w:val="clear" w:color="auto" w:fill="F2EEE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IBM Plex Mono" w:hAnsi="IBM Plex Mono" w:cs="IBM Plex Mono" w:eastAsia="IBM Plex Mono"/>
                <w:color w:val="1C1C1E"/>
                <w:sz w:val="18"/>
              </w:rPr>
              <w:t>On track</w:t>
            </w:r>
          </w:p>
        </w:tc>
      </w:tr>
      <w:tr>
        <w:trPr>
          <w:trHeight w:val="320" w:hRule="atLeast"/>
        </w:trPr>
        <w:tc>
          <w:tcPr>
            <w:tcW w:type="dxa" w:w="3312"/>
            <w:shd w:val="clear" w:color="auto" w:fill="FBF9F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IBM Plex Mono" w:hAnsi="IBM Plex Mono" w:cs="IBM Plex Mono" w:eastAsia="IBM Plex Mono"/>
                <w:color w:val="1C1C1E"/>
                <w:sz w:val="18"/>
              </w:rPr>
              <w:t>Throughput</w:t>
            </w:r>
          </w:p>
        </w:tc>
        <w:tc>
          <w:tcPr>
            <w:tcW w:type="dxa" w:w="1728"/>
            <w:shd w:val="clear" w:color="auto" w:fill="FBF9F4"/>
            <w:vAlign w:val="center"/>
          </w:tcPr>
          <w:p>
            <w:pPr>
              <w:spacing w:before="0" w:after="0" w:line="264" w:lineRule="auto"/>
              <w:jc w:val="right"/>
            </w:pPr>
            <w:r>
              <w:rPr>
                <w:rFonts w:ascii="IBM Plex Mono" w:hAnsi="IBM Plex Mono" w:cs="IBM Plex Mono" w:eastAsia="IBM Plex Mono"/>
                <w:color w:val="1C1C1E"/>
                <w:sz w:val="18"/>
              </w:rPr>
              <w:t>5,000 rps</w:t>
            </w:r>
          </w:p>
        </w:tc>
        <w:tc>
          <w:tcPr>
            <w:tcW w:type="dxa" w:w="2304"/>
            <w:shd w:val="clear" w:color="auto" w:fill="FBF9F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IBM Plex Mono" w:hAnsi="IBM Plex Mono" w:cs="IBM Plex Mono" w:eastAsia="IBM Plex Mono"/>
                <w:color w:val="1C1C1E"/>
                <w:sz w:val="18"/>
              </w:rPr>
              <w:t>load test</w:t>
            </w:r>
          </w:p>
        </w:tc>
        <w:tc>
          <w:tcPr>
            <w:tcW w:type="dxa" w:w="2016"/>
            <w:shd w:val="clear" w:color="auto" w:fill="ECECFB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IBM Plex Mono" w:hAnsi="IBM Plex Mono" w:cs="IBM Plex Mono" w:eastAsia="IBM Plex Mono"/>
                <w:color w:val="454BC4"/>
                <w:sz w:val="18"/>
              </w:rPr>
              <w:t>At risk</w:t>
            </w:r>
          </w:p>
        </w:tc>
      </w:tr>
      <w:tr>
        <w:trPr>
          <w:trHeight w:val="320" w:hRule="atLeast"/>
        </w:trPr>
        <w:tc>
          <w:tcPr>
            <w:tcW w:type="dxa" w:w="3312"/>
            <w:shd w:val="clear" w:color="auto" w:fill="F2EEE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IBM Plex Mono" w:hAnsi="IBM Plex Mono" w:cs="IBM Plex Mono" w:eastAsia="IBM Plex Mono"/>
                <w:color w:val="1C1C1E"/>
                <w:sz w:val="18"/>
              </w:rPr>
              <w:t>Error rate</w:t>
            </w:r>
          </w:p>
        </w:tc>
        <w:tc>
          <w:tcPr>
            <w:tcW w:type="dxa" w:w="1728"/>
            <w:shd w:val="clear" w:color="auto" w:fill="F2EEE4"/>
            <w:vAlign w:val="center"/>
          </w:tcPr>
          <w:p>
            <w:pPr>
              <w:spacing w:before="0" w:after="0" w:line="264" w:lineRule="auto"/>
              <w:jc w:val="right"/>
            </w:pPr>
            <w:r>
              <w:rPr>
                <w:rFonts w:ascii="IBM Plex Mono" w:hAnsi="IBM Plex Mono" w:cs="IBM Plex Mono" w:eastAsia="IBM Plex Mono"/>
                <w:color w:val="1C1C1E"/>
                <w:sz w:val="18"/>
              </w:rPr>
              <w:t>&lt; 0.1%</w:t>
            </w:r>
          </w:p>
        </w:tc>
        <w:tc>
          <w:tcPr>
            <w:tcW w:type="dxa" w:w="2304"/>
            <w:shd w:val="clear" w:color="auto" w:fill="F2EEE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IBM Plex Mono" w:hAnsi="IBM Plex Mono" w:cs="IBM Plex Mono" w:eastAsia="IBM Plex Mono"/>
                <w:color w:val="1C1C1E"/>
                <w:sz w:val="18"/>
              </w:rPr>
              <w:t>log sample</w:t>
            </w:r>
          </w:p>
        </w:tc>
        <w:tc>
          <w:tcPr>
            <w:tcW w:type="dxa" w:w="2016"/>
            <w:shd w:val="clear" w:color="auto" w:fill="F2EEE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IBM Plex Mono" w:hAnsi="IBM Plex Mono" w:cs="IBM Plex Mono" w:eastAsia="IBM Plex Mono"/>
                <w:color w:val="1C1C1E"/>
                <w:sz w:val="18"/>
              </w:rPr>
              <w:t>On track</w:t>
            </w:r>
          </w:p>
        </w:tc>
      </w:tr>
    </w:tbl>
    <w:p>
      <w:pPr>
        <w:spacing w:before="0" w:after="440"/>
        <w:ind w:left="0" w:firstLin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top w:w="210" w:type="dxa"/>
          <w:left w:w="260" w:type="dxa"/>
          <w:bottom w:w="210" w:type="dxa"/>
          <w:right w:w="260" w:type="dxa"/>
        </w:tblCellMar>
      </w:tblPr>
      <w:tblGrid>
        <w:gridCol w:w="9360"/>
      </w:tblGrid>
      <w:tr>
        <w:tc>
          <w:tcPr>
            <w:tcW w:type="dxa" w:w="9360"/>
            <w:shd w:val="clear" w:color="auto" w:fill="F2EEE4"/>
          </w:tcPr>
          <w:p>
            <w:pPr>
              <w:spacing w:before="0" w:after="160" w:line="240" w:lineRule="auto"/>
            </w:pPr>
            <w:r>
              <w:rPr>
                <w:rFonts w:ascii="Oranienbaum" w:hAnsi="Oranienbaum" w:cs="Oranienbaum" w:eastAsia="Oranienbaum"/>
                <w:color w:val="454BC4"/>
                <w:sz w:val="64"/>
              </w:rPr>
              <w:t>99.9%</w:t>
            </w:r>
          </w:p>
          <w:p>
            <w:pPr>
              <w:spacing w:before="0" w:after="160" w:line="264" w:lineRule="auto"/>
            </w:pPr>
            <w:r>
              <w:rPr>
                <w:rFonts w:ascii="IBM Plex Mono SemiBold" w:hAnsi="IBM Plex Mono SemiBold" w:cs="IBM Plex Mono SemiBold" w:eastAsia="IBM Plex Mono SemiBold"/>
                <w:color w:val="5A5A5E"/>
                <w:sz w:val="17"/>
                <w:spacing w:val="12"/>
              </w:rPr>
              <w:t>TARGET AVAILABILITY</w:t>
            </w:r>
          </w:p>
          <w:p>
            <w:pPr>
              <w:spacing w:before="0" w:after="0" w:line="312" w:lineRule="auto"/>
            </w:pPr>
            <w:r>
              <w:rPr>
                <w:rFonts w:ascii="Roboto" w:hAnsi="Roboto" w:cs="Roboto" w:eastAsia="Roboto"/>
                <w:color w:val="34343A"/>
                <w:sz w:val="19"/>
              </w:rPr>
              <w:t>Measured monthly against the production SLA across all regions.</w:t>
            </w:r>
          </w:p>
        </w:tc>
      </w:tr>
    </w:tbl>
    <w:p>
      <w:pPr>
        <w:spacing w:before="0" w:after="440"/>
        <w:ind w:left="0" w:firstLin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trHeight w:val="1300" w:hRule="atLeast"/>
        </w:trPr>
        <w:tc>
          <w:tcPr>
            <w:tcW w:type="dxa" w:w="9360"/>
            <w:tcBorders>
              <w:top w:val="single" w:sz="4" w:space="0" w:color="E6E1D6"/>
              <w:left w:val="single" w:sz="4" w:space="0" w:color="E6E1D6"/>
              <w:bottom w:val="single" w:sz="4" w:space="0" w:color="E6E1D6"/>
              <w:right w:val="single" w:sz="4" w:space="0" w:color="E6E1D6"/>
            </w:tcBorders>
            <w:shd w:val="clear" w:color="auto" w:fill="F1EEE6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IBM Plex Mono" w:hAnsi="IBM Plex Mono" w:cs="IBM Plex Mono" w:eastAsia="IBM Plex Mono"/>
                <w:color w:val="5A5A5E"/>
                <w:sz w:val="18"/>
              </w:rPr>
              <w:t>[ reference architecture diagram ]</w:t>
            </w:r>
          </w:p>
        </w:tc>
      </w:tr>
    </w:tbl>
    <w:p>
      <w:pPr>
        <w:spacing w:before="120" w:after="120"/>
        <w:ind w:left="0" w:firstLine="0"/>
      </w:pPr>
      <w:r>
        <w:rPr>
          <w:rFonts w:ascii="IBM Plex Mono" w:hAnsi="IBM Plex Mono" w:cs="IBM Plex Mono" w:eastAsia="IBM Plex Mono"/>
          <w:b w:val="0"/>
          <w:i w:val="0"/>
          <w:color w:val="5A5A5E"/>
          <w:sz w:val="17"/>
          <w:spacing w:val="4"/>
        </w:rPr>
        <w:t>Figure 1 — Reference architecture, system context.</w:t>
      </w:r>
    </w:p>
    <w:sectPr w:rsidR="00FC693F" w:rsidRPr="0006063C" w:rsidSect="00034616">
      <w:pgSz w:w="12240" w:h="15840"/>
      <w:pgMar w:top="1008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Oranienbaum">
    <w:charset w:val="00"/>
    <w:family w:val="roman"/>
    <w:pitch w:val="variable"/>
    <w:embedRegular r:id="rId1" w:fontKey="{FA7EC8D5-F63F-4294-8C41-662EC97596A4}"/>
  </w:font>
  <w:font w:name="Roboto">
    <w:charset w:val="00"/>
    <w:family w:val="swiss"/>
    <w:pitch w:val="variable"/>
    <w:embedRegular r:id="rId2" w:fontKey="{DB6CAFE1-500F-4F1B-A14F-72FE22B05CED}"/>
  </w:font>
  <w:font w:name="IBM Plex Mono">
    <w:charset w:val="00"/>
    <w:family w:val="modern"/>
    <w:pitch w:val="fixed"/>
    <w:embedRegular r:id="rId3" w:fontKey="{BCD10574-9F56-46C8-A18D-30B350003EAA}"/>
  </w:font>
  <w:font w:name="IBM Plex Mono SemiBold">
    <w:charset w:val="00"/>
    <w:family w:val="modern"/>
    <w:pitch w:val="fixed"/>
    <w:embedRegular r:id="rId4" w:fontKey="{D710F2A6-E8C5-45E9-BF56-FCE4D3FB201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