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9F4"/>
  <w:body>
    <w:p>
      <w:pPr>
        <w:pStyle w:val="Title"/>
      </w:pPr>
      <w:r>
        <w:t>techjays</w:t>
      </w:r>
    </w:p>
    <w:p>
      <w:pPr>
        <w:pStyle w:val="Subtitle"/>
      </w:pPr>
      <w:r>
        <w:t>Reference document — Set B editorial styles</w:t>
      </w:r>
    </w:p>
    <w:p>
      <w:pPr>
        <w:pStyle w:val="TOCHeading"/>
      </w:pPr>
      <w:r>
        <w:t>Contents</w:t>
      </w:r>
    </w:p>
    <w:p>
      <w:pPr>
        <w:pStyle w:val="PullQuote"/>
      </w:pPr>
      <w:r>
        <w:t>An opening note set as a pull-quote, placed on its own page by the render step.</w:t>
      </w:r>
    </w:p>
    <w:p>
      <w:pPr>
        <w:pStyle w:val="Heading1"/>
      </w:pPr>
      <w:r>
        <w:t>Overview</w:t>
      </w:r>
    </w:p>
    <w:p>
      <w:pPr>
        <w:pStyle w:val="BodyText"/>
      </w:pPr>
      <w:r>
        <w:t>Body text in Roboto 10.5 on soft grey, with generous spacing.</w:t>
      </w:r>
    </w:p>
    <w:p>
      <w:pPr>
        <w:pStyle w:val="Heading2"/>
      </w:pPr>
      <w:r>
        <w:t>System Context</w:t>
      </w:r>
    </w:p>
    <w:p>
      <w:pPr>
        <w:pStyle w:val="Heading3"/>
      </w:pPr>
      <w:r>
        <w:t>Components</w:t>
      </w:r>
    </w:p>
    <w:p>
      <w:pPr>
        <w:pStyle w:val="SourceCode"/>
      </w:pPr>
      <w:r>
        <w:t>def hello():</w:t>
        <w:br/>
        <w:t xml:space="preserve">    return 'techjays'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Target</w:t>
            </w:r>
          </w:p>
        </w:tc>
        <w:tc>
          <w:tcPr>
            <w:tcW w:type="dxa" w:w="3120"/>
          </w:tcPr>
          <w:p>
            <w:r>
              <w:t>Measure</w:t>
            </w:r>
          </w:p>
        </w:tc>
      </w:tr>
      <w:tr>
        <w:tc>
          <w:tcPr>
            <w:tcW w:type="dxa" w:w="3120"/>
          </w:tcPr>
          <w:p>
            <w:r>
              <w:t>latency</w:t>
            </w:r>
          </w:p>
        </w:tc>
        <w:tc>
          <w:tcPr>
            <w:tcW w:type="dxa" w:w="3120"/>
          </w:tcPr>
          <w:p>
            <w:r>
              <w:t>200 ms</w:t>
            </w:r>
          </w:p>
        </w:tc>
        <w:tc>
          <w:tcPr>
            <w:tcW w:type="dxa" w:w="3120"/>
          </w:tcPr>
          <w:p>
            <w:r>
              <w:t>trace</w:t>
            </w:r>
          </w:p>
        </w:tc>
      </w:tr>
    </w:tbl>
    <w:p>
      <w:pPr>
        <w:pStyle w:val="ImageCaption"/>
      </w:pPr>
      <w:r>
        <w:t>Figure 1 — Reference architecture, system context.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Oranienbaum">
    <w:charset w:val="00"/>
    <w:family w:val="roman"/>
    <w:pitch w:val="variable"/>
    <w:embedRegular r:id="rId1" w:fontKey="{E7C4EB60-98B6-4C84-8C8B-FE43B2423128}"/>
  </w:font>
  <w:font w:name="Roboto">
    <w:charset w:val="00"/>
    <w:family w:val="swiss"/>
    <w:pitch w:val="variable"/>
    <w:embedRegular r:id="rId2" w:fontKey="{4144B059-23A4-453F-BADB-7EC1844763EE}"/>
  </w:font>
  <w:font w:name="IBM Plex Mono">
    <w:charset w:val="00"/>
    <w:family w:val="modern"/>
    <w:pitch w:val="fixed"/>
    <w:embedRegular r:id="rId3" w:fontKey="{B5ABD74A-E660-48BE-9021-DA8C7C1935DD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Roboto" w:hAnsi="Roboto"/>
        <w:color w:val="5A5A5E"/>
        <w:sz w:val="18"/>
      </w:rPr>
      <w:t xml:space="preserve">Page </w:t>
    </w:r>
    <w:fldSimple w:instr="PAGE">
      <w:r>
        <w:rPr>
          <w:rFonts w:ascii="Roboto" w:hAnsi="Roboto" w:cs="Roboto" w:eastAsia="Roboto"/>
          <w:sz w:val="18"/>
          <w:color w:val="5A5A5E"/>
        </w:rPr>
        <w:t>1</w:t>
      </w:r>
    </w:fldSimple>
    <w:r>
      <w:rPr>
        <w:rFonts w:ascii="Roboto" w:hAnsi="Roboto"/>
        <w:color w:val="5A5A5E"/>
        <w:sz w:val="18"/>
      </w:rPr>
      <w:t xml:space="preserve"> of </w:t>
    </w:r>
    <w:fldSimple w:instr="NUMPAGES">
      <w:r>
        <w:rPr>
          <w:rFonts w:ascii="Roboto" w:hAnsi="Roboto" w:cs="Roboto" w:eastAsia="Roboto"/>
          <w:sz w:val="18"/>
          <w:color w:val="5A5A5E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ind w:left="0" w:firstLine="0"/>
      <w:jc w:val="left"/>
    </w:pPr>
    <w:r>
      <w:drawing>
        <wp:inline xmlns:a="http://schemas.openxmlformats.org/drawingml/2006/main" xmlns:pic="http://schemas.openxmlformats.org/drawingml/2006/picture">
          <wp:extent cx="5943600" cy="2140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jays-header-trimm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1409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ascii="IBM Plex Mono" w:hAnsi="IBM Plex Mono" w:cs="IBM Plex Mono"/>
        <w:color w:val="454BC4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IBM Plex Mono" w:hAnsi="IBM Plex Mono" w:cs="IBM Plex Mono"/>
        <w:color w:val="454BC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IBM Plex Mono" w:hAnsi="IBM Plex Mono" w:cs="IBM Plex Mono"/>
        <w:color w:val="454BC4"/>
      </w:rPr>
    </w:lvl>
    <w:lvl w:ilvl="3">
      <w:start w:val="1"/>
      <w:numFmt w:val="none"/>
      <w:suff w:val="space"/>
      <w:lvlText w:val=""/>
      <w:lvlJc w:val="left"/>
      <w:pPr>
        <w:ind w:left="0" w:firstLine="0"/>
      </w:pPr>
    </w:lvl>
    <w:lvl w:ilvl="4">
      <w:start w:val="1"/>
      <w:numFmt w:val="none"/>
      <w:suff w:val="space"/>
      <w:lvlText w:val=""/>
      <w:lvlJc w:val="left"/>
      <w:pPr>
        <w:ind w:left="0" w:firstLine="0"/>
      </w:pPr>
    </w:lvl>
    <w:lvl w:ilvl="5">
      <w:start w:val="1"/>
      <w:numFmt w:val="none"/>
      <w:suff w:val="space"/>
      <w:lvlText w:val=""/>
      <w:lvlJc w:val="left"/>
      <w:pPr>
        <w:ind w:left="0" w:firstLine="0"/>
      </w:pPr>
    </w:lvl>
    <w:lvl w:ilvl="6">
      <w:start w:val="1"/>
      <w:numFmt w:val="none"/>
      <w:suff w:val="space"/>
      <w:lvlText w:val=""/>
      <w:lvlJc w:val="left"/>
      <w:pPr>
        <w:ind w:left="0" w:firstLine="0"/>
      </w:pPr>
    </w:lvl>
    <w:lvl w:ilvl="7">
      <w:start w:val="1"/>
      <w:numFmt w:val="none"/>
      <w:suff w:val="space"/>
      <w:lvlText w:val=""/>
      <w:lvlJc w:val="left"/>
      <w:pPr>
        <w:ind w:left="0" w:firstLine="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Roboto" w:hAnsi="Roboto" w:cs="Roboto" w:eastAsia="Roboto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Roboto" w:hAnsi="Roboto" w:cs="Roboto" w:eastAsia="Roboto"/>
      <w:b w:val="0"/>
      <w:color w:val="34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Roboto" w:hAnsi="Roboto" w:cs="Roboto" w:eastAsia="Roboto"/>
      <w:b w:val="0"/>
      <w:color w:val="5A5A5E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Roboto" w:hAnsi="Roboto" w:cs="Roboto" w:eastAsia="Roboto"/>
      <w:b w:val="0"/>
      <w:color w:val="5A5A5E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"/>
      </w:numPr>
      <w:spacing w:before="440" w:after="160"/>
      <w:outlineLvl w:val="0"/>
    </w:pPr>
    <w:rPr>
      <w:rFonts w:asciiTheme="majorHAnsi" w:eastAsiaTheme="majorEastAsia" w:hAnsiTheme="majorHAnsi" w:cstheme="majorBidi" w:ascii="Oranienbaum" w:hAnsi="Oranienbaum" w:cs="Oranienbaum" w:eastAsia="Oranienbaum"/>
      <w:b w:val="0"/>
      <w:bCs/>
      <w:color w:val="1C1C1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320" w:after="120"/>
      <w:outlineLvl w:val="1"/>
    </w:pPr>
    <w:rPr>
      <w:rFonts w:asciiTheme="majorHAnsi" w:eastAsiaTheme="majorEastAsia" w:hAnsiTheme="majorHAnsi" w:cstheme="majorBidi" w:ascii="Oranienbaum" w:hAnsi="Oranienbaum" w:cs="Oranienbaum" w:eastAsia="Oranienbaum"/>
      <w:b w:val="0"/>
      <w:bCs/>
      <w:color w:val="1C1C1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"/>
      </w:numPr>
      <w:spacing w:before="280" w:after="120"/>
      <w:outlineLvl w:val="2"/>
    </w:pPr>
    <w:rPr>
      <w:rFonts w:asciiTheme="majorHAnsi" w:eastAsiaTheme="majorEastAsia" w:hAnsiTheme="majorHAnsi" w:cstheme="majorBidi" w:ascii="Oranienbaum" w:hAnsi="Oranienbaum" w:cs="Oranienbaum" w:eastAsia="Oranienbaum"/>
      <w:b w:val="0"/>
      <w:bCs/>
      <w:color w:val="1C1C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Oranienbaum" w:hAnsi="Oranienbaum" w:cs="Oranienbaum" w:eastAsia="Oranienbaum"/>
      <w:b w:val="0"/>
      <w:bCs/>
      <w:i/>
      <w:iCs/>
      <w:color w:val="1C1C1E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40"/>
      <w:outlineLvl w:val="4"/>
    </w:pPr>
    <w:rPr>
      <w:rFonts w:asciiTheme="majorHAnsi" w:eastAsiaTheme="majorEastAsia" w:hAnsiTheme="majorHAnsi" w:cstheme="majorBidi" w:ascii="Oranienbaum" w:hAnsi="Oranienbaum" w:cs="Oranienbaum" w:eastAsia="Oranienbaum"/>
      <w:b w:val="0"/>
      <w:color w:val="5A5A5E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40"/>
      <w:outlineLvl w:val="5"/>
    </w:pPr>
    <w:rPr>
      <w:rFonts w:asciiTheme="majorHAnsi" w:eastAsiaTheme="majorEastAsia" w:hAnsiTheme="majorHAnsi" w:cstheme="majorBidi" w:ascii="Oranienbaum" w:hAnsi="Oranienbaum" w:cs="Oranienbaum" w:eastAsia="Oranienbaum"/>
      <w:b w:val="0"/>
      <w:i/>
      <w:iCs/>
      <w:color w:val="5A5A5E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2" w:lineRule="auto" w:before="0"/>
      <w:contextualSpacing/>
    </w:pPr>
    <w:rPr>
      <w:rFonts w:asciiTheme="majorHAnsi" w:eastAsiaTheme="majorEastAsia" w:hAnsiTheme="majorHAnsi" w:cstheme="majorBidi" w:ascii="Oranienbaum" w:hAnsi="Oranienbaum" w:cs="Oranienbaum" w:eastAsia="Oranienbaum"/>
      <w:b w:val="0"/>
      <w:color w:val="1C1C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Oranienbaum" w:hAnsi="Oranienbaum" w:cs="Oranienbaum" w:eastAsia="Oranienbaum"/>
      <w:b w:val="0"/>
      <w:i/>
      <w:iCs/>
      <w:color w:val="1C1C1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200" w:line="360" w:lineRule="auto"/>
    </w:pPr>
    <w:rPr>
      <w:rFonts w:ascii="Roboto" w:hAnsi="Roboto" w:cs="Roboto" w:eastAsia="Roboto"/>
      <w:b w:val="0"/>
      <w:color w:val="34343A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</w:pPr>
    <w:rPr>
      <w:rFonts w:ascii="IBM Plex Mono" w:hAnsi="IBM Plex Mono" w:cs="IBM Plex Mono" w:eastAsia="IBM Plex Mono"/>
      <w:b w:val="0"/>
      <w:bCs/>
      <w:color w:val="5A5A5E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numPr>
        <w:numId w:val="0"/>
      </w:numPr>
      <w:spacing w:before="240" w:after="160"/>
      <w:outlineLvl w:val="9"/>
    </w:pPr>
    <w:rPr>
      <w:rFonts w:ascii="Oranienbaum" w:hAnsi="Oranienbaum" w:cs="Oranienbaum" w:eastAsia="Oranienbaum"/>
      <w:b w:val="0"/>
      <w:color w:val="1C1C1E"/>
      <w:sz w:val="32"/>
    </w:rPr>
  </w:style>
  <w:style w:type="table" w:styleId="TableGrid">
    <w:name w:val="Table Grid"/>
    <w:basedOn w:val="TableNormal"/>
    <w:uiPriority w:val="59"/>
    <w:rsid w:val="00FC693F"/>
    <w:pPr>
      <w:spacing w:after="80" w:line="288" w:lineRule="auto"/>
    </w:pPr>
    <w:rPr>
      <w:rFonts w:ascii="IBM Plex Mono" w:hAnsi="IBM Plex Mono" w:cs="IBM Plex Mono" w:eastAsia="IBM Plex Mono"/>
    </w:rPr>
    <w:tblPr>
      <w:tblInd w:w="0" w:type="dxa"/>
      <w:tblBorders>
        <w:top w:val="single" w:sz="4" w:space="0" w:color="E6E1D6"/>
        <w:left w:val="single" w:sz="4" w:space="0" w:color="E6E1D6"/>
        <w:bottom w:val="single" w:sz="4" w:space="0" w:color="E6E1D6"/>
        <w:right w:val="single" w:sz="4" w:space="0" w:color="E6E1D6"/>
        <w:insideH w:val="single" w:sz="4" w:space="0" w:color="E6E1D6"/>
        <w:insideV w:val="single" w:sz="4" w:space="0" w:color="E6E1D6"/>
      </w:tblBorders>
      <w:tblCellMar>
        <w:top w:w="130" w:type="dxa"/>
        <w:left w:w="160" w:type="dxa"/>
        <w:bottom w:w="130" w:type="dxa"/>
        <w:right w:w="16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basedOn w:val="Normal"/>
    <w:pPr>
      <w:spacing w:after="0"/>
    </w:pPr>
    <w:rPr>
      <w:rFonts w:ascii="Roboto" w:hAnsi="Roboto" w:cs="Roboto" w:eastAsia="Roboto"/>
      <w:b w:val="0"/>
      <w:color w:val="5A5A5E"/>
      <w:sz w:val="22"/>
    </w:rPr>
  </w:style>
  <w:style w:type="paragraph" w:customStyle="1" w:styleId="Date">
    <w:name w:val="Date"/>
    <w:basedOn w:val="Normal"/>
    <w:pPr>
      <w:spacing w:after="320"/>
    </w:pPr>
    <w:rPr>
      <w:rFonts w:ascii="Roboto" w:hAnsi="Roboto" w:cs="Roboto" w:eastAsia="Roboto"/>
      <w:b w:val="0"/>
      <w:color w:val="5A5A5E"/>
      <w:sz w:val="22"/>
    </w:rPr>
  </w:style>
  <w:style w:type="paragraph" w:customStyle="1" w:styleId="Compact">
    <w:name w:val="Compact"/>
    <w:basedOn w:val="Normal"/>
    <w:pPr>
      <w:spacing w:after="40" w:line="288" w:lineRule="auto"/>
    </w:pPr>
    <w:rPr>
      <w:rFonts w:ascii="IBM Plex Mono" w:hAnsi="IBM Plex Mono" w:cs="IBM Plex Mono" w:eastAsia="IBM Plex Mono"/>
      <w:b w:val="0"/>
      <w:color w:val="34343A"/>
      <w:sz w:val="19"/>
    </w:rPr>
  </w:style>
  <w:style w:type="paragraph" w:customStyle="1" w:styleId="FirstParagraph">
    <w:name w:val="First Paragraph"/>
    <w:basedOn w:val="BodyText"/>
    <w:pPr>
      <w:spacing w:after="200"/>
    </w:pPr>
    <w:rPr>
      <w:rFonts w:ascii="Roboto" w:hAnsi="Roboto" w:cs="Roboto" w:eastAsia="Roboto"/>
      <w:b w:val="0"/>
    </w:rPr>
  </w:style>
  <w:style w:type="paragraph" w:customStyle="1" w:styleId="BlockText">
    <w:name w:val="Block Text"/>
    <w:basedOn w:val="Normal"/>
    <w:pPr>
      <w:pBdr>
        <w:left w:val="single" w:sz="18" w:space="14" w:color="6872FF"/>
      </w:pBdr>
      <w:spacing w:after="240"/>
      <w:ind w:left="576"/>
    </w:pPr>
    <w:rPr>
      <w:rFonts w:ascii="Roboto" w:hAnsi="Roboto" w:cs="Roboto" w:eastAsia="Roboto"/>
      <w:b w:val="0"/>
      <w:color w:val="5A5A5E"/>
      <w:sz w:val="21"/>
    </w:rPr>
  </w:style>
  <w:style w:type="paragraph" w:customStyle="1" w:styleId="SourceCode">
    <w:name w:val="Source Code"/>
    <w:basedOn w:val="Normal"/>
    <w:pPr>
      <w:pBdr>
        <w:top w:val="single" w:sz="4" w:space="8" w:color="D9D9E6"/>
        <w:left w:val="single" w:sz="4" w:space="8" w:color="D9D9E6"/>
        <w:bottom w:val="single" w:sz="4" w:space="8" w:color="D9D9E6"/>
        <w:right w:val="single" w:sz="4" w:space="8" w:color="D9D9E6"/>
      </w:pBdr>
      <w:shd w:val="clear" w:color="auto" w:fill="F4F4F8"/>
      <w:spacing w:after="200" w:line="288" w:lineRule="auto"/>
    </w:pPr>
    <w:rPr>
      <w:rFonts w:ascii="IBM Plex Mono" w:hAnsi="IBM Plex Mono" w:cs="IBM Plex Mono" w:eastAsia="IBM Plex Mono"/>
      <w:b w:val="0"/>
      <w:color w:val="34343A"/>
      <w:sz w:val="19"/>
    </w:rPr>
  </w:style>
  <w:style w:type="paragraph" w:customStyle="1" w:styleId="ImageCaption">
    <w:name w:val="Image Caption"/>
    <w:basedOn w:val="Caption"/>
    <w:pPr>
      <w:spacing w:after="240"/>
      <w:jc w:val="left"/>
    </w:pPr>
    <w:rPr>
      <w:rFonts w:ascii="IBM Plex Mono" w:hAnsi="IBM Plex Mono" w:cs="IBM Plex Mono" w:eastAsia="IBM Plex Mono"/>
      <w:b w:val="0"/>
      <w:color w:val="5A5A5E"/>
      <w:sz w:val="18"/>
    </w:rPr>
  </w:style>
  <w:style w:type="paragraph" w:customStyle="1" w:styleId="TableCaption">
    <w:name w:val="Table Caption"/>
    <w:basedOn w:val="Caption"/>
    <w:pPr>
      <w:spacing w:after="160"/>
    </w:pPr>
    <w:rPr>
      <w:rFonts w:ascii="IBM Plex Mono" w:hAnsi="IBM Plex Mono" w:cs="IBM Plex Mono" w:eastAsia="IBM Plex Mono"/>
      <w:b w:val="0"/>
      <w:color w:val="5A5A5E"/>
      <w:sz w:val="18"/>
    </w:rPr>
  </w:style>
  <w:style w:type="paragraph" w:customStyle="1" w:styleId="DefinitionTerm">
    <w:name w:val="Definition Term"/>
    <w:basedOn w:val="Normal"/>
    <w:pPr>
      <w:spacing w:after="0"/>
    </w:pPr>
    <w:rPr>
      <w:rFonts w:ascii="Roboto" w:hAnsi="Roboto" w:cs="Roboto" w:eastAsia="Roboto"/>
      <w:b w:val="0"/>
      <w:color w:val="1C1C1E"/>
      <w:sz w:val="21"/>
    </w:rPr>
  </w:style>
  <w:style w:type="paragraph" w:customStyle="1" w:styleId="Definition">
    <w:name w:val="Definition"/>
    <w:basedOn w:val="Normal"/>
    <w:pPr>
      <w:spacing w:after="160"/>
      <w:ind w:left="432"/>
    </w:pPr>
    <w:rPr>
      <w:rFonts w:ascii="Roboto" w:hAnsi="Roboto" w:cs="Roboto" w:eastAsia="Roboto"/>
      <w:b w:val="0"/>
      <w:color w:val="34343A"/>
      <w:sz w:val="21"/>
    </w:rPr>
  </w:style>
  <w:style w:type="paragraph" w:customStyle="1" w:styleId="FootnoteText">
    <w:name w:val="Footnote Text"/>
    <w:basedOn w:val="Normal"/>
    <w:pPr>
      <w:spacing w:after="80"/>
    </w:pPr>
    <w:rPr>
      <w:rFonts w:ascii="Roboto" w:hAnsi="Roboto" w:cs="Roboto" w:eastAsia="Roboto"/>
      <w:b w:val="0"/>
      <w:color w:val="34343A"/>
      <w:sz w:val="18"/>
    </w:rPr>
  </w:style>
  <w:style w:type="paragraph" w:customStyle="1" w:styleId="TOC1">
    <w:name w:val="TOC 1"/>
    <w:basedOn w:val="Normal"/>
    <w:pPr>
      <w:tabs>
        <w:tab w:pos="9360" w:val="right" w:leader="dot"/>
      </w:tabs>
      <w:spacing w:after="80" w:line="300" w:lineRule="auto"/>
      <w:ind w:left="0"/>
    </w:pPr>
    <w:rPr>
      <w:rFonts w:ascii="Roboto" w:hAnsi="Roboto" w:cs="Roboto" w:eastAsia="Roboto"/>
      <w:b w:val="0"/>
      <w:color w:val="34343A"/>
      <w:sz w:val="21"/>
    </w:rPr>
  </w:style>
  <w:style w:type="paragraph" w:customStyle="1" w:styleId="TOC2">
    <w:name w:val="TOC 2"/>
    <w:basedOn w:val="Normal"/>
    <w:pPr>
      <w:tabs>
        <w:tab w:pos="9360" w:val="right" w:leader="dot"/>
      </w:tabs>
      <w:spacing w:after="40" w:line="300" w:lineRule="auto"/>
      <w:ind w:left="360"/>
    </w:pPr>
    <w:rPr>
      <w:rFonts w:ascii="Roboto" w:hAnsi="Roboto" w:cs="Roboto" w:eastAsia="Roboto"/>
      <w:b w:val="0"/>
      <w:color w:val="34343A"/>
      <w:sz w:val="21"/>
    </w:rPr>
  </w:style>
  <w:style w:type="paragraph" w:customStyle="1" w:styleId="TOC3">
    <w:name w:val="TOC 3"/>
    <w:basedOn w:val="Normal"/>
    <w:pPr>
      <w:tabs>
        <w:tab w:pos="9360" w:val="right" w:leader="dot"/>
      </w:tabs>
      <w:spacing w:after="40" w:line="300" w:lineRule="auto"/>
      <w:ind w:left="720"/>
    </w:pPr>
    <w:rPr>
      <w:rFonts w:ascii="Roboto" w:hAnsi="Roboto" w:cs="Roboto" w:eastAsia="Roboto"/>
      <w:b w:val="0"/>
      <w:color w:val="5A5A5E"/>
      <w:sz w:val="21"/>
    </w:rPr>
  </w:style>
  <w:style w:type="character" w:customStyle="1" w:styleId="VerbatimChar">
    <w:name w:val="Verbatim Char"/>
    <w:rPr>
      <w:rFonts w:ascii="IBM Plex Mono" w:hAnsi="IBM Plex Mono" w:cs="IBM Plex Mono" w:eastAsia="IBM Plex Mono"/>
      <w:color w:val="34343A"/>
      <w:sz w:val="19"/>
      <w:shd w:val="clear" w:color="auto" w:fill="F4F4F8"/>
    </w:rPr>
  </w:style>
  <w:style w:type="character" w:customStyle="1" w:styleId="Hyperlink">
    <w:name w:val="Hyperlink"/>
    <w:rPr>
      <w:color w:val="454BC4"/>
      <w:u w:val="single"/>
    </w:rPr>
  </w:style>
  <w:style w:type="character" w:customStyle="1" w:styleId="FootnoteReference">
    <w:name w:val="Footnote Reference"/>
    <w:rPr>
      <w:color w:val="454BC4"/>
      <w:vertAlign w:val="superscript"/>
    </w:rPr>
  </w:style>
  <w:style w:type="table" w:customStyle="1" w:styleId="Table">
    <w:name w:val="Table"/>
    <w:basedOn w:val="TableGrid"/>
    <w:pPr>
      <w:spacing w:after="80" w:line="288" w:lineRule="auto"/>
    </w:pPr>
    <w:rPr>
      <w:rFonts w:ascii="IBM Plex Mono" w:hAnsi="IBM Plex Mono" w:cs="IBM Plex Mono" w:eastAsia="IBM Plex Mono"/>
    </w:rPr>
    <w:tblPr>
      <w:tblBorders>
        <w:top w:val="single" w:sz="4" w:space="0" w:color="E6E1D6"/>
        <w:left w:val="single" w:sz="4" w:space="0" w:color="E6E1D6"/>
        <w:bottom w:val="single" w:sz="4" w:space="0" w:color="E6E1D6"/>
        <w:right w:val="single" w:sz="4" w:space="0" w:color="E6E1D6"/>
        <w:insideH w:val="single" w:sz="4" w:space="0" w:color="E6E1D6"/>
        <w:insideV w:val="single" w:sz="4" w:space="0" w:color="E6E1D6"/>
      </w:tblBorders>
      <w:tblCellMar>
        <w:top w:w="130" w:type="dxa"/>
        <w:left w:w="160" w:type="dxa"/>
        <w:bottom w:w="130" w:type="dxa"/>
        <w:right w:w="160" w:type="dxa"/>
      </w:tblCellMar>
    </w:tblPr>
  </w:style>
  <w:style w:type="paragraph" w:customStyle="1" w:styleId="PullQuote">
    <w:name w:val="Pull Quote"/>
    <w:basedOn w:val="Normal"/>
    <w:pPr>
      <w:pBdr>
        <w:left w:val="single" w:sz="18" w:space="14" w:color="454BC4"/>
      </w:pBdr>
      <w:spacing w:before="120" w:after="280" w:line="384" w:lineRule="auto"/>
      <w:ind w:left="648" w:right="432"/>
    </w:pPr>
    <w:rPr>
      <w:rFonts w:ascii="Oranienbaum" w:hAnsi="Oranienbaum" w:cs="Oranienbaum" w:eastAsia="Oranienbaum"/>
      <w:b w:val="0"/>
      <w:color w:val="5A5A5E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Oranienbaum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