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single" w:color="CCCCCC" w:sz="4"/>
          <w:right w:val="none" w:color="FFFFFF" w:sz="0"/>
          <w:insideH w:val="single" w:color="auto" w:sz="4"/>
          <w:insideV w:val="single" w:color="auto" w:sz="4"/>
        </w:tblBorders>
      </w:tblPr>
      <w:tblGrid>
        <w:gridCol w:w="3000"/>
        <w:gridCol w:w="3360"/>
        <w:gridCol w:w="3000"/>
      </w:tblGrid>
      <w:tr>
        <w:tc>
          <w:tcPr>
            <w:tcW w:type="dxa" w:w="3000"/>
            <w:tcBorders>
              <w:top w:val="none" w:color="FFFFFF" w:sz="0"/>
              <w:left w:val="none" w:color="FFFFFF" w:sz="0"/>
              <w:bottom w:val="none" w:color="FFFFFF" w:sz="0"/>
              <w:right w:val="none" w:color="FFFFFF" w:sz="0"/>
            </w:tcBorders>
          </w:tcPr>
          <w:p>
            <w:r>
              <w:drawing>
                <wp:inline distT="0" distB="0" distL="0" distR="0">
                  <wp:extent cx="1238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428625"/>
                          </a:xfrm>
                          <a:prstGeom prst="rect">
                            <a:avLst/>
                          </a:prstGeom>
                        </pic:spPr>
                      </pic:pic>
                    </a:graphicData>
                  </a:graphic>
                </wp:inline>
              </w:drawing>
            </w:r>
          </w:p>
        </w:tc>
        <w:tc>
          <w:tcPr>
            <w:tcW w:type="dxa" w:w="3360"/>
            <w:tcBorders>
              <w:top w:val="none" w:color="FFFFFF" w:sz="0"/>
              <w:left w:val="none" w:color="FFFFFF" w:sz="0"/>
              <w:bottom w:val="none" w:color="FFFFFF" w:sz="0"/>
              <w:right w:val="none" w:color="FFFFFF" w:sz="0"/>
            </w:tcBorders>
            <w:vAlign w:val="center"/>
          </w:tcPr>
          <w:p>
            <w:pPr>
              <w:jc w:val="center"/>
            </w:pPr>
            <w:r>
              <w:rPr>
                <w:rFonts w:ascii="Arial" w:cs="Arial" w:eastAsia="Arial" w:hAnsi="Arial"/>
                <w:sz w:val="18"/>
                <w:szCs w:val="18"/>
              </w:rPr>
              <w:t xml:space="preserve">Innovation Centre for Education</w:t>
            </w:r>
          </w:p>
        </w:tc>
        <w:tc>
          <w:tcPr>
            <w:tcW w:type="dxa" w:w="3000"/>
            <w:tcBorders>
              <w:top w:val="none" w:color="FFFFFF" w:sz="0"/>
              <w:left w:val="none" w:color="FFFFFF" w:sz="0"/>
              <w:bottom w:val="none" w:color="FFFFFF" w:sz="0"/>
              <w:right w:val="none" w:color="FFFFFF" w:sz="0"/>
            </w:tcBorders>
          </w:tcPr>
          <w:p>
            <w:pPr>
              <w:jc w:val="right"/>
            </w:pPr>
            <w:r>
              <w:drawing>
                <wp:inline distT="0" distB="0" distL="0" distR="0">
                  <wp:extent cx="10477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276225"/>
                          </a:xfrm>
                          <a:prstGeom prst="rect">
                            <a:avLst/>
                          </a:prstGeom>
                        </pic:spPr>
                      </pic:pic>
                    </a:graphicData>
                  </a:graphic>
                </wp:inline>
              </w:drawing>
            </w:r>
          </w:p>
        </w:tc>
      </w:tr>
    </w:tbl>
    <w:p>
      <w:pPr>
        <w:spacing w:after="0" w:before="1800"/>
        <w:jc w:val="center"/>
      </w:pPr>
      <w:r>
        <w:rPr>
          <w:rFonts w:ascii="Times New Roman" w:cs="Times New Roman" w:eastAsia="Times New Roman" w:hAnsi="Times New Roman"/>
          <w:b/>
          <w:bCs/>
          <w:sz w:val="36"/>
          <w:szCs w:val="36"/>
        </w:rPr>
        <w:t xml:space="preserve">Yenepoya Institute Of Arts, Science, Commerce &amp;</w:t>
      </w:r>
    </w:p>
    <w:p>
      <w:pPr>
        <w:spacing w:after="0" w:before="0"/>
        <w:jc w:val="center"/>
      </w:pPr>
      <w:r>
        <w:rPr>
          <w:rFonts w:ascii="Times New Roman" w:cs="Times New Roman" w:eastAsia="Times New Roman" w:hAnsi="Times New Roman"/>
          <w:b/>
          <w:bCs/>
          <w:sz w:val="36"/>
          <w:szCs w:val="36"/>
        </w:rPr>
        <w:t xml:space="preserve">Management</w:t>
      </w:r>
    </w:p>
    <w:p>
      <w:pPr>
        <w:spacing w:after="0" w:before="1440"/>
        <w:jc w:val="center"/>
      </w:pPr>
      <w:r>
        <w:rPr>
          <w:rFonts w:ascii="Times New Roman" w:cs="Times New Roman" w:eastAsia="Times New Roman" w:hAnsi="Times New Roman"/>
          <w:b/>
          <w:bCs/>
          <w:sz w:val="40"/>
          <w:szCs w:val="40"/>
        </w:rPr>
        <w:t xml:space="preserve">Project – High Level Design</w:t>
      </w:r>
    </w:p>
    <w:p>
      <w:pPr>
        <w:spacing w:after="0" w:before="280"/>
        <w:jc w:val="center"/>
      </w:pPr>
      <w:r>
        <w:rPr>
          <w:rFonts w:ascii="Times New Roman" w:cs="Times New Roman" w:eastAsia="Times New Roman" w:hAnsi="Times New Roman"/>
          <w:b/>
          <w:bCs/>
          <w:sz w:val="40"/>
          <w:szCs w:val="40"/>
        </w:rPr>
        <w:t xml:space="preserve">on</w:t>
      </w:r>
    </w:p>
    <w:p>
      <w:pPr>
        <w:spacing w:after="0" w:before="280"/>
        <w:jc w:val="center"/>
      </w:pPr>
      <w:r>
        <w:rPr>
          <w:rFonts w:ascii="Times New Roman" w:cs="Times New Roman" w:eastAsia="Times New Roman" w:hAnsi="Times New Roman"/>
          <w:b/>
          <w:bCs/>
          <w:sz w:val="40"/>
          <w:szCs w:val="40"/>
        </w:rPr>
        <w:t xml:space="preserve">Performance Evaluation of Serverless Architecture</w:t>
      </w:r>
    </w:p>
    <w:p>
      <w:pPr>
        <w:spacing w:after="0" w:before="0"/>
        <w:jc w:val="center"/>
      </w:pPr>
      <w:r>
        <w:rPr>
          <w:rFonts w:ascii="Times New Roman" w:cs="Times New Roman" w:eastAsia="Times New Roman" w:hAnsi="Times New Roman"/>
          <w:b/>
          <w:bCs/>
          <w:sz w:val="40"/>
          <w:szCs w:val="40"/>
        </w:rPr>
        <w:t xml:space="preserve">for Supply Chain Scalability</w:t>
      </w:r>
    </w:p>
    <w:p>
      <w:pPr>
        <w:spacing w:after="0" w:before="1800"/>
        <w:jc w:val="left"/>
      </w:pPr>
      <w:r>
        <w:rPr>
          <w:rFonts w:ascii="Times New Roman" w:cs="Times New Roman" w:eastAsia="Times New Roman" w:hAnsi="Times New Roman"/>
          <w:b/>
          <w:bCs/>
          <w:sz w:val="26"/>
          <w:szCs w:val="26"/>
          <w:u w:val="single"/>
        </w:rPr>
        <w:t xml:space="preserve">Student Name: </w:t>
      </w:r>
      <w:r>
        <w:rPr>
          <w:rFonts w:ascii="Times New Roman" w:cs="Times New Roman" w:eastAsia="Times New Roman" w:hAnsi="Times New Roman"/>
          <w:b/>
          <w:bCs/>
          <w:sz w:val="26"/>
          <w:szCs w:val="26"/>
        </w:rPr>
        <w:t xml:space="preserve">ARJUN SAJI</w:t>
      </w:r>
    </w:p>
    <w:p>
      <w:pPr>
        <w:spacing w:after="0" w:before="120"/>
        <w:jc w:val="left"/>
      </w:pPr>
      <w:r>
        <w:rPr>
          <w:rFonts w:ascii="Times New Roman" w:cs="Times New Roman" w:eastAsia="Times New Roman" w:hAnsi="Times New Roman"/>
          <w:b/>
          <w:bCs/>
          <w:sz w:val="26"/>
          <w:szCs w:val="26"/>
          <w:u w:val="single"/>
        </w:rPr>
        <w:t xml:space="preserve">Reg No: </w:t>
      </w:r>
      <w:r>
        <w:rPr>
          <w:rFonts w:ascii="Times New Roman" w:cs="Times New Roman" w:eastAsia="Times New Roman" w:hAnsi="Times New Roman"/>
          <w:b/>
          <w:bCs/>
          <w:sz w:val="26"/>
          <w:szCs w:val="26"/>
        </w:rPr>
        <w:t xml:space="preserve">23BCAICD022</w:t>
      </w:r>
    </w:p>
    <w:p>
      <w:pPr>
        <w:tabs>
          <w:tab w:val="left" w:pos="4320"/>
        </w:tabs>
        <w:spacing w:after="0" w:before="1800"/>
        <w:jc w:val="left"/>
      </w:pPr>
      <w:r>
        <w:rPr>
          <w:rFonts w:ascii="Times New Roman" w:cs="Times New Roman" w:eastAsia="Times New Roman" w:hAnsi="Times New Roman"/>
          <w:b/>
          <w:bCs/>
          <w:sz w:val="26"/>
          <w:szCs w:val="26"/>
        </w:rPr>
        <w:t xml:space="preserve"> Industry Mentor: </w:t>
      </w:r>
      <w:r>
        <w:rPr>
          <w:rFonts w:ascii="Times New Roman" w:cs="Times New Roman" w:eastAsia="Times New Roman" w:hAnsi="Times New Roman"/>
          <w:sz w:val="26"/>
          <w:szCs w:val="26"/>
        </w:rPr>
        <w:t xml:space="preserve">  Mr Sumit Kumar</w:t>
      </w:r>
      <w:r>
        <w:rPr>
          <w:sz w:val="26"/>
          <w:szCs w:val="26"/>
        </w:rPr>
        <w:t xml:space="preserve">	</w:t>
      </w:r>
      <w:r>
        <w:rPr>
          <w:rFonts w:ascii="Times New Roman" w:cs="Times New Roman" w:eastAsia="Times New Roman" w:hAnsi="Times New Roman"/>
          <w:b/>
          <w:bCs/>
          <w:sz w:val="26"/>
          <w:szCs w:val="26"/>
        </w:rPr>
        <w:t xml:space="preserve">Guided by: </w:t>
      </w:r>
      <w:r>
        <w:rPr>
          <w:rFonts w:ascii="Times New Roman" w:cs="Times New Roman" w:eastAsia="Times New Roman" w:hAnsi="Times New Roman"/>
          <w:sz w:val="26"/>
          <w:szCs w:val="26"/>
        </w:rPr>
        <w:t xml:space="preserve">  Mr Praveen</w:t>
      </w:r>
    </w:p>
    <w:p>
      <w:pPr>
        <w:sectPr>
          <w:pgSz w:w="12240" w:h="15840" w:orient="portrait"/>
          <w:pgMar w:top="720" w:right="1080" w:bottom="720" w:left="1080" w:header="708" w:footer="708" w:gutter="0"/>
          <w:pgNumType/>
          <w:docGrid w:linePitch="360"/>
        </w:sectPr>
      </w:pPr>
    </w:p>
    <w:tbl>
      <w:tblPr>
        <w:tblW w:type="dxa" w:w="9360"/>
        <w:tblBorders>
          <w:top w:val="none" w:color="FFFFFF" w:sz="0"/>
          <w:left w:val="none" w:color="FFFFFF" w:sz="0"/>
          <w:bottom w:val="single" w:color="CCCCCC" w:sz="4"/>
          <w:right w:val="none" w:color="FFFFFF" w:sz="0"/>
          <w:insideH w:val="single" w:color="auto" w:sz="4"/>
          <w:insideV w:val="single" w:color="auto" w:sz="4"/>
        </w:tblBorders>
      </w:tblPr>
      <w:tblGrid>
        <w:gridCol w:w="3000"/>
        <w:gridCol w:w="3360"/>
        <w:gridCol w:w="3000"/>
      </w:tblGrid>
      <w:tr>
        <w:tc>
          <w:tcPr>
            <w:tcW w:type="dxa" w:w="3000"/>
            <w:tcBorders>
              <w:top w:val="none" w:color="FFFFFF" w:sz="0"/>
              <w:left w:val="none" w:color="FFFFFF" w:sz="0"/>
              <w:bottom w:val="none" w:color="FFFFFF" w:sz="0"/>
              <w:right w:val="none" w:color="FFFFFF" w:sz="0"/>
            </w:tcBorders>
          </w:tcPr>
          <w:p>
            <w:r>
              <w:drawing>
                <wp:inline distT="0" distB="0" distL="0" distR="0">
                  <wp:extent cx="1238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428625"/>
                          </a:xfrm>
                          <a:prstGeom prst="rect">
                            <a:avLst/>
                          </a:prstGeom>
                        </pic:spPr>
                      </pic:pic>
                    </a:graphicData>
                  </a:graphic>
                </wp:inline>
              </w:drawing>
            </w:r>
          </w:p>
        </w:tc>
        <w:tc>
          <w:tcPr>
            <w:tcW w:type="dxa" w:w="3360"/>
            <w:tcBorders>
              <w:top w:val="none" w:color="FFFFFF" w:sz="0"/>
              <w:left w:val="none" w:color="FFFFFF" w:sz="0"/>
              <w:bottom w:val="none" w:color="FFFFFF" w:sz="0"/>
              <w:right w:val="none" w:color="FFFFFF" w:sz="0"/>
            </w:tcBorders>
            <w:vAlign w:val="center"/>
          </w:tcPr>
          <w:p>
            <w:pPr>
              <w:jc w:val="center"/>
            </w:pPr>
            <w:r>
              <w:rPr>
                <w:rFonts w:ascii="Arial" w:cs="Arial" w:eastAsia="Arial" w:hAnsi="Arial"/>
                <w:sz w:val="18"/>
                <w:szCs w:val="18"/>
              </w:rPr>
              <w:t xml:space="preserve">Innovation Centre for Education</w:t>
            </w:r>
          </w:p>
        </w:tc>
        <w:tc>
          <w:tcPr>
            <w:tcW w:type="dxa" w:w="3000"/>
            <w:tcBorders>
              <w:top w:val="none" w:color="FFFFFF" w:sz="0"/>
              <w:left w:val="none" w:color="FFFFFF" w:sz="0"/>
              <w:bottom w:val="none" w:color="FFFFFF" w:sz="0"/>
              <w:right w:val="none" w:color="FFFFFF" w:sz="0"/>
            </w:tcBorders>
          </w:tcPr>
          <w:p>
            <w:pPr>
              <w:jc w:val="right"/>
            </w:pPr>
            <w:r>
              <w:drawing>
                <wp:inline distT="0" distB="0" distL="0" distR="0">
                  <wp:extent cx="10477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276225"/>
                          </a:xfrm>
                          <a:prstGeom prst="rect">
                            <a:avLst/>
                          </a:prstGeom>
                        </pic:spPr>
                      </pic:pic>
                    </a:graphicData>
                  </a:graphic>
                </wp:inline>
              </w:drawing>
            </w:r>
          </w:p>
        </w:tc>
      </w:tr>
    </w:tbl>
    <w:p>
      <w:pPr>
        <w:spacing w:after="600" w:before="600"/>
        <w:jc w:val="center"/>
      </w:pPr>
      <w:r>
        <w:rPr>
          <w:rFonts w:ascii="Times New Roman" w:cs="Times New Roman" w:eastAsia="Times New Roman" w:hAnsi="Times New Roman"/>
          <w:b/>
          <w:bCs/>
          <w:sz w:val="32"/>
          <w:szCs w:val="32"/>
          <w:u w:val="single"/>
        </w:rPr>
        <w:t xml:space="preserve">Table of Contents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5400"/>
        <w:gridCol w:w="1800"/>
      </w:tblGrid>
      <w:tr>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CONTENT</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PAGE NO</w:t>
            </w:r>
          </w:p>
        </w:tc>
      </w:tr>
      <w:tr>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Introduction</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w:t>
            </w:r>
          </w:p>
        </w:tc>
      </w:tr>
      <w:tr>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Project Objectives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w:t>
            </w:r>
          </w:p>
        </w:tc>
      </w:tr>
      <w:tr>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System Architecture Overview</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w:t>
            </w:r>
          </w:p>
        </w:tc>
      </w:tr>
      <w:tr>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High-Level Component Diagram</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w:t>
            </w:r>
          </w:p>
        </w:tc>
      </w:tr>
      <w:tr>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Key Architectural Decisions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w:t>
            </w:r>
          </w:p>
        </w:tc>
      </w:tr>
      <w:tr>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Technology Stack</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w:t>
            </w:r>
          </w:p>
        </w:tc>
      </w:tr>
      <w:tr>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Challenges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w:t>
            </w:r>
          </w:p>
        </w:tc>
      </w:tr>
      <w:tr>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References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w:t>
            </w:r>
          </w:p>
        </w:tc>
      </w:tr>
    </w:tbl>
    <w:p>
      <w:pPr>
        <w:spacing w:after="40" w:before="40"/>
        <w:jc w:val="right"/>
      </w:pPr>
      <w:r>
        <w:rPr>
          <w:rFonts w:ascii="Times New Roman" w:cs="Times New Roman" w:eastAsia="Times New Roman" w:hAnsi="Times New Roman"/>
          <w:sz w:val="22"/>
          <w:szCs w:val="22"/>
        </w:rPr>
        <w:t xml:space="preserve">1</w:t>
      </w:r>
    </w:p>
    <w:p>
      <w:pPr>
        <w:sectPr>
          <w:pgSz w:w="12240" w:h="15840" w:orient="portrait"/>
          <w:pgMar w:top="720" w:right="1080" w:bottom="720" w:left="1080" w:header="708" w:footer="708" w:gutter="0"/>
          <w:pgNumType/>
          <w:docGrid w:linePitch="360"/>
        </w:sectPr>
      </w:pPr>
    </w:p>
    <w:tbl>
      <w:tblPr>
        <w:tblW w:type="dxa" w:w="9360"/>
        <w:tblBorders>
          <w:top w:val="none" w:color="FFFFFF" w:sz="0"/>
          <w:left w:val="none" w:color="FFFFFF" w:sz="0"/>
          <w:bottom w:val="single" w:color="CCCCCC" w:sz="4"/>
          <w:right w:val="none" w:color="FFFFFF" w:sz="0"/>
          <w:insideH w:val="single" w:color="auto" w:sz="4"/>
          <w:insideV w:val="single" w:color="auto" w:sz="4"/>
        </w:tblBorders>
      </w:tblPr>
      <w:tblGrid>
        <w:gridCol w:w="3000"/>
        <w:gridCol w:w="3360"/>
        <w:gridCol w:w="3000"/>
      </w:tblGrid>
      <w:tr>
        <w:tc>
          <w:tcPr>
            <w:tcW w:type="dxa" w:w="3000"/>
            <w:tcBorders>
              <w:top w:val="none" w:color="FFFFFF" w:sz="0"/>
              <w:left w:val="none" w:color="FFFFFF" w:sz="0"/>
              <w:bottom w:val="none" w:color="FFFFFF" w:sz="0"/>
              <w:right w:val="none" w:color="FFFFFF" w:sz="0"/>
            </w:tcBorders>
          </w:tcPr>
          <w:p>
            <w:r>
              <w:drawing>
                <wp:inline distT="0" distB="0" distL="0" distR="0">
                  <wp:extent cx="1238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428625"/>
                          </a:xfrm>
                          <a:prstGeom prst="rect">
                            <a:avLst/>
                          </a:prstGeom>
                        </pic:spPr>
                      </pic:pic>
                    </a:graphicData>
                  </a:graphic>
                </wp:inline>
              </w:drawing>
            </w:r>
          </w:p>
        </w:tc>
        <w:tc>
          <w:tcPr>
            <w:tcW w:type="dxa" w:w="3360"/>
            <w:tcBorders>
              <w:top w:val="none" w:color="FFFFFF" w:sz="0"/>
              <w:left w:val="none" w:color="FFFFFF" w:sz="0"/>
              <w:bottom w:val="none" w:color="FFFFFF" w:sz="0"/>
              <w:right w:val="none" w:color="FFFFFF" w:sz="0"/>
            </w:tcBorders>
            <w:vAlign w:val="center"/>
          </w:tcPr>
          <w:p>
            <w:pPr>
              <w:jc w:val="center"/>
            </w:pPr>
            <w:r>
              <w:rPr>
                <w:rFonts w:ascii="Arial" w:cs="Arial" w:eastAsia="Arial" w:hAnsi="Arial"/>
                <w:sz w:val="18"/>
                <w:szCs w:val="18"/>
              </w:rPr>
              <w:t xml:space="preserve">Innovation Centre for Education</w:t>
            </w:r>
          </w:p>
        </w:tc>
        <w:tc>
          <w:tcPr>
            <w:tcW w:type="dxa" w:w="3000"/>
            <w:tcBorders>
              <w:top w:val="none" w:color="FFFFFF" w:sz="0"/>
              <w:left w:val="none" w:color="FFFFFF" w:sz="0"/>
              <w:bottom w:val="none" w:color="FFFFFF" w:sz="0"/>
              <w:right w:val="none" w:color="FFFFFF" w:sz="0"/>
            </w:tcBorders>
          </w:tcPr>
          <w:p>
            <w:pPr>
              <w:jc w:val="right"/>
            </w:pPr>
            <w:r>
              <w:drawing>
                <wp:inline distT="0" distB="0" distL="0" distR="0">
                  <wp:extent cx="10477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276225"/>
                          </a:xfrm>
                          <a:prstGeom prst="rect">
                            <a:avLst/>
                          </a:prstGeom>
                        </pic:spPr>
                      </pic:pic>
                    </a:graphicData>
                  </a:graphic>
                </wp:inline>
              </w:drawing>
            </w:r>
          </w:p>
        </w:tc>
      </w:tr>
    </w:tbl>
    <w:p>
      <w:pPr>
        <w:spacing w:after="200" w:before="400"/>
        <w:jc w:val="center"/>
      </w:pPr>
      <w:r>
        <w:rPr>
          <w:rFonts w:ascii="Times New Roman" w:cs="Times New Roman" w:eastAsia="Times New Roman" w:hAnsi="Times New Roman"/>
          <w:b/>
          <w:bCs/>
          <w:sz w:val="28"/>
          <w:szCs w:val="28"/>
          <w:u w:val="single"/>
        </w:rPr>
        <w:t xml:space="preserve">INTRODUCTION</w:t>
      </w:r>
    </w:p>
    <w:p>
      <w:pPr>
        <w:spacing w:after="160" w:before="160"/>
        <w:jc w:val="both"/>
      </w:pPr>
      <w:r>
        <w:rPr>
          <w:rFonts w:ascii="Times New Roman" w:cs="Times New Roman" w:eastAsia="Times New Roman" w:hAnsi="Times New Roman"/>
          <w:sz w:val="24"/>
          <w:szCs w:val="24"/>
        </w:rPr>
        <w:t xml:space="preserve">The exponential growth of e-commerce, global manufacturing networks, and just-in-time inventory systems has placed immense scalability demands on supply chain IT platforms. Traditional monolithic and microservice architectures often struggle to handle unpredictable demand spikes without significant over-provisioning of compute resources. Serverless computing presents a compelling alternative, offering automatic scaling, reduced operational complexity, and a consumption-based cost model.</w:t>
      </w:r>
    </w:p>
    <w:p>
      <w:pPr>
        <w:spacing w:after="160" w:before="160"/>
        <w:jc w:val="both"/>
      </w:pPr>
      <w:r>
        <w:rPr>
          <w:rFonts w:ascii="Times New Roman" w:cs="Times New Roman" w:eastAsia="Times New Roman" w:hAnsi="Times New Roman"/>
          <w:sz w:val="24"/>
          <w:szCs w:val="24"/>
        </w:rPr>
        <w:t xml:space="preserve">This High Level Design document outlines the architectural blueprint for the Performance Evaluation of Serverless Architecture for Supply Chain Scalability project. The design captures the top-level system structure, component interactions, integration points, and the rationale behind key architectural decisions.</w:t>
      </w:r>
    </w:p>
    <w:p>
      <w:pPr>
        <w:spacing w:after="160" w:before="160"/>
        <w:jc w:val="both"/>
      </w:pPr>
      <w:r>
        <w:rPr>
          <w:rFonts w:ascii="Times New Roman" w:cs="Times New Roman" w:eastAsia="Times New Roman" w:hAnsi="Times New Roman"/>
          <w:sz w:val="24"/>
          <w:szCs w:val="24"/>
        </w:rPr>
        <w:t xml:space="preserve">The architecture is designed around three principal concerns: representativeness of supply chain workload patterns, rigor of performance measurement methodology, and extensibility of the evaluation framework to accommodate emerging serverless platforms and runtime environments.</w:t>
      </w:r>
    </w:p>
    <w:p>
      <w:pPr>
        <w:spacing w:after="160" w:before="160"/>
        <w:jc w:val="both"/>
      </w:pPr>
      <w:r>
        <w:rPr>
          <w:rFonts w:ascii="Times New Roman" w:cs="Times New Roman" w:eastAsia="Times New Roman" w:hAnsi="Times New Roman"/>
          <w:sz w:val="24"/>
          <w:szCs w:val="24"/>
        </w:rPr>
        <w:t xml:space="preserve">The system integrates cloud-native serverless runtimes, distributed load generation infrastructure, and a centralized performance analytics pipeline. The evaluation framework is provider-agnostic and supports parallel benchmarking across AWS Lambda, Azure Functions, and Google Cloud Functions, enabling comparative analysis under identical workload conditions.</w:t>
      </w:r>
    </w:p>
    <w:p>
      <w:pPr>
        <w:spacing w:after="160" w:before="160"/>
        <w:jc w:val="both"/>
      </w:pPr>
      <w:r>
        <w:rPr>
          <w:rFonts w:ascii="Times New Roman" w:cs="Times New Roman" w:eastAsia="Times New Roman" w:hAnsi="Times New Roman"/>
          <w:sz w:val="24"/>
          <w:szCs w:val="24"/>
        </w:rPr>
        <w:t xml:space="preserve">This document is intended for system architects, cloud engineers, and academic reviewers who need to understand the structural design of the evaluation platform before engaging with lower-level implementation details described in the corresponding Low Level Design document.</w:t>
      </w:r>
    </w:p>
    <w:p>
      <w:pPr>
        <w:spacing w:after="40" w:before="40"/>
        <w:jc w:val="right"/>
      </w:pPr>
      <w:r>
        <w:rPr>
          <w:rFonts w:ascii="Times New Roman" w:cs="Times New Roman" w:eastAsia="Times New Roman" w:hAnsi="Times New Roman"/>
          <w:sz w:val="22"/>
          <w:szCs w:val="22"/>
        </w:rPr>
        <w:t xml:space="preserve">2</w:t>
      </w:r>
    </w:p>
    <w:p>
      <w:pPr>
        <w:sectPr>
          <w:pgSz w:w="12240" w:h="15840" w:orient="portrait"/>
          <w:pgMar w:top="720" w:right="1080" w:bottom="720" w:left="1080" w:header="708" w:footer="708" w:gutter="0"/>
          <w:pgNumType/>
          <w:docGrid w:linePitch="360"/>
        </w:sectPr>
      </w:pPr>
    </w:p>
    <w:tbl>
      <w:tblPr>
        <w:tblW w:type="dxa" w:w="9360"/>
        <w:tblBorders>
          <w:top w:val="none" w:color="FFFFFF" w:sz="0"/>
          <w:left w:val="none" w:color="FFFFFF" w:sz="0"/>
          <w:bottom w:val="single" w:color="CCCCCC" w:sz="4"/>
          <w:right w:val="none" w:color="FFFFFF" w:sz="0"/>
          <w:insideH w:val="single" w:color="auto" w:sz="4"/>
          <w:insideV w:val="single" w:color="auto" w:sz="4"/>
        </w:tblBorders>
      </w:tblPr>
      <w:tblGrid>
        <w:gridCol w:w="3000"/>
        <w:gridCol w:w="3360"/>
        <w:gridCol w:w="3000"/>
      </w:tblGrid>
      <w:tr>
        <w:tc>
          <w:tcPr>
            <w:tcW w:type="dxa" w:w="3000"/>
            <w:tcBorders>
              <w:top w:val="none" w:color="FFFFFF" w:sz="0"/>
              <w:left w:val="none" w:color="FFFFFF" w:sz="0"/>
              <w:bottom w:val="none" w:color="FFFFFF" w:sz="0"/>
              <w:right w:val="none" w:color="FFFFFF" w:sz="0"/>
            </w:tcBorders>
          </w:tcPr>
          <w:p>
            <w:r>
              <w:drawing>
                <wp:inline distT="0" distB="0" distL="0" distR="0">
                  <wp:extent cx="1238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428625"/>
                          </a:xfrm>
                          <a:prstGeom prst="rect">
                            <a:avLst/>
                          </a:prstGeom>
                        </pic:spPr>
                      </pic:pic>
                    </a:graphicData>
                  </a:graphic>
                </wp:inline>
              </w:drawing>
            </w:r>
          </w:p>
        </w:tc>
        <w:tc>
          <w:tcPr>
            <w:tcW w:type="dxa" w:w="3360"/>
            <w:tcBorders>
              <w:top w:val="none" w:color="FFFFFF" w:sz="0"/>
              <w:left w:val="none" w:color="FFFFFF" w:sz="0"/>
              <w:bottom w:val="none" w:color="FFFFFF" w:sz="0"/>
              <w:right w:val="none" w:color="FFFFFF" w:sz="0"/>
            </w:tcBorders>
            <w:vAlign w:val="center"/>
          </w:tcPr>
          <w:p>
            <w:pPr>
              <w:jc w:val="center"/>
            </w:pPr>
            <w:r>
              <w:rPr>
                <w:rFonts w:ascii="Arial" w:cs="Arial" w:eastAsia="Arial" w:hAnsi="Arial"/>
                <w:sz w:val="18"/>
                <w:szCs w:val="18"/>
              </w:rPr>
              <w:t xml:space="preserve">Innovation Centre for Education</w:t>
            </w:r>
          </w:p>
        </w:tc>
        <w:tc>
          <w:tcPr>
            <w:tcW w:type="dxa" w:w="3000"/>
            <w:tcBorders>
              <w:top w:val="none" w:color="FFFFFF" w:sz="0"/>
              <w:left w:val="none" w:color="FFFFFF" w:sz="0"/>
              <w:bottom w:val="none" w:color="FFFFFF" w:sz="0"/>
              <w:right w:val="none" w:color="FFFFFF" w:sz="0"/>
            </w:tcBorders>
          </w:tcPr>
          <w:p>
            <w:pPr>
              <w:jc w:val="right"/>
            </w:pPr>
            <w:r>
              <w:drawing>
                <wp:inline distT="0" distB="0" distL="0" distR="0">
                  <wp:extent cx="10477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276225"/>
                          </a:xfrm>
                          <a:prstGeom prst="rect">
                            <a:avLst/>
                          </a:prstGeom>
                        </pic:spPr>
                      </pic:pic>
                    </a:graphicData>
                  </a:graphic>
                </wp:inline>
              </w:drawing>
            </w:r>
          </w:p>
        </w:tc>
      </w:tr>
    </w:tbl>
    <w:p>
      <w:pPr>
        <w:spacing w:after="200" w:before="400"/>
        <w:jc w:val="center"/>
      </w:pPr>
      <w:r>
        <w:rPr>
          <w:rFonts w:ascii="Times New Roman" w:cs="Times New Roman" w:eastAsia="Times New Roman" w:hAnsi="Times New Roman"/>
          <w:b/>
          <w:bCs/>
          <w:sz w:val="28"/>
          <w:szCs w:val="28"/>
          <w:u w:val="single"/>
        </w:rPr>
        <w:t xml:space="preserve">PROJECT OBJECTIVES</w:t>
      </w:r>
    </w:p>
    <w:p>
      <w:pPr>
        <w:pStyle w:val="ListParagraph"/>
        <w:numPr>
          <w:ilvl w:val="0"/>
          <w:numId w:val="2"/>
        </w:numPr>
        <w:spacing w:after="80" w:before="80"/>
      </w:pPr>
      <w:r>
        <w:rPr>
          <w:rFonts w:ascii="Times New Roman" w:cs="Times New Roman" w:eastAsia="Times New Roman" w:hAnsi="Times New Roman"/>
          <w:sz w:val="24"/>
          <w:szCs w:val="24"/>
        </w:rPr>
        <w:t xml:space="preserve">Design a scalable, provider-agnostic evaluation framework capable of benchmarking serverless functions representative of real-world supply chain operations including order processing, inventory look-up, and shipment tracking.</w:t>
      </w:r>
    </w:p>
    <w:p>
      <w:pPr>
        <w:pStyle w:val="ListParagraph"/>
        <w:numPr>
          <w:ilvl w:val="0"/>
          <w:numId w:val="2"/>
        </w:numPr>
        <w:spacing w:after="80" w:before="80"/>
      </w:pPr>
      <w:r>
        <w:rPr>
          <w:rFonts w:ascii="Times New Roman" w:cs="Times New Roman" w:eastAsia="Times New Roman" w:hAnsi="Times New Roman"/>
          <w:sz w:val="24"/>
          <w:szCs w:val="24"/>
        </w:rPr>
        <w:t xml:space="preserve">Establish a standardized set of performance metrics — including cold start latency, P50/P95/P99 response times, throughput (RPS), error rate, and cost per invocation — that enable objective cross-provider comparisons.</w:t>
      </w:r>
    </w:p>
    <w:p>
      <w:pPr>
        <w:pStyle w:val="ListParagraph"/>
        <w:numPr>
          <w:ilvl w:val="0"/>
          <w:numId w:val="2"/>
        </w:numPr>
        <w:spacing w:after="80" w:before="80"/>
      </w:pPr>
      <w:r>
        <w:rPr>
          <w:rFonts w:ascii="Times New Roman" w:cs="Times New Roman" w:eastAsia="Times New Roman" w:hAnsi="Times New Roman"/>
          <w:sz w:val="24"/>
          <w:szCs w:val="24"/>
        </w:rPr>
        <w:t xml:space="preserve">Architect a load generation subsystem capable of emulating diverse traffic profiles such as steady-state baseline load, sudden burst events, and gradual ramp-up scenarios that mirror supply chain peak seasons.</w:t>
      </w:r>
    </w:p>
    <w:p>
      <w:pPr>
        <w:pStyle w:val="ListParagraph"/>
        <w:numPr>
          <w:ilvl w:val="0"/>
          <w:numId w:val="2"/>
        </w:numPr>
        <w:spacing w:after="80" w:before="80"/>
      </w:pPr>
      <w:r>
        <w:rPr>
          <w:rFonts w:ascii="Times New Roman" w:cs="Times New Roman" w:eastAsia="Times New Roman" w:hAnsi="Times New Roman"/>
          <w:sz w:val="24"/>
          <w:szCs w:val="24"/>
        </w:rPr>
        <w:t xml:space="preserve">Design a telemetry and analytics pipeline that aggregates performance data from heterogeneous cloud monitoring APIs into a unified data model suitable for automated report generation and statistical analysis.</w:t>
      </w:r>
    </w:p>
    <w:p>
      <w:pPr>
        <w:spacing w:after="200" w:before="400"/>
        <w:jc w:val="center"/>
      </w:pPr>
      <w:r>
        <w:rPr>
          <w:rFonts w:ascii="Times New Roman" w:cs="Times New Roman" w:eastAsia="Times New Roman" w:hAnsi="Times New Roman"/>
          <w:b/>
          <w:bCs/>
          <w:sz w:val="28"/>
          <w:szCs w:val="28"/>
          <w:u w:val="single"/>
        </w:rPr>
        <w:t xml:space="preserve">SYSTEM ARCHITECTURE OVERVIEW</w:t>
      </w:r>
    </w:p>
    <w:p>
      <w:pPr>
        <w:spacing w:after="160" w:before="160"/>
        <w:jc w:val="both"/>
      </w:pPr>
      <w:r>
        <w:rPr>
          <w:rFonts w:ascii="Times New Roman" w:cs="Times New Roman" w:eastAsia="Times New Roman" w:hAnsi="Times New Roman"/>
          <w:sz w:val="24"/>
          <w:szCs w:val="24"/>
        </w:rPr>
        <w:t xml:space="preserve">The system is organized into four primary architectural layers, each with well-defined responsibilities and interfaces.</w:t>
      </w:r>
    </w:p>
    <w:p>
      <w:pPr>
        <w:spacing w:after="60" w:before="100"/>
      </w:pPr>
      <w:r>
        <w:rPr>
          <w:rFonts w:ascii="Times New Roman" w:cs="Times New Roman" w:eastAsia="Times New Roman" w:hAnsi="Times New Roman"/>
          <w:b/>
          <w:bCs/>
          <w:sz w:val="24"/>
          <w:szCs w:val="24"/>
        </w:rPr>
        <w:t xml:space="preserve">Architectural Layers:</w:t>
      </w:r>
    </w:p>
    <w:p>
      <w:pPr>
        <w:pStyle w:val="ListParagraph"/>
        <w:numPr>
          <w:ilvl w:val="0"/>
          <w:numId w:val="2"/>
        </w:numPr>
        <w:spacing w:after="80" w:before="80"/>
      </w:pPr>
      <w:r>
        <w:rPr>
          <w:rFonts w:ascii="Times New Roman" w:cs="Times New Roman" w:eastAsia="Times New Roman" w:hAnsi="Times New Roman"/>
          <w:b/>
          <w:bCs/>
          <w:sz w:val="24"/>
          <w:szCs w:val="24"/>
        </w:rPr>
        <w:t xml:space="preserve">Workload Layer: </w:t>
      </w:r>
      <w:r>
        <w:rPr>
          <w:rFonts w:ascii="Times New Roman" w:cs="Times New Roman" w:eastAsia="Times New Roman" w:hAnsi="Times New Roman"/>
          <w:sz w:val="24"/>
          <w:szCs w:val="24"/>
        </w:rPr>
        <w:t xml:space="preserve">Defines and generates synthetic supply chain event streams managed by the Load Generation Service.</w:t>
      </w:r>
    </w:p>
    <w:p>
      <w:pPr>
        <w:pStyle w:val="ListParagraph"/>
        <w:numPr>
          <w:ilvl w:val="0"/>
          <w:numId w:val="2"/>
        </w:numPr>
        <w:spacing w:after="80" w:before="80"/>
      </w:pPr>
      <w:r>
        <w:rPr>
          <w:rFonts w:ascii="Times New Roman" w:cs="Times New Roman" w:eastAsia="Times New Roman" w:hAnsi="Times New Roman"/>
          <w:b/>
          <w:bCs/>
          <w:sz w:val="24"/>
          <w:szCs w:val="24"/>
        </w:rPr>
        <w:t xml:space="preserve">Execution Layer: </w:t>
      </w:r>
      <w:r>
        <w:rPr>
          <w:rFonts w:ascii="Times New Roman" w:cs="Times New Roman" w:eastAsia="Times New Roman" w:hAnsi="Times New Roman"/>
          <w:sz w:val="24"/>
          <w:szCs w:val="24"/>
        </w:rPr>
        <w:t xml:space="preserve">Serverless functions deployed on target cloud platforms, each implementing a representative supply chain operation.</w:t>
      </w:r>
    </w:p>
    <w:p>
      <w:pPr>
        <w:pStyle w:val="ListParagraph"/>
        <w:numPr>
          <w:ilvl w:val="0"/>
          <w:numId w:val="2"/>
        </w:numPr>
        <w:spacing w:after="80" w:before="80"/>
      </w:pPr>
      <w:r>
        <w:rPr>
          <w:rFonts w:ascii="Times New Roman" w:cs="Times New Roman" w:eastAsia="Times New Roman" w:hAnsi="Times New Roman"/>
          <w:b/>
          <w:bCs/>
          <w:sz w:val="24"/>
          <w:szCs w:val="24"/>
        </w:rPr>
        <w:t xml:space="preserve">Observability Layer: </w:t>
      </w:r>
      <w:r>
        <w:rPr>
          <w:rFonts w:ascii="Times New Roman" w:cs="Times New Roman" w:eastAsia="Times New Roman" w:hAnsi="Times New Roman"/>
          <w:sz w:val="24"/>
          <w:szCs w:val="24"/>
        </w:rPr>
        <w:t xml:space="preserve">Collects, normalizes, and stores performance telemetry from cloud-native monitoring APIs.</w:t>
      </w:r>
    </w:p>
    <w:p>
      <w:pPr>
        <w:pStyle w:val="ListParagraph"/>
        <w:numPr>
          <w:ilvl w:val="0"/>
          <w:numId w:val="2"/>
        </w:numPr>
        <w:spacing w:after="80" w:before="80"/>
      </w:pPr>
      <w:r>
        <w:rPr>
          <w:rFonts w:ascii="Times New Roman" w:cs="Times New Roman" w:eastAsia="Times New Roman" w:hAnsi="Times New Roman"/>
          <w:b/>
          <w:bCs/>
          <w:sz w:val="24"/>
          <w:szCs w:val="24"/>
        </w:rPr>
        <w:t xml:space="preserve">Analytics &amp; Presentation Layer: </w:t>
      </w:r>
      <w:r>
        <w:rPr>
          <w:rFonts w:ascii="Times New Roman" w:cs="Times New Roman" w:eastAsia="Times New Roman" w:hAnsi="Times New Roman"/>
          <w:sz w:val="24"/>
          <w:szCs w:val="24"/>
        </w:rPr>
        <w:t xml:space="preserve">Processes raw metrics into statistical summaries and presents results through an interactive web dashboard.</w:t>
      </w:r>
    </w:p>
    <w:p>
      <w:pPr>
        <w:spacing w:after="40" w:before="40"/>
        <w:jc w:val="right"/>
      </w:pPr>
      <w:r>
        <w:rPr>
          <w:rFonts w:ascii="Times New Roman" w:cs="Times New Roman" w:eastAsia="Times New Roman" w:hAnsi="Times New Roman"/>
          <w:sz w:val="22"/>
          <w:szCs w:val="22"/>
        </w:rPr>
        <w:t xml:space="preserve">3</w:t>
      </w:r>
    </w:p>
    <w:p>
      <w:pPr>
        <w:sectPr>
          <w:pgSz w:w="12240" w:h="15840" w:orient="portrait"/>
          <w:pgMar w:top="720" w:right="1080" w:bottom="720" w:left="1080" w:header="708" w:footer="708" w:gutter="0"/>
          <w:pgNumType/>
          <w:docGrid w:linePitch="360"/>
        </w:sectPr>
      </w:pPr>
    </w:p>
    <w:tbl>
      <w:tblPr>
        <w:tblW w:type="dxa" w:w="9360"/>
        <w:tblBorders>
          <w:top w:val="none" w:color="FFFFFF" w:sz="0"/>
          <w:left w:val="none" w:color="FFFFFF" w:sz="0"/>
          <w:bottom w:val="single" w:color="CCCCCC" w:sz="4"/>
          <w:right w:val="none" w:color="FFFFFF" w:sz="0"/>
          <w:insideH w:val="single" w:color="auto" w:sz="4"/>
          <w:insideV w:val="single" w:color="auto" w:sz="4"/>
        </w:tblBorders>
      </w:tblPr>
      <w:tblGrid>
        <w:gridCol w:w="3000"/>
        <w:gridCol w:w="3360"/>
        <w:gridCol w:w="3000"/>
      </w:tblGrid>
      <w:tr>
        <w:tc>
          <w:tcPr>
            <w:tcW w:type="dxa" w:w="3000"/>
            <w:tcBorders>
              <w:top w:val="none" w:color="FFFFFF" w:sz="0"/>
              <w:left w:val="none" w:color="FFFFFF" w:sz="0"/>
              <w:bottom w:val="none" w:color="FFFFFF" w:sz="0"/>
              <w:right w:val="none" w:color="FFFFFF" w:sz="0"/>
            </w:tcBorders>
          </w:tcPr>
          <w:p>
            <w:r>
              <w:drawing>
                <wp:inline distT="0" distB="0" distL="0" distR="0">
                  <wp:extent cx="1238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428625"/>
                          </a:xfrm>
                          <a:prstGeom prst="rect">
                            <a:avLst/>
                          </a:prstGeom>
                        </pic:spPr>
                      </pic:pic>
                    </a:graphicData>
                  </a:graphic>
                </wp:inline>
              </w:drawing>
            </w:r>
          </w:p>
        </w:tc>
        <w:tc>
          <w:tcPr>
            <w:tcW w:type="dxa" w:w="3360"/>
            <w:tcBorders>
              <w:top w:val="none" w:color="FFFFFF" w:sz="0"/>
              <w:left w:val="none" w:color="FFFFFF" w:sz="0"/>
              <w:bottom w:val="none" w:color="FFFFFF" w:sz="0"/>
              <w:right w:val="none" w:color="FFFFFF" w:sz="0"/>
            </w:tcBorders>
            <w:vAlign w:val="center"/>
          </w:tcPr>
          <w:p>
            <w:pPr>
              <w:jc w:val="center"/>
            </w:pPr>
            <w:r>
              <w:rPr>
                <w:rFonts w:ascii="Arial" w:cs="Arial" w:eastAsia="Arial" w:hAnsi="Arial"/>
                <w:sz w:val="18"/>
                <w:szCs w:val="18"/>
              </w:rPr>
              <w:t xml:space="preserve">Innovation Centre for Education</w:t>
            </w:r>
          </w:p>
        </w:tc>
        <w:tc>
          <w:tcPr>
            <w:tcW w:type="dxa" w:w="3000"/>
            <w:tcBorders>
              <w:top w:val="none" w:color="FFFFFF" w:sz="0"/>
              <w:left w:val="none" w:color="FFFFFF" w:sz="0"/>
              <w:bottom w:val="none" w:color="FFFFFF" w:sz="0"/>
              <w:right w:val="none" w:color="FFFFFF" w:sz="0"/>
            </w:tcBorders>
          </w:tcPr>
          <w:p>
            <w:pPr>
              <w:jc w:val="right"/>
            </w:pPr>
            <w:r>
              <w:drawing>
                <wp:inline distT="0" distB="0" distL="0" distR="0">
                  <wp:extent cx="10477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276225"/>
                          </a:xfrm>
                          <a:prstGeom prst="rect">
                            <a:avLst/>
                          </a:prstGeom>
                        </pic:spPr>
                      </pic:pic>
                    </a:graphicData>
                  </a:graphic>
                </wp:inline>
              </w:drawing>
            </w:r>
          </w:p>
        </w:tc>
      </w:tr>
    </w:tbl>
    <w:p>
      <w:pPr>
        <w:spacing w:after="200" w:before="400"/>
        <w:jc w:val="center"/>
      </w:pPr>
      <w:r>
        <w:rPr>
          <w:rFonts w:ascii="Times New Roman" w:cs="Times New Roman" w:eastAsia="Times New Roman" w:hAnsi="Times New Roman"/>
          <w:b/>
          <w:bCs/>
          <w:sz w:val="28"/>
          <w:szCs w:val="28"/>
          <w:u w:val="single"/>
        </w:rPr>
        <w:t xml:space="preserve">HIGH-LEVEL COMPONENT DIAGRAM</w:t>
      </w:r>
    </w:p>
    <w:p>
      <w:pPr>
        <w:spacing w:after="160" w:before="160"/>
        <w:jc w:val="both"/>
      </w:pPr>
      <w:r>
        <w:rPr>
          <w:rFonts w:ascii="Times New Roman" w:cs="Times New Roman" w:eastAsia="Times New Roman" w:hAnsi="Times New Roman"/>
          <w:sz w:val="24"/>
          <w:szCs w:val="24"/>
        </w:rPr>
        <w:t xml:space="preserve">The following describes the principal system components and their interactions as they would appear in the high-level architecture diagram:</w:t>
      </w:r>
    </w:p>
    <w:p>
      <w:pPr>
        <w:pStyle w:val="ListParagraph"/>
        <w:numPr>
          <w:ilvl w:val="0"/>
          <w:numId w:val="3"/>
        </w:numPr>
        <w:spacing w:after="80" w:before="80"/>
      </w:pPr>
      <w:r>
        <w:rPr>
          <w:rFonts w:ascii="Times New Roman" w:cs="Times New Roman" w:eastAsia="Times New Roman" w:hAnsi="Times New Roman"/>
          <w:sz w:val="24"/>
          <w:szCs w:val="24"/>
        </w:rPr>
        <w:t xml:space="preserve">Load Generator — Dispatches parameterized request streams to cloud endpoints. Supports JMeter, Locust, and custom Python harnesses for flexible scenario definition.</w:t>
      </w:r>
    </w:p>
    <w:p>
      <w:pPr>
        <w:pStyle w:val="ListParagraph"/>
        <w:numPr>
          <w:ilvl w:val="0"/>
          <w:numId w:val="3"/>
        </w:numPr>
        <w:spacing w:after="80" w:before="80"/>
      </w:pPr>
      <w:r>
        <w:rPr>
          <w:rFonts w:ascii="Times New Roman" w:cs="Times New Roman" w:eastAsia="Times New Roman" w:hAnsi="Times New Roman"/>
          <w:sz w:val="24"/>
          <w:szCs w:val="24"/>
        </w:rPr>
        <w:t xml:space="preserve">Serverless Function Pool — A collection of pre-deployed functions across AWS Lambda, Azure Functions, and GCP Cloud Functions, sized with identical memory and timeout configurations.</w:t>
      </w:r>
    </w:p>
    <w:p>
      <w:pPr>
        <w:pStyle w:val="ListParagraph"/>
        <w:numPr>
          <w:ilvl w:val="0"/>
          <w:numId w:val="3"/>
        </w:numPr>
        <w:spacing w:after="80" w:before="80"/>
      </w:pPr>
      <w:r>
        <w:rPr>
          <w:rFonts w:ascii="Times New Roman" w:cs="Times New Roman" w:eastAsia="Times New Roman" w:hAnsi="Times New Roman"/>
          <w:sz w:val="24"/>
          <w:szCs w:val="24"/>
        </w:rPr>
        <w:t xml:space="preserve">API Gateway / Event Broker — Routes incoming requests to the appropriate function instances. Supports both synchronous HTTP invocation and asynchronous event-driven invocation via message queues.</w:t>
      </w:r>
    </w:p>
    <w:p>
      <w:pPr>
        <w:pStyle w:val="ListParagraph"/>
        <w:numPr>
          <w:ilvl w:val="0"/>
          <w:numId w:val="3"/>
        </w:numPr>
        <w:spacing w:after="80" w:before="80"/>
      </w:pPr>
      <w:r>
        <w:rPr>
          <w:rFonts w:ascii="Times New Roman" w:cs="Times New Roman" w:eastAsia="Times New Roman" w:hAnsi="Times New Roman"/>
          <w:sz w:val="24"/>
          <w:szCs w:val="24"/>
        </w:rPr>
        <w:t xml:space="preserve">Telemetry Collector — A unified agent that polls cloud-native monitoring APIs and normalizes metrics into a canonical JSON schema stored in a time-series database.</w:t>
      </w:r>
    </w:p>
    <w:p>
      <w:pPr>
        <w:pStyle w:val="ListParagraph"/>
        <w:numPr>
          <w:ilvl w:val="0"/>
          <w:numId w:val="3"/>
        </w:numPr>
        <w:spacing w:after="80" w:before="80"/>
      </w:pPr>
      <w:r>
        <w:rPr>
          <w:rFonts w:ascii="Times New Roman" w:cs="Times New Roman" w:eastAsia="Times New Roman" w:hAnsi="Times New Roman"/>
          <w:sz w:val="24"/>
          <w:szCs w:val="24"/>
        </w:rPr>
        <w:t xml:space="preserve">Analytics Engine — Applies statistical models (percentile calculations, regression, anomaly detection) to collected telemetry and produces structured performance reports.</w:t>
      </w:r>
    </w:p>
    <w:p>
      <w:pPr>
        <w:pStyle w:val="ListParagraph"/>
        <w:numPr>
          <w:ilvl w:val="0"/>
          <w:numId w:val="3"/>
        </w:numPr>
        <w:spacing w:after="80" w:before="80"/>
      </w:pPr>
      <w:r>
        <w:rPr>
          <w:rFonts w:ascii="Times New Roman" w:cs="Times New Roman" w:eastAsia="Times New Roman" w:hAnsi="Times New Roman"/>
          <w:sz w:val="24"/>
          <w:szCs w:val="24"/>
        </w:rPr>
        <w:t xml:space="preserve">Reporting Dashboard — A web-based UI built with Grafana or a custom React frontend displaying real-time and historical performance visualizations.</w:t>
      </w:r>
    </w:p>
    <w:p>
      <w:pPr>
        <w:spacing w:after="160" w:before="160"/>
        <w:jc w:val="both"/>
      </w:pPr>
      <w:r>
        <w:rPr>
          <w:rFonts w:ascii="Times New Roman" w:cs="Times New Roman" w:eastAsia="Times New Roman" w:hAnsi="Times New Roman"/>
          <w:sz w:val="24"/>
          <w:szCs w:val="24"/>
        </w:rPr>
        <w:t xml:space="preserve">The components communicate via RESTful APIs and message queues, ensuring loose coupling and independent scalability of the evaluation infrastructure itself. All inter-component communication is encrypted in transit using TLS 1.3.</w:t>
      </w:r>
    </w:p>
    <w:p>
      <w:pPr>
        <w:spacing w:after="40" w:before="40"/>
        <w:jc w:val="right"/>
      </w:pPr>
      <w:r>
        <w:rPr>
          <w:rFonts w:ascii="Times New Roman" w:cs="Times New Roman" w:eastAsia="Times New Roman" w:hAnsi="Times New Roman"/>
          <w:sz w:val="22"/>
          <w:szCs w:val="22"/>
        </w:rPr>
        <w:t xml:space="preserve">4</w:t>
      </w:r>
    </w:p>
    <w:p>
      <w:pPr>
        <w:sectPr>
          <w:pgSz w:w="12240" w:h="15840" w:orient="portrait"/>
          <w:pgMar w:top="720" w:right="1080" w:bottom="720" w:left="1080" w:header="708" w:footer="708" w:gutter="0"/>
          <w:pgNumType/>
          <w:docGrid w:linePitch="360"/>
        </w:sectPr>
      </w:pPr>
    </w:p>
    <w:tbl>
      <w:tblPr>
        <w:tblW w:type="dxa" w:w="9360"/>
        <w:tblBorders>
          <w:top w:val="none" w:color="FFFFFF" w:sz="0"/>
          <w:left w:val="none" w:color="FFFFFF" w:sz="0"/>
          <w:bottom w:val="single" w:color="CCCCCC" w:sz="4"/>
          <w:right w:val="none" w:color="FFFFFF" w:sz="0"/>
          <w:insideH w:val="single" w:color="auto" w:sz="4"/>
          <w:insideV w:val="single" w:color="auto" w:sz="4"/>
        </w:tblBorders>
      </w:tblPr>
      <w:tblGrid>
        <w:gridCol w:w="3000"/>
        <w:gridCol w:w="3360"/>
        <w:gridCol w:w="3000"/>
      </w:tblGrid>
      <w:tr>
        <w:tc>
          <w:tcPr>
            <w:tcW w:type="dxa" w:w="3000"/>
            <w:tcBorders>
              <w:top w:val="none" w:color="FFFFFF" w:sz="0"/>
              <w:left w:val="none" w:color="FFFFFF" w:sz="0"/>
              <w:bottom w:val="none" w:color="FFFFFF" w:sz="0"/>
              <w:right w:val="none" w:color="FFFFFF" w:sz="0"/>
            </w:tcBorders>
          </w:tcPr>
          <w:p>
            <w:r>
              <w:drawing>
                <wp:inline distT="0" distB="0" distL="0" distR="0">
                  <wp:extent cx="1238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428625"/>
                          </a:xfrm>
                          <a:prstGeom prst="rect">
                            <a:avLst/>
                          </a:prstGeom>
                        </pic:spPr>
                      </pic:pic>
                    </a:graphicData>
                  </a:graphic>
                </wp:inline>
              </w:drawing>
            </w:r>
          </w:p>
        </w:tc>
        <w:tc>
          <w:tcPr>
            <w:tcW w:type="dxa" w:w="3360"/>
            <w:tcBorders>
              <w:top w:val="none" w:color="FFFFFF" w:sz="0"/>
              <w:left w:val="none" w:color="FFFFFF" w:sz="0"/>
              <w:bottom w:val="none" w:color="FFFFFF" w:sz="0"/>
              <w:right w:val="none" w:color="FFFFFF" w:sz="0"/>
            </w:tcBorders>
            <w:vAlign w:val="center"/>
          </w:tcPr>
          <w:p>
            <w:pPr>
              <w:jc w:val="center"/>
            </w:pPr>
            <w:r>
              <w:rPr>
                <w:rFonts w:ascii="Arial" w:cs="Arial" w:eastAsia="Arial" w:hAnsi="Arial"/>
                <w:sz w:val="18"/>
                <w:szCs w:val="18"/>
              </w:rPr>
              <w:t xml:space="preserve">Innovation Centre for Education</w:t>
            </w:r>
          </w:p>
        </w:tc>
        <w:tc>
          <w:tcPr>
            <w:tcW w:type="dxa" w:w="3000"/>
            <w:tcBorders>
              <w:top w:val="none" w:color="FFFFFF" w:sz="0"/>
              <w:left w:val="none" w:color="FFFFFF" w:sz="0"/>
              <w:bottom w:val="none" w:color="FFFFFF" w:sz="0"/>
              <w:right w:val="none" w:color="FFFFFF" w:sz="0"/>
            </w:tcBorders>
          </w:tcPr>
          <w:p>
            <w:pPr>
              <w:jc w:val="right"/>
            </w:pPr>
            <w:r>
              <w:drawing>
                <wp:inline distT="0" distB="0" distL="0" distR="0">
                  <wp:extent cx="10477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276225"/>
                          </a:xfrm>
                          <a:prstGeom prst="rect">
                            <a:avLst/>
                          </a:prstGeom>
                        </pic:spPr>
                      </pic:pic>
                    </a:graphicData>
                  </a:graphic>
                </wp:inline>
              </w:drawing>
            </w:r>
          </w:p>
        </w:tc>
      </w:tr>
    </w:tbl>
    <w:p>
      <w:pPr>
        <w:spacing w:after="200" w:before="400"/>
        <w:jc w:val="center"/>
      </w:pPr>
      <w:r>
        <w:rPr>
          <w:rFonts w:ascii="Times New Roman" w:cs="Times New Roman" w:eastAsia="Times New Roman" w:hAnsi="Times New Roman"/>
          <w:b/>
          <w:bCs/>
          <w:sz w:val="28"/>
          <w:szCs w:val="28"/>
          <w:u w:val="single"/>
        </w:rPr>
        <w:t xml:space="preserve">KEY ARCHITECTURAL DECISIONS</w:t>
      </w:r>
    </w:p>
    <w:p>
      <w:pPr>
        <w:pStyle w:val="ListParagraph"/>
        <w:numPr>
          <w:ilvl w:val="0"/>
          <w:numId w:val="2"/>
        </w:numPr>
        <w:spacing w:after="80" w:before="80"/>
      </w:pPr>
      <w:r>
        <w:rPr>
          <w:rFonts w:ascii="Times New Roman" w:cs="Times New Roman" w:eastAsia="Times New Roman" w:hAnsi="Times New Roman"/>
          <w:b/>
          <w:bCs/>
          <w:sz w:val="24"/>
          <w:szCs w:val="24"/>
        </w:rPr>
        <w:t xml:space="preserve">Provider Isolation: </w:t>
      </w:r>
      <w:r>
        <w:rPr>
          <w:rFonts w:ascii="Times New Roman" w:cs="Times New Roman" w:eastAsia="Times New Roman" w:hAnsi="Times New Roman"/>
          <w:sz w:val="24"/>
          <w:szCs w:val="24"/>
        </w:rPr>
        <w:t xml:space="preserve">Each serverless platform is invoked through a standardized adapter interface, ensuring load generation logic is decoupled from provider-specific SDK details.</w:t>
      </w:r>
    </w:p>
    <w:p>
      <w:pPr>
        <w:pStyle w:val="ListParagraph"/>
        <w:numPr>
          <w:ilvl w:val="0"/>
          <w:numId w:val="2"/>
        </w:numPr>
        <w:spacing w:after="80" w:before="80"/>
      </w:pPr>
      <w:r>
        <w:rPr>
          <w:rFonts w:ascii="Times New Roman" w:cs="Times New Roman" w:eastAsia="Times New Roman" w:hAnsi="Times New Roman"/>
          <w:b/>
          <w:bCs/>
          <w:sz w:val="24"/>
          <w:szCs w:val="24"/>
        </w:rPr>
        <w:t xml:space="preserve">Idempotent Test Execution: </w:t>
      </w:r>
      <w:r>
        <w:rPr>
          <w:rFonts w:ascii="Times New Roman" w:cs="Times New Roman" w:eastAsia="Times New Roman" w:hAnsi="Times New Roman"/>
          <w:sz w:val="24"/>
          <w:szCs w:val="24"/>
        </w:rPr>
        <w:t xml:space="preserve">All test scenarios are designed to be idempotent so they can be safely re-run without corrupting measurement baselines.</w:t>
      </w:r>
    </w:p>
    <w:p>
      <w:pPr>
        <w:pStyle w:val="ListParagraph"/>
        <w:numPr>
          <w:ilvl w:val="0"/>
          <w:numId w:val="2"/>
        </w:numPr>
        <w:spacing w:after="80" w:before="80"/>
      </w:pPr>
      <w:r>
        <w:rPr>
          <w:rFonts w:ascii="Times New Roman" w:cs="Times New Roman" w:eastAsia="Times New Roman" w:hAnsi="Times New Roman"/>
          <w:b/>
          <w:bCs/>
          <w:sz w:val="24"/>
          <w:szCs w:val="24"/>
        </w:rPr>
        <w:t xml:space="preserve">Statistical Rigor: </w:t>
      </w:r>
      <w:r>
        <w:rPr>
          <w:rFonts w:ascii="Times New Roman" w:cs="Times New Roman" w:eastAsia="Times New Roman" w:hAnsi="Times New Roman"/>
          <w:sz w:val="24"/>
          <w:szCs w:val="24"/>
        </w:rPr>
        <w:t xml:space="preserve">Each test scenario is executed with a minimum of 30 independent runs to enable confidence interval estimation and outlier rejection.</w:t>
      </w:r>
    </w:p>
    <w:p>
      <w:pPr>
        <w:pStyle w:val="ListParagraph"/>
        <w:numPr>
          <w:ilvl w:val="0"/>
          <w:numId w:val="2"/>
        </w:numPr>
        <w:spacing w:after="80" w:before="80"/>
      </w:pPr>
      <w:r>
        <w:rPr>
          <w:rFonts w:ascii="Times New Roman" w:cs="Times New Roman" w:eastAsia="Times New Roman" w:hAnsi="Times New Roman"/>
          <w:b/>
          <w:bCs/>
          <w:sz w:val="24"/>
          <w:szCs w:val="24"/>
        </w:rPr>
        <w:t xml:space="preserve">Cold Start Isolation: </w:t>
      </w:r>
      <w:r>
        <w:rPr>
          <w:rFonts w:ascii="Times New Roman" w:cs="Times New Roman" w:eastAsia="Times New Roman" w:hAnsi="Times New Roman"/>
          <w:sz w:val="24"/>
          <w:szCs w:val="24"/>
        </w:rPr>
        <w:t xml:space="preserve">Cold start measurements are captured by deploying a fresh function version before each cold-start test run, preventing contamination from previously warmed instances.</w:t>
      </w:r>
    </w:p>
    <w:p>
      <w:pPr>
        <w:spacing w:after="200" w:before="400"/>
        <w:jc w:val="center"/>
      </w:pPr>
      <w:r>
        <w:rPr>
          <w:rFonts w:ascii="Times New Roman" w:cs="Times New Roman" w:eastAsia="Times New Roman" w:hAnsi="Times New Roman"/>
          <w:b/>
          <w:bCs/>
          <w:sz w:val="28"/>
          <w:szCs w:val="28"/>
          <w:u w:val="single"/>
        </w:rPr>
        <w:t xml:space="preserve">TECHNOLOGY STACK</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200"/>
        <w:gridCol w:w="5000"/>
      </w:tblGrid>
      <w:tr>
        <w:tc>
          <w:tcPr>
            <w:tcW w:type="dxa" w:w="320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Category</w:t>
            </w:r>
          </w:p>
        </w:tc>
        <w:tc>
          <w:tcPr>
            <w:tcW w:type="dxa" w:w="500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Technology</w:t>
            </w:r>
          </w:p>
        </w:tc>
      </w:tr>
      <w:t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Load Generation</w:t>
            </w:r>
          </w:p>
        </w:tc>
        <w:tc>
          <w:tcPr>
            <w:tcW w:type="dxa" w:w="5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Apache JMeter, Locust (Python)</w:t>
            </w:r>
          </w:p>
        </w:tc>
      </w:tr>
      <w:t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Serverless Platforms</w:t>
            </w:r>
          </w:p>
        </w:tc>
        <w:tc>
          <w:tcPr>
            <w:tcW w:type="dxa" w:w="5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AWS Lambda, Azure Functions, GCP Cloud Functions</w:t>
            </w:r>
          </w:p>
        </w:tc>
      </w:tr>
      <w:t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Monitoring / Telemetry</w:t>
            </w:r>
          </w:p>
        </w:tc>
        <w:tc>
          <w:tcPr>
            <w:tcW w:type="dxa" w:w="5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AWS CloudWatch, Azure Monitor, GCP Operations Suite</w:t>
            </w:r>
          </w:p>
        </w:tc>
      </w:tr>
      <w:t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Time-Series Storage</w:t>
            </w:r>
          </w:p>
        </w:tc>
        <w:tc>
          <w:tcPr>
            <w:tcW w:type="dxa" w:w="5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InfluxDB / TimescaleDB</w:t>
            </w:r>
          </w:p>
        </w:tc>
      </w:tr>
      <w:t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Analytics</w:t>
            </w:r>
          </w:p>
        </w:tc>
        <w:tc>
          <w:tcPr>
            <w:tcW w:type="dxa" w:w="5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Python (pandas, scipy, matplotlib)</w:t>
            </w:r>
          </w:p>
        </w:tc>
      </w:tr>
      <w:t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Dashboard</w:t>
            </w:r>
          </w:p>
        </w:tc>
        <w:tc>
          <w:tcPr>
            <w:tcW w:type="dxa" w:w="5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Grafana / React</w:t>
            </w:r>
          </w:p>
        </w:tc>
      </w:tr>
      <w:t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CI/CD Integration</w:t>
            </w:r>
          </w:p>
        </w:tc>
        <w:tc>
          <w:tcPr>
            <w:tcW w:type="dxa" w:w="5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GitHub Actions</w:t>
            </w:r>
          </w:p>
        </w:tc>
      </w:tr>
      <w:t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Infrastructure as Code</w:t>
            </w:r>
          </w:p>
        </w:tc>
        <w:tc>
          <w:tcPr>
            <w:tcW w:type="dxa" w:w="5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Terraform / AWS SAM</w:t>
            </w:r>
          </w:p>
        </w:tc>
      </w:tr>
    </w:tbl>
    <w:p>
      <w:pPr>
        <w:spacing w:after="40" w:before="40"/>
        <w:jc w:val="right"/>
      </w:pPr>
      <w:r>
        <w:rPr>
          <w:rFonts w:ascii="Times New Roman" w:cs="Times New Roman" w:eastAsia="Times New Roman" w:hAnsi="Times New Roman"/>
          <w:sz w:val="22"/>
          <w:szCs w:val="22"/>
        </w:rPr>
        <w:t xml:space="preserve">5</w:t>
      </w:r>
    </w:p>
    <w:p>
      <w:pPr>
        <w:sectPr>
          <w:pgSz w:w="12240" w:h="15840" w:orient="portrait"/>
          <w:pgMar w:top="720" w:right="1080" w:bottom="720" w:left="1080" w:header="708" w:footer="708" w:gutter="0"/>
          <w:pgNumType/>
          <w:docGrid w:linePitch="360"/>
        </w:sectPr>
      </w:pPr>
    </w:p>
    <w:tbl>
      <w:tblPr>
        <w:tblW w:type="dxa" w:w="9360"/>
        <w:tblBorders>
          <w:top w:val="none" w:color="FFFFFF" w:sz="0"/>
          <w:left w:val="none" w:color="FFFFFF" w:sz="0"/>
          <w:bottom w:val="single" w:color="CCCCCC" w:sz="4"/>
          <w:right w:val="none" w:color="FFFFFF" w:sz="0"/>
          <w:insideH w:val="single" w:color="auto" w:sz="4"/>
          <w:insideV w:val="single" w:color="auto" w:sz="4"/>
        </w:tblBorders>
      </w:tblPr>
      <w:tblGrid>
        <w:gridCol w:w="3000"/>
        <w:gridCol w:w="3360"/>
        <w:gridCol w:w="3000"/>
      </w:tblGrid>
      <w:tr>
        <w:tc>
          <w:tcPr>
            <w:tcW w:type="dxa" w:w="3000"/>
            <w:tcBorders>
              <w:top w:val="none" w:color="FFFFFF" w:sz="0"/>
              <w:left w:val="none" w:color="FFFFFF" w:sz="0"/>
              <w:bottom w:val="none" w:color="FFFFFF" w:sz="0"/>
              <w:right w:val="none" w:color="FFFFFF" w:sz="0"/>
            </w:tcBorders>
          </w:tcPr>
          <w:p>
            <w:r>
              <w:drawing>
                <wp:inline distT="0" distB="0" distL="0" distR="0">
                  <wp:extent cx="1238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428625"/>
                          </a:xfrm>
                          <a:prstGeom prst="rect">
                            <a:avLst/>
                          </a:prstGeom>
                        </pic:spPr>
                      </pic:pic>
                    </a:graphicData>
                  </a:graphic>
                </wp:inline>
              </w:drawing>
            </w:r>
          </w:p>
        </w:tc>
        <w:tc>
          <w:tcPr>
            <w:tcW w:type="dxa" w:w="3360"/>
            <w:tcBorders>
              <w:top w:val="none" w:color="FFFFFF" w:sz="0"/>
              <w:left w:val="none" w:color="FFFFFF" w:sz="0"/>
              <w:bottom w:val="none" w:color="FFFFFF" w:sz="0"/>
              <w:right w:val="none" w:color="FFFFFF" w:sz="0"/>
            </w:tcBorders>
            <w:vAlign w:val="center"/>
          </w:tcPr>
          <w:p>
            <w:pPr>
              <w:jc w:val="center"/>
            </w:pPr>
            <w:r>
              <w:rPr>
                <w:rFonts w:ascii="Arial" w:cs="Arial" w:eastAsia="Arial" w:hAnsi="Arial"/>
                <w:sz w:val="18"/>
                <w:szCs w:val="18"/>
              </w:rPr>
              <w:t xml:space="preserve">Innovation Centre for Education</w:t>
            </w:r>
          </w:p>
        </w:tc>
        <w:tc>
          <w:tcPr>
            <w:tcW w:type="dxa" w:w="3000"/>
            <w:tcBorders>
              <w:top w:val="none" w:color="FFFFFF" w:sz="0"/>
              <w:left w:val="none" w:color="FFFFFF" w:sz="0"/>
              <w:bottom w:val="none" w:color="FFFFFF" w:sz="0"/>
              <w:right w:val="none" w:color="FFFFFF" w:sz="0"/>
            </w:tcBorders>
          </w:tcPr>
          <w:p>
            <w:pPr>
              <w:jc w:val="right"/>
            </w:pPr>
            <w:r>
              <w:drawing>
                <wp:inline distT="0" distB="0" distL="0" distR="0">
                  <wp:extent cx="10477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276225"/>
                          </a:xfrm>
                          <a:prstGeom prst="rect">
                            <a:avLst/>
                          </a:prstGeom>
                        </pic:spPr>
                      </pic:pic>
                    </a:graphicData>
                  </a:graphic>
                </wp:inline>
              </w:drawing>
            </w:r>
          </w:p>
        </w:tc>
      </w:tr>
    </w:tbl>
    <w:p>
      <w:pPr>
        <w:spacing w:after="200" w:before="400"/>
        <w:jc w:val="center"/>
      </w:pPr>
      <w:r>
        <w:rPr>
          <w:rFonts w:ascii="Times New Roman" w:cs="Times New Roman" w:eastAsia="Times New Roman" w:hAnsi="Times New Roman"/>
          <w:b/>
          <w:bCs/>
          <w:sz w:val="28"/>
          <w:szCs w:val="28"/>
          <w:u w:val="single"/>
        </w:rPr>
        <w:t xml:space="preserve">CHALLENGES</w:t>
      </w:r>
    </w:p>
    <w:p>
      <w:pPr>
        <w:spacing w:after="160" w:before="160"/>
        <w:jc w:val="both"/>
      </w:pPr>
      <w:r>
        <w:rPr>
          <w:rFonts w:ascii="Times New Roman" w:cs="Times New Roman" w:eastAsia="Times New Roman" w:hAnsi="Times New Roman"/>
          <w:sz w:val="24"/>
          <w:szCs w:val="24"/>
        </w:rPr>
        <w:t xml:space="preserve">Architecting a high-level evaluation framework for serverless supply chain performance introduces several structural and operational challenges. A primary architectural challenge is achieving measurement isolation across shared cloud infrastructure. Serverless platforms run workloads on shared physical hosts, meaning background noisy neighbor activity can introduce latency variability that is not attributable to the system under test.</w:t>
      </w:r>
    </w:p>
    <w:p>
      <w:pPr>
        <w:spacing w:after="160" w:before="160"/>
        <w:jc w:val="both"/>
      </w:pPr>
      <w:r>
        <w:rPr>
          <w:rFonts w:ascii="Times New Roman" w:cs="Times New Roman" w:eastAsia="Times New Roman" w:hAnsi="Times New Roman"/>
          <w:sz w:val="24"/>
          <w:szCs w:val="24"/>
        </w:rPr>
        <w:t xml:space="preserve">Cross-provider normalization is another significant architectural concern. Each cloud provider exposes monitoring data through different APIs, at different granularities, and with different latency. Designing a telemetry abstraction layer that produces a consistent, comparable dataset requires careful schema design and handling of missing or delayed data points.</w:t>
      </w:r>
    </w:p>
    <w:p>
      <w:pPr>
        <w:spacing w:after="160" w:before="160"/>
        <w:jc w:val="both"/>
      </w:pPr>
      <w:r>
        <w:rPr>
          <w:rFonts w:ascii="Times New Roman" w:cs="Times New Roman" w:eastAsia="Times New Roman" w:hAnsi="Times New Roman"/>
          <w:sz w:val="24"/>
          <w:szCs w:val="24"/>
        </w:rPr>
        <w:t xml:space="preserve">Orchestrating distributed test execution at scale introduces coordination complexity. Ensuring that load generators across multiple regions fire requests simultaneously — and that their clocks are synchronized for accurate latency attribution — requires a distributed coordination mechanism and careful NTP/PTP configuration.</w:t>
      </w:r>
    </w:p>
    <w:p>
      <w:pPr>
        <w:spacing w:after="160" w:before="160"/>
        <w:jc w:val="both"/>
      </w:pPr>
      <w:r>
        <w:rPr>
          <w:rFonts w:ascii="Times New Roman" w:cs="Times New Roman" w:eastAsia="Times New Roman" w:hAnsi="Times New Roman"/>
          <w:sz w:val="24"/>
          <w:szCs w:val="24"/>
        </w:rPr>
        <w:t xml:space="preserve">The ephemeral nature of serverless function instances complicates reproducibility. Since providers do not expose infrastructure-level details about instance reuse policies, distinguishing true cold starts from warm invocations requires heuristic detection strategies based on reported initialization durations.</w:t>
      </w:r>
    </w:p>
    <w:p>
      <w:pPr>
        <w:spacing w:after="160" w:before="160"/>
        <w:jc w:val="both"/>
      </w:pPr>
      <w:r>
        <w:rPr>
          <w:rFonts w:ascii="Times New Roman" w:cs="Times New Roman" w:eastAsia="Times New Roman" w:hAnsi="Times New Roman"/>
          <w:sz w:val="24"/>
          <w:szCs w:val="24"/>
        </w:rPr>
        <w:t xml:space="preserve">Data volume and storage management present scalability challenges for the evaluation platform itself. High-frequency load tests can generate millions of metric data points per hour, requiring an efficient time-series storage strategy with appropriate retention and downsampling policies to remain operationally manageable.</w:t>
      </w:r>
    </w:p>
    <w:p>
      <w:pPr>
        <w:spacing w:after="160" w:before="160"/>
        <w:jc w:val="both"/>
      </w:pPr>
      <w:r>
        <w:rPr>
          <w:rFonts w:ascii="Times New Roman" w:cs="Times New Roman" w:eastAsia="Times New Roman" w:hAnsi="Times New Roman"/>
          <w:sz w:val="24"/>
          <w:szCs w:val="24"/>
        </w:rPr>
        <w:t xml:space="preserve">Despite these challenges, the architecture can be robustly implemented through careful use of statistical control techniques, idempotent test design, provider-agnostic abstraction layers, and cloud-native observability tooling.</w:t>
      </w:r>
    </w:p>
    <w:p>
      <w:pPr>
        <w:spacing w:after="200" w:before="400"/>
        <w:jc w:val="center"/>
      </w:pPr>
      <w:r>
        <w:rPr>
          <w:rFonts w:ascii="Times New Roman" w:cs="Times New Roman" w:eastAsia="Times New Roman" w:hAnsi="Times New Roman"/>
          <w:b/>
          <w:bCs/>
          <w:sz w:val="28"/>
          <w:szCs w:val="28"/>
          <w:u w:val="single"/>
        </w:rPr>
        <w:t xml:space="preserve">REFERENCES</w:t>
      </w:r>
    </w:p>
    <w:p>
      <w:pPr>
        <w:spacing w:after="60" w:before="100"/>
      </w:pPr>
      <w:r>
        <w:rPr>
          <w:rFonts w:ascii="Times New Roman" w:cs="Times New Roman" w:eastAsia="Times New Roman" w:hAnsi="Times New Roman"/>
          <w:color w:val="0563C1"/>
          <w:sz w:val="24"/>
          <w:szCs w:val="24"/>
        </w:rPr>
        <w:t xml:space="preserve">aws.amazon.com/lambda/resources</w:t>
      </w:r>
    </w:p>
    <w:p>
      <w:pPr>
        <w:spacing w:after="60" w:before="60"/>
      </w:pPr>
      <w:r>
        <w:rPr>
          <w:rFonts w:ascii="Times New Roman" w:cs="Times New Roman" w:eastAsia="Times New Roman" w:hAnsi="Times New Roman"/>
          <w:color w:val="0563C1"/>
          <w:sz w:val="24"/>
          <w:szCs w:val="24"/>
        </w:rPr>
        <w:t xml:space="preserve">azure.microsoft.com/en-us/services/functions</w:t>
      </w:r>
    </w:p>
    <w:p>
      <w:pPr>
        <w:spacing w:after="60" w:before="60"/>
      </w:pPr>
      <w:r>
        <w:rPr>
          <w:rFonts w:ascii="Times New Roman" w:cs="Times New Roman" w:eastAsia="Times New Roman" w:hAnsi="Times New Roman"/>
          <w:color w:val="0563C1"/>
          <w:sz w:val="24"/>
          <w:szCs w:val="24"/>
        </w:rPr>
        <w:t xml:space="preserve">github.com</w:t>
      </w:r>
    </w:p>
    <w:p>
      <w:pPr>
        <w:spacing w:after="60" w:before="60"/>
      </w:pPr>
      <w:r>
        <w:rPr>
          <w:rFonts w:ascii="Times New Roman" w:cs="Times New Roman" w:eastAsia="Times New Roman" w:hAnsi="Times New Roman"/>
          <w:color w:val="0563C1"/>
          <w:sz w:val="24"/>
          <w:szCs w:val="24"/>
        </w:rPr>
        <w:t xml:space="preserve">google.com</w:t>
      </w:r>
    </w:p>
    <w:p>
      <w:pPr>
        <w:spacing w:after="40" w:before="40"/>
        <w:jc w:val="right"/>
      </w:pPr>
      <w:r>
        <w:rPr>
          <w:rFonts w:ascii="Times New Roman" w:cs="Times New Roman" w:eastAsia="Times New Roman" w:hAnsi="Times New Roman"/>
          <w:sz w:val="22"/>
          <w:szCs w:val="22"/>
        </w:rPr>
        <w:t xml:space="preserve">6</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09334818d0fb0632f0cd549b94278b385eda0c5.png"/><Relationship Id="rId8" Type="http://schemas.openxmlformats.org/officeDocument/2006/relationships/image" Target="media/178c030299dc528178e660d618da05c7d5cc0a8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2026-04-28T09:51:41.379Z</dcterms:created>
  <dcterms:modified xsi:type="dcterms:W3CDTF">2026-04-28T09:51:41.379Z</dcterms:modified>
</cp:coreProperties>
</file>

<file path=docProps/custom.xml><?xml version="1.0" encoding="utf-8"?>
<Properties xmlns="http://schemas.openxmlformats.org/officeDocument/2006/custom-properties" xmlns:vt="http://schemas.openxmlformats.org/officeDocument/2006/docPropsVTypes"/>
</file>