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single" w:color="CCCCCC" w:sz="4"/>
          <w:right w:val="none" w:color="FFFFFF" w:sz="0"/>
          <w:insideH w:val="single" w:color="auto" w:sz="4"/>
          <w:insideV w:val="single" w:color="auto" w:sz="4"/>
        </w:tblBorders>
      </w:tblPr>
      <w:tblGrid>
        <w:gridCol w:w="3000"/>
        <w:gridCol w:w="3360"/>
        <w:gridCol w:w="3000"/>
      </w:tblGrid>
      <w:tr>
        <w:tc>
          <w:tcPr>
            <w:tcW w:type="dxa" w:w="3000"/>
            <w:tcBorders>
              <w:top w:val="none" w:color="FFFFFF" w:sz="0"/>
              <w:left w:val="none" w:color="FFFFFF" w:sz="0"/>
              <w:bottom w:val="none" w:color="FFFFFF" w:sz="0"/>
              <w:right w:val="none" w:color="FFFFFF" w:sz="0"/>
            </w:tcBorders>
          </w:tcPr>
          <w:p>
            <w:r>
              <w:drawing>
                <wp:inline distT="0" distB="0" distL="0" distR="0">
                  <wp:extent cx="1238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428625"/>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vAlign w:val="center"/>
          </w:tcPr>
          <w:p>
            <w:pPr>
              <w:jc w:val="center"/>
            </w:pPr>
            <w:r>
              <w:rPr>
                <w:rFonts w:ascii="Arial" w:cs="Arial" w:eastAsia="Arial" w:hAnsi="Arial"/>
                <w:sz w:val="18"/>
                <w:szCs w:val="18"/>
              </w:rPr>
              <w:t xml:space="preserve">Innovation Centre for Education</w:t>
            </w:r>
          </w:p>
        </w:tc>
        <w:tc>
          <w:tcPr>
            <w:tcW w:type="dxa" w:w="3000"/>
            <w:tcBorders>
              <w:top w:val="none" w:color="FFFFFF" w:sz="0"/>
              <w:left w:val="none" w:color="FFFFFF" w:sz="0"/>
              <w:bottom w:val="none" w:color="FFFFFF" w:sz="0"/>
              <w:right w:val="none" w:color="FFFFFF" w:sz="0"/>
            </w:tcBorders>
          </w:tcPr>
          <w:p>
            <w:pPr>
              <w:jc w:val="right"/>
            </w:pPr>
            <w:r>
              <w:drawing>
                <wp:inline distT="0" distB="0" distL="0" distR="0">
                  <wp:extent cx="10477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276225"/>
                          </a:xfrm>
                          <a:prstGeom prst="rect">
                            <a:avLst/>
                          </a:prstGeom>
                        </pic:spPr>
                      </pic:pic>
                    </a:graphicData>
                  </a:graphic>
                </wp:inline>
              </w:drawing>
            </w:r>
          </w:p>
        </w:tc>
      </w:tr>
    </w:tbl>
    <w:p>
      <w:pPr>
        <w:spacing w:after="0" w:before="1800"/>
        <w:jc w:val="center"/>
      </w:pPr>
      <w:r>
        <w:rPr>
          <w:rFonts w:ascii="Times New Roman" w:cs="Times New Roman" w:eastAsia="Times New Roman" w:hAnsi="Times New Roman"/>
          <w:b/>
          <w:bCs/>
          <w:sz w:val="36"/>
          <w:szCs w:val="36"/>
        </w:rPr>
        <w:t xml:space="preserve">Yenepoya Institute Of Arts, Science, Commerce &amp;</w:t>
      </w:r>
    </w:p>
    <w:p>
      <w:pPr>
        <w:spacing w:after="0" w:before="0"/>
        <w:jc w:val="center"/>
      </w:pPr>
      <w:r>
        <w:rPr>
          <w:rFonts w:ascii="Times New Roman" w:cs="Times New Roman" w:eastAsia="Times New Roman" w:hAnsi="Times New Roman"/>
          <w:b/>
          <w:bCs/>
          <w:sz w:val="36"/>
          <w:szCs w:val="36"/>
        </w:rPr>
        <w:t xml:space="preserve">Management</w:t>
      </w:r>
    </w:p>
    <w:p>
      <w:pPr>
        <w:spacing w:after="0" w:before="1440"/>
        <w:jc w:val="center"/>
      </w:pPr>
      <w:r>
        <w:rPr>
          <w:rFonts w:ascii="Times New Roman" w:cs="Times New Roman" w:eastAsia="Times New Roman" w:hAnsi="Times New Roman"/>
          <w:b/>
          <w:bCs/>
          <w:sz w:val="40"/>
          <w:szCs w:val="40"/>
        </w:rPr>
        <w:t xml:space="preserve">Project – Low Level Design</w:t>
      </w:r>
    </w:p>
    <w:p>
      <w:pPr>
        <w:spacing w:after="0" w:before="280"/>
        <w:jc w:val="center"/>
      </w:pPr>
      <w:r>
        <w:rPr>
          <w:rFonts w:ascii="Times New Roman" w:cs="Times New Roman" w:eastAsia="Times New Roman" w:hAnsi="Times New Roman"/>
          <w:b/>
          <w:bCs/>
          <w:sz w:val="40"/>
          <w:szCs w:val="40"/>
        </w:rPr>
        <w:t xml:space="preserve">on</w:t>
      </w:r>
    </w:p>
    <w:p>
      <w:pPr>
        <w:spacing w:after="0" w:before="280"/>
        <w:jc w:val="center"/>
      </w:pPr>
      <w:r>
        <w:rPr>
          <w:rFonts w:ascii="Times New Roman" w:cs="Times New Roman" w:eastAsia="Times New Roman" w:hAnsi="Times New Roman"/>
          <w:b/>
          <w:bCs/>
          <w:sz w:val="40"/>
          <w:szCs w:val="40"/>
        </w:rPr>
        <w:t xml:space="preserve">Performance Evaluation of Serverless Architecture</w:t>
      </w:r>
    </w:p>
    <w:p>
      <w:pPr>
        <w:spacing w:after="0" w:before="0"/>
        <w:jc w:val="center"/>
      </w:pPr>
      <w:r>
        <w:rPr>
          <w:rFonts w:ascii="Times New Roman" w:cs="Times New Roman" w:eastAsia="Times New Roman" w:hAnsi="Times New Roman"/>
          <w:b/>
          <w:bCs/>
          <w:sz w:val="40"/>
          <w:szCs w:val="40"/>
        </w:rPr>
        <w:t xml:space="preserve">for Supply Chain Scalability</w:t>
      </w:r>
    </w:p>
    <w:p>
      <w:pPr>
        <w:spacing w:after="0" w:before="1800"/>
        <w:jc w:val="left"/>
      </w:pPr>
      <w:r>
        <w:rPr>
          <w:rFonts w:ascii="Times New Roman" w:cs="Times New Roman" w:eastAsia="Times New Roman" w:hAnsi="Times New Roman"/>
          <w:b/>
          <w:bCs/>
          <w:sz w:val="26"/>
          <w:szCs w:val="26"/>
          <w:u w:val="single"/>
        </w:rPr>
        <w:t xml:space="preserve">Student Name: </w:t>
      </w:r>
      <w:r>
        <w:rPr>
          <w:rFonts w:ascii="Times New Roman" w:cs="Times New Roman" w:eastAsia="Times New Roman" w:hAnsi="Times New Roman"/>
          <w:b/>
          <w:bCs/>
          <w:sz w:val="26"/>
          <w:szCs w:val="26"/>
        </w:rPr>
        <w:t xml:space="preserve">ARJUN SAJI</w:t>
      </w:r>
    </w:p>
    <w:p>
      <w:pPr>
        <w:spacing w:after="0" w:before="120"/>
        <w:jc w:val="left"/>
      </w:pPr>
      <w:r>
        <w:rPr>
          <w:rFonts w:ascii="Times New Roman" w:cs="Times New Roman" w:eastAsia="Times New Roman" w:hAnsi="Times New Roman"/>
          <w:b/>
          <w:bCs/>
          <w:sz w:val="26"/>
          <w:szCs w:val="26"/>
          <w:u w:val="single"/>
        </w:rPr>
        <w:t xml:space="preserve">Reg No: </w:t>
      </w:r>
      <w:r>
        <w:rPr>
          <w:rFonts w:ascii="Times New Roman" w:cs="Times New Roman" w:eastAsia="Times New Roman" w:hAnsi="Times New Roman"/>
          <w:b/>
          <w:bCs/>
          <w:sz w:val="26"/>
          <w:szCs w:val="26"/>
        </w:rPr>
        <w:t xml:space="preserve">23BCAICD022</w:t>
      </w:r>
    </w:p>
    <w:p>
      <w:pPr>
        <w:tabs>
          <w:tab w:val="left" w:pos="4320"/>
        </w:tabs>
        <w:spacing w:after="0" w:before="1800"/>
        <w:jc w:val="left"/>
      </w:pPr>
      <w:r>
        <w:rPr>
          <w:rFonts w:ascii="Times New Roman" w:cs="Times New Roman" w:eastAsia="Times New Roman" w:hAnsi="Times New Roman"/>
          <w:b/>
          <w:bCs/>
          <w:sz w:val="26"/>
          <w:szCs w:val="26"/>
        </w:rPr>
        <w:t xml:space="preserve"> Industry Mentor: </w:t>
      </w:r>
      <w:r>
        <w:rPr>
          <w:rFonts w:ascii="Times New Roman" w:cs="Times New Roman" w:eastAsia="Times New Roman" w:hAnsi="Times New Roman"/>
          <w:sz w:val="26"/>
          <w:szCs w:val="26"/>
        </w:rPr>
        <w:t xml:space="preserve">  Mr Sumit Kumar</w:t>
      </w:r>
      <w:r>
        <w:rPr>
          <w:sz w:val="26"/>
          <w:szCs w:val="26"/>
        </w:rPr>
        <w:t xml:space="preserve">	</w:t>
      </w:r>
      <w:r>
        <w:rPr>
          <w:rFonts w:ascii="Times New Roman" w:cs="Times New Roman" w:eastAsia="Times New Roman" w:hAnsi="Times New Roman"/>
          <w:b/>
          <w:bCs/>
          <w:sz w:val="26"/>
          <w:szCs w:val="26"/>
        </w:rPr>
        <w:t xml:space="preserve">Guided by: </w:t>
      </w:r>
      <w:r>
        <w:rPr>
          <w:rFonts w:ascii="Times New Roman" w:cs="Times New Roman" w:eastAsia="Times New Roman" w:hAnsi="Times New Roman"/>
          <w:sz w:val="26"/>
          <w:szCs w:val="26"/>
        </w:rPr>
        <w:t xml:space="preserve">  Mr Praveen</w:t>
      </w:r>
    </w:p>
    <w:p>
      <w:pPr>
        <w:sectPr>
          <w:pgSz w:w="12240" w:h="15840" w:orient="portrait"/>
          <w:pgMar w:top="720" w:right="1080" w:bottom="720" w:left="1080" w:header="708" w:footer="708" w:gutter="0"/>
          <w:pgNumType/>
          <w:docGrid w:linePitch="360"/>
        </w:sectPr>
      </w:pPr>
    </w:p>
    <w:tbl>
      <w:tblPr>
        <w:tblW w:type="dxa" w:w="9360"/>
        <w:tblBorders>
          <w:top w:val="none" w:color="FFFFFF" w:sz="0"/>
          <w:left w:val="none" w:color="FFFFFF" w:sz="0"/>
          <w:bottom w:val="single" w:color="CCCCCC" w:sz="4"/>
          <w:right w:val="none" w:color="FFFFFF" w:sz="0"/>
          <w:insideH w:val="single" w:color="auto" w:sz="4"/>
          <w:insideV w:val="single" w:color="auto" w:sz="4"/>
        </w:tblBorders>
      </w:tblPr>
      <w:tblGrid>
        <w:gridCol w:w="3000"/>
        <w:gridCol w:w="3360"/>
        <w:gridCol w:w="3000"/>
      </w:tblGrid>
      <w:tr>
        <w:tc>
          <w:tcPr>
            <w:tcW w:type="dxa" w:w="3000"/>
            <w:tcBorders>
              <w:top w:val="none" w:color="FFFFFF" w:sz="0"/>
              <w:left w:val="none" w:color="FFFFFF" w:sz="0"/>
              <w:bottom w:val="none" w:color="FFFFFF" w:sz="0"/>
              <w:right w:val="none" w:color="FFFFFF" w:sz="0"/>
            </w:tcBorders>
          </w:tcPr>
          <w:p>
            <w:r>
              <w:drawing>
                <wp:inline distT="0" distB="0" distL="0" distR="0">
                  <wp:extent cx="1238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428625"/>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vAlign w:val="center"/>
          </w:tcPr>
          <w:p>
            <w:pPr>
              <w:jc w:val="center"/>
            </w:pPr>
            <w:r>
              <w:rPr>
                <w:rFonts w:ascii="Arial" w:cs="Arial" w:eastAsia="Arial" w:hAnsi="Arial"/>
                <w:sz w:val="18"/>
                <w:szCs w:val="18"/>
              </w:rPr>
              <w:t xml:space="preserve">Innovation Centre for Education</w:t>
            </w:r>
          </w:p>
        </w:tc>
        <w:tc>
          <w:tcPr>
            <w:tcW w:type="dxa" w:w="3000"/>
            <w:tcBorders>
              <w:top w:val="none" w:color="FFFFFF" w:sz="0"/>
              <w:left w:val="none" w:color="FFFFFF" w:sz="0"/>
              <w:bottom w:val="none" w:color="FFFFFF" w:sz="0"/>
              <w:right w:val="none" w:color="FFFFFF" w:sz="0"/>
            </w:tcBorders>
          </w:tcPr>
          <w:p>
            <w:pPr>
              <w:jc w:val="right"/>
            </w:pPr>
            <w:r>
              <w:drawing>
                <wp:inline distT="0" distB="0" distL="0" distR="0">
                  <wp:extent cx="10477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276225"/>
                          </a:xfrm>
                          <a:prstGeom prst="rect">
                            <a:avLst/>
                          </a:prstGeom>
                        </pic:spPr>
                      </pic:pic>
                    </a:graphicData>
                  </a:graphic>
                </wp:inline>
              </w:drawing>
            </w:r>
          </w:p>
        </w:tc>
      </w:tr>
    </w:tbl>
    <w:p>
      <w:pPr>
        <w:spacing w:after="600" w:before="600"/>
        <w:jc w:val="center"/>
      </w:pPr>
      <w:r>
        <w:rPr>
          <w:rFonts w:ascii="Times New Roman" w:cs="Times New Roman" w:eastAsia="Times New Roman" w:hAnsi="Times New Roman"/>
          <w:b/>
          <w:bCs/>
          <w:sz w:val="32"/>
          <w:szCs w:val="32"/>
          <w:u w:val="single"/>
        </w:rPr>
        <w:t xml:space="preserve">Table of Contents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tblGrid>
      <w:tr>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CONTENT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PAGE NO</w:t>
            </w:r>
          </w:p>
        </w:tc>
      </w:tr>
      <w:tr>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Introduction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r>
      <w:tr>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Project Goal</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r>
      <w:tr>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Module Design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r>
      <w:tr>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Process Flow Diagram</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r>
      <w:tr>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Working</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r>
      <w:tr>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Data Design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r>
      <w:tr>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Challenges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r>
      <w:tr>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References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r>
    </w:tbl>
    <w:p>
      <w:pPr>
        <w:spacing w:after="40" w:before="40"/>
        <w:jc w:val="right"/>
      </w:pPr>
      <w:r>
        <w:rPr>
          <w:rFonts w:ascii="Times New Roman" w:cs="Times New Roman" w:eastAsia="Times New Roman" w:hAnsi="Times New Roman"/>
          <w:sz w:val="22"/>
          <w:szCs w:val="22"/>
        </w:rPr>
        <w:t xml:space="preserve">1</w:t>
      </w:r>
    </w:p>
    <w:p>
      <w:pPr>
        <w:sectPr>
          <w:pgSz w:w="12240" w:h="15840" w:orient="portrait"/>
          <w:pgMar w:top="720" w:right="1080" w:bottom="720" w:left="1080" w:header="708" w:footer="708" w:gutter="0"/>
          <w:pgNumType/>
          <w:docGrid w:linePitch="360"/>
        </w:sectPr>
      </w:pPr>
    </w:p>
    <w:tbl>
      <w:tblPr>
        <w:tblW w:type="dxa" w:w="9360"/>
        <w:tblBorders>
          <w:top w:val="none" w:color="FFFFFF" w:sz="0"/>
          <w:left w:val="none" w:color="FFFFFF" w:sz="0"/>
          <w:bottom w:val="single" w:color="CCCCCC" w:sz="4"/>
          <w:right w:val="none" w:color="FFFFFF" w:sz="0"/>
          <w:insideH w:val="single" w:color="auto" w:sz="4"/>
          <w:insideV w:val="single" w:color="auto" w:sz="4"/>
        </w:tblBorders>
      </w:tblPr>
      <w:tblGrid>
        <w:gridCol w:w="3000"/>
        <w:gridCol w:w="3360"/>
        <w:gridCol w:w="3000"/>
      </w:tblGrid>
      <w:tr>
        <w:tc>
          <w:tcPr>
            <w:tcW w:type="dxa" w:w="3000"/>
            <w:tcBorders>
              <w:top w:val="none" w:color="FFFFFF" w:sz="0"/>
              <w:left w:val="none" w:color="FFFFFF" w:sz="0"/>
              <w:bottom w:val="none" w:color="FFFFFF" w:sz="0"/>
              <w:right w:val="none" w:color="FFFFFF" w:sz="0"/>
            </w:tcBorders>
          </w:tcPr>
          <w:p>
            <w:r>
              <w:drawing>
                <wp:inline distT="0" distB="0" distL="0" distR="0">
                  <wp:extent cx="1238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428625"/>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vAlign w:val="center"/>
          </w:tcPr>
          <w:p>
            <w:pPr>
              <w:jc w:val="center"/>
            </w:pPr>
            <w:r>
              <w:rPr>
                <w:rFonts w:ascii="Arial" w:cs="Arial" w:eastAsia="Arial" w:hAnsi="Arial"/>
                <w:sz w:val="18"/>
                <w:szCs w:val="18"/>
              </w:rPr>
              <w:t xml:space="preserve">Innovation Centre for Education</w:t>
            </w:r>
          </w:p>
        </w:tc>
        <w:tc>
          <w:tcPr>
            <w:tcW w:type="dxa" w:w="3000"/>
            <w:tcBorders>
              <w:top w:val="none" w:color="FFFFFF" w:sz="0"/>
              <w:left w:val="none" w:color="FFFFFF" w:sz="0"/>
              <w:bottom w:val="none" w:color="FFFFFF" w:sz="0"/>
              <w:right w:val="none" w:color="FFFFFF" w:sz="0"/>
            </w:tcBorders>
          </w:tcPr>
          <w:p>
            <w:pPr>
              <w:jc w:val="right"/>
            </w:pPr>
            <w:r>
              <w:drawing>
                <wp:inline distT="0" distB="0" distL="0" distR="0">
                  <wp:extent cx="10477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276225"/>
                          </a:xfrm>
                          <a:prstGeom prst="rect">
                            <a:avLst/>
                          </a:prstGeom>
                        </pic:spPr>
                      </pic:pic>
                    </a:graphicData>
                  </a:graphic>
                </wp:inline>
              </w:drawing>
            </w:r>
          </w:p>
        </w:tc>
      </w:tr>
    </w:tbl>
    <w:p>
      <w:pPr>
        <w:spacing w:after="200" w:before="400"/>
        <w:jc w:val="center"/>
      </w:pPr>
      <w:r>
        <w:rPr>
          <w:rFonts w:ascii="Times New Roman" w:cs="Times New Roman" w:eastAsia="Times New Roman" w:hAnsi="Times New Roman"/>
          <w:b/>
          <w:bCs/>
          <w:sz w:val="28"/>
          <w:szCs w:val="28"/>
          <w:u w:val="single"/>
        </w:rPr>
        <w:t xml:space="preserve">INTRODUCTION</w:t>
      </w:r>
    </w:p>
    <w:p>
      <w:pPr>
        <w:spacing w:after="160" w:before="160"/>
        <w:jc w:val="both"/>
      </w:pPr>
      <w:r>
        <w:rPr>
          <w:rFonts w:ascii="Times New Roman" w:cs="Times New Roman" w:eastAsia="Times New Roman" w:hAnsi="Times New Roman"/>
          <w:sz w:val="24"/>
          <w:szCs w:val="24"/>
        </w:rPr>
        <w:t xml:space="preserve">Serverless computing has revolutionized how modern organizations design and deploy applications. Cloud providers such as Amazon Web Services (AWS Lambda), Microsoft Azure Functions, and Google Cloud Functions offer event-driven execution environments that automatically scale based on demand. However, while serverless architectures offer significant benefits such as reduced operational overhead and pay-per-use billing, their performance characteristics in high-throughput supply chain applications remain an active area of research.</w:t>
      </w:r>
    </w:p>
    <w:p>
      <w:pPr>
        <w:spacing w:after="160" w:before="160"/>
        <w:jc w:val="both"/>
      </w:pPr>
      <w:r>
        <w:rPr>
          <w:rFonts w:ascii="Times New Roman" w:cs="Times New Roman" w:eastAsia="Times New Roman" w:hAnsi="Times New Roman"/>
          <w:sz w:val="24"/>
          <w:szCs w:val="24"/>
        </w:rPr>
        <w:t xml:space="preserve">Performance Evaluation of Serverless Architecture for Supply Chain Scalability is designed to systematically benchmark and analyze serverless functions under varying load conditions representative of supply chain workflows. With the growing adoption of serverless platforms in enterprise logistics and procurement systems, understanding latency, cold start penalties, and throughput limitations is critical.</w:t>
      </w:r>
    </w:p>
    <w:p>
      <w:pPr>
        <w:spacing w:after="160" w:before="160"/>
        <w:jc w:val="both"/>
      </w:pPr>
      <w:r>
        <w:rPr>
          <w:rFonts w:ascii="Times New Roman" w:cs="Times New Roman" w:eastAsia="Times New Roman" w:hAnsi="Times New Roman"/>
          <w:sz w:val="24"/>
          <w:szCs w:val="24"/>
        </w:rPr>
        <w:t xml:space="preserve">This project aims to address these evaluation challenges by deploying representative supply chain microservices as serverless functions and subjecting them to controlled load tests. The system leverages tools such as Python, Apache JMeter, and cloud-native monitoring services to collect and analyze performance telemetry.</w:t>
      </w:r>
    </w:p>
    <w:p>
      <w:pPr>
        <w:spacing w:after="160" w:before="160"/>
        <w:jc w:val="both"/>
      </w:pPr>
      <w:r>
        <w:rPr>
          <w:rFonts w:ascii="Times New Roman" w:cs="Times New Roman" w:eastAsia="Times New Roman" w:hAnsi="Times New Roman"/>
          <w:sz w:val="24"/>
          <w:szCs w:val="24"/>
        </w:rPr>
        <w:t xml:space="preserve">The platform is particularly useful for supply chain architects, DevOps engineers, and engineering managers who must make informed decisions about whether serverless deployments can meet the stringent SLA requirements of logistics, inventory management, and order fulfillment systems.</w:t>
      </w:r>
    </w:p>
    <w:p>
      <w:pPr>
        <w:spacing w:after="160" w:before="160"/>
        <w:jc w:val="both"/>
      </w:pPr>
      <w:r>
        <w:rPr>
          <w:rFonts w:ascii="Times New Roman" w:cs="Times New Roman" w:eastAsia="Times New Roman" w:hAnsi="Times New Roman"/>
          <w:sz w:val="24"/>
          <w:szCs w:val="24"/>
        </w:rPr>
        <w:t xml:space="preserve">By automating benchmarking workflows and providing structured performance reports, the platform reduces the time needed to evaluate architectural decisions. It also supports capacity planning and cost-performance trade-off analysis, making it a valuable tool for organizations modernizing their supply chain technology stack.</w:t>
      </w:r>
    </w:p>
    <w:p>
      <w:pPr>
        <w:spacing w:after="40" w:before="40"/>
        <w:jc w:val="right"/>
      </w:pPr>
      <w:r>
        <w:rPr>
          <w:rFonts w:ascii="Times New Roman" w:cs="Times New Roman" w:eastAsia="Times New Roman" w:hAnsi="Times New Roman"/>
          <w:sz w:val="22"/>
          <w:szCs w:val="22"/>
        </w:rPr>
        <w:t xml:space="preserve">2</w:t>
      </w:r>
    </w:p>
    <w:p>
      <w:pPr>
        <w:sectPr>
          <w:pgSz w:w="12240" w:h="15840" w:orient="portrait"/>
          <w:pgMar w:top="720" w:right="1080" w:bottom="720" w:left="1080" w:header="708" w:footer="708" w:gutter="0"/>
          <w:pgNumType/>
          <w:docGrid w:linePitch="360"/>
        </w:sectPr>
      </w:pPr>
    </w:p>
    <w:tbl>
      <w:tblPr>
        <w:tblW w:type="dxa" w:w="9360"/>
        <w:tblBorders>
          <w:top w:val="none" w:color="FFFFFF" w:sz="0"/>
          <w:left w:val="none" w:color="FFFFFF" w:sz="0"/>
          <w:bottom w:val="single" w:color="CCCCCC" w:sz="4"/>
          <w:right w:val="none" w:color="FFFFFF" w:sz="0"/>
          <w:insideH w:val="single" w:color="auto" w:sz="4"/>
          <w:insideV w:val="single" w:color="auto" w:sz="4"/>
        </w:tblBorders>
      </w:tblPr>
      <w:tblGrid>
        <w:gridCol w:w="3000"/>
        <w:gridCol w:w="3360"/>
        <w:gridCol w:w="3000"/>
      </w:tblGrid>
      <w:tr>
        <w:tc>
          <w:tcPr>
            <w:tcW w:type="dxa" w:w="3000"/>
            <w:tcBorders>
              <w:top w:val="none" w:color="FFFFFF" w:sz="0"/>
              <w:left w:val="none" w:color="FFFFFF" w:sz="0"/>
              <w:bottom w:val="none" w:color="FFFFFF" w:sz="0"/>
              <w:right w:val="none" w:color="FFFFFF" w:sz="0"/>
            </w:tcBorders>
          </w:tcPr>
          <w:p>
            <w:r>
              <w:drawing>
                <wp:inline distT="0" distB="0" distL="0" distR="0">
                  <wp:extent cx="1238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428625"/>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vAlign w:val="center"/>
          </w:tcPr>
          <w:p>
            <w:pPr>
              <w:jc w:val="center"/>
            </w:pPr>
            <w:r>
              <w:rPr>
                <w:rFonts w:ascii="Arial" w:cs="Arial" w:eastAsia="Arial" w:hAnsi="Arial"/>
                <w:sz w:val="18"/>
                <w:szCs w:val="18"/>
              </w:rPr>
              <w:t xml:space="preserve">Innovation Centre for Education</w:t>
            </w:r>
          </w:p>
        </w:tc>
        <w:tc>
          <w:tcPr>
            <w:tcW w:type="dxa" w:w="3000"/>
            <w:tcBorders>
              <w:top w:val="none" w:color="FFFFFF" w:sz="0"/>
              <w:left w:val="none" w:color="FFFFFF" w:sz="0"/>
              <w:bottom w:val="none" w:color="FFFFFF" w:sz="0"/>
              <w:right w:val="none" w:color="FFFFFF" w:sz="0"/>
            </w:tcBorders>
          </w:tcPr>
          <w:p>
            <w:pPr>
              <w:jc w:val="right"/>
            </w:pPr>
            <w:r>
              <w:drawing>
                <wp:inline distT="0" distB="0" distL="0" distR="0">
                  <wp:extent cx="10477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276225"/>
                          </a:xfrm>
                          <a:prstGeom prst="rect">
                            <a:avLst/>
                          </a:prstGeom>
                        </pic:spPr>
                      </pic:pic>
                    </a:graphicData>
                  </a:graphic>
                </wp:inline>
              </w:drawing>
            </w:r>
          </w:p>
        </w:tc>
      </w:tr>
    </w:tbl>
    <w:p>
      <w:pPr>
        <w:spacing w:after="200" w:before="400"/>
        <w:jc w:val="center"/>
      </w:pPr>
      <w:r>
        <w:rPr>
          <w:rFonts w:ascii="Times New Roman" w:cs="Times New Roman" w:eastAsia="Times New Roman" w:hAnsi="Times New Roman"/>
          <w:b/>
          <w:bCs/>
          <w:sz w:val="28"/>
          <w:szCs w:val="28"/>
          <w:u w:val="single"/>
        </w:rPr>
        <w:t xml:space="preserve">PROJECT GOAL</w:t>
      </w:r>
    </w:p>
    <w:p>
      <w:pPr>
        <w:pStyle w:val="ListParagraph"/>
        <w:numPr>
          <w:ilvl w:val="0"/>
          <w:numId w:val="2"/>
        </w:numPr>
        <w:spacing w:after="80" w:before="80"/>
      </w:pPr>
      <w:r>
        <w:rPr>
          <w:rFonts w:ascii="Times New Roman" w:cs="Times New Roman" w:eastAsia="Times New Roman" w:hAnsi="Times New Roman"/>
          <w:sz w:val="24"/>
          <w:szCs w:val="24"/>
        </w:rPr>
        <w:t xml:space="preserve">The primary goal of this project is to rigorously evaluate the performance of serverless architectures when applied to supply chain workloads. The platform is designed to bridge the gap between theoretical serverless capabilities and real-world scalability requirements.</w:t>
      </w:r>
    </w:p>
    <w:p>
      <w:pPr>
        <w:pStyle w:val="ListParagraph"/>
        <w:numPr>
          <w:ilvl w:val="0"/>
          <w:numId w:val="2"/>
        </w:numPr>
        <w:spacing w:after="80" w:before="80"/>
      </w:pPr>
      <w:r>
        <w:rPr>
          <w:rFonts w:ascii="Times New Roman" w:cs="Times New Roman" w:eastAsia="Times New Roman" w:hAnsi="Times New Roman"/>
          <w:sz w:val="24"/>
          <w:szCs w:val="24"/>
        </w:rPr>
        <w:t xml:space="preserve">One of the key objectives is to measure cold start latency, warm execution time, concurrency limits, and throughput degradation under varying request loads. The system aims to quantify performance bottlenecks across multiple serverless providers and runtime environments.</w:t>
      </w:r>
    </w:p>
    <w:p>
      <w:pPr>
        <w:pStyle w:val="ListParagraph"/>
        <w:numPr>
          <w:ilvl w:val="0"/>
          <w:numId w:val="2"/>
        </w:numPr>
        <w:spacing w:after="80" w:before="80"/>
      </w:pPr>
      <w:r>
        <w:rPr>
          <w:rFonts w:ascii="Times New Roman" w:cs="Times New Roman" w:eastAsia="Times New Roman" w:hAnsi="Times New Roman"/>
          <w:sz w:val="24"/>
          <w:szCs w:val="24"/>
        </w:rPr>
        <w:t xml:space="preserve">Another goal is to provide visual performance reports through dashboards and automated test result exports. These visualizations allow architects and decision-makers to compare serverless performance against containerized and VM-based alternatives.</w:t>
      </w:r>
    </w:p>
    <w:p>
      <w:pPr>
        <w:pStyle w:val="ListParagraph"/>
        <w:numPr>
          <w:ilvl w:val="0"/>
          <w:numId w:val="2"/>
        </w:numPr>
        <w:spacing w:after="80" w:before="80"/>
      </w:pPr>
      <w:r>
        <w:rPr>
          <w:rFonts w:ascii="Times New Roman" w:cs="Times New Roman" w:eastAsia="Times New Roman" w:hAnsi="Times New Roman"/>
          <w:sz w:val="24"/>
          <w:szCs w:val="24"/>
        </w:rPr>
        <w:t xml:space="preserve">Additionally, the system is designed with extensibility in mind, allowing integration with CI/CD pipelines for continuous performance regression testing. Overall, the project seeks to produce actionable recommendations for deploying serverless functions in mission-critical supply chain systems.</w:t>
      </w:r>
    </w:p>
    <w:p>
      <w:pPr>
        <w:spacing w:after="200" w:before="400"/>
        <w:jc w:val="center"/>
      </w:pPr>
      <w:r>
        <w:rPr>
          <w:rFonts w:ascii="Times New Roman" w:cs="Times New Roman" w:eastAsia="Times New Roman" w:hAnsi="Times New Roman"/>
          <w:b/>
          <w:bCs/>
          <w:sz w:val="28"/>
          <w:szCs w:val="28"/>
          <w:u w:val="single"/>
        </w:rPr>
        <w:t xml:space="preserve">MODULE DESIGN</w:t>
      </w:r>
    </w:p>
    <w:p>
      <w:pPr>
        <w:spacing w:after="60" w:before="100"/>
      </w:pPr>
      <w:r>
        <w:rPr>
          <w:rFonts w:ascii="Times New Roman" w:cs="Times New Roman" w:eastAsia="Times New Roman" w:hAnsi="Times New Roman"/>
          <w:b/>
          <w:bCs/>
          <w:sz w:val="24"/>
          <w:szCs w:val="24"/>
        </w:rPr>
        <w:t xml:space="preserve">Components:</w:t>
      </w:r>
    </w:p>
    <w:p>
      <w:pPr>
        <w:pStyle w:val="ListParagraph"/>
        <w:numPr>
          <w:ilvl w:val="0"/>
          <w:numId w:val="2"/>
        </w:numPr>
        <w:spacing w:after="80" w:before="80"/>
      </w:pPr>
      <w:r>
        <w:rPr>
          <w:rFonts w:ascii="Times New Roman" w:cs="Times New Roman" w:eastAsia="Times New Roman" w:hAnsi="Times New Roman"/>
          <w:b/>
          <w:bCs/>
          <w:sz w:val="24"/>
          <w:szCs w:val="24"/>
        </w:rPr>
        <w:t xml:space="preserve">Load Generation Module</w:t>
      </w:r>
      <w:r>
        <w:rPr>
          <w:rFonts w:ascii="Times New Roman" w:cs="Times New Roman" w:eastAsia="Times New Roman" w:hAnsi="Times New Roman"/>
          <w:sz w:val="24"/>
          <w:szCs w:val="24"/>
        </w:rPr>
        <w:t xml:space="preserve"/>
      </w:r>
    </w:p>
    <w:p>
      <w:pPr>
        <w:pStyle w:val="ListParagraph"/>
        <w:numPr>
          <w:ilvl w:val="0"/>
          <w:numId w:val="3"/>
        </w:numPr>
        <w:spacing w:after="60" w:before="60"/>
      </w:pPr>
      <w:r>
        <w:rPr>
          <w:rFonts w:ascii="Times New Roman" w:cs="Times New Roman" w:eastAsia="Times New Roman" w:hAnsi="Times New Roman"/>
          <w:sz w:val="24"/>
          <w:szCs w:val="24"/>
        </w:rPr>
        <w:t xml:space="preserve">Configurable request rate and concurrency levels</w:t>
      </w:r>
    </w:p>
    <w:p>
      <w:pPr>
        <w:pStyle w:val="ListParagraph"/>
        <w:numPr>
          <w:ilvl w:val="0"/>
          <w:numId w:val="3"/>
        </w:numPr>
        <w:spacing w:after="60" w:before="60"/>
      </w:pPr>
      <w:r>
        <w:rPr>
          <w:rFonts w:ascii="Times New Roman" w:cs="Times New Roman" w:eastAsia="Times New Roman" w:hAnsi="Times New Roman"/>
          <w:sz w:val="24"/>
          <w:szCs w:val="24"/>
        </w:rPr>
        <w:t xml:space="preserve">Simulating supply chain event patterns (order ingestion, inventory queries)</w:t>
      </w:r>
    </w:p>
    <w:p>
      <w:pPr>
        <w:pStyle w:val="ListParagraph"/>
        <w:numPr>
          <w:ilvl w:val="0"/>
          <w:numId w:val="2"/>
        </w:numPr>
        <w:spacing w:after="80" w:before="80"/>
      </w:pPr>
      <w:r>
        <w:rPr>
          <w:rFonts w:ascii="Times New Roman" w:cs="Times New Roman" w:eastAsia="Times New Roman" w:hAnsi="Times New Roman"/>
          <w:b/>
          <w:bCs/>
          <w:sz w:val="24"/>
          <w:szCs w:val="24"/>
        </w:rPr>
        <w:t xml:space="preserve">Serverless Function Deployment</w:t>
      </w:r>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sz w:val="24"/>
          <w:szCs w:val="24"/>
        </w:rPr>
        <w:t xml:space="preserve">   Functions deployed across:</w:t>
      </w:r>
    </w:p>
    <w:p>
      <w:pPr>
        <w:pStyle w:val="ListParagraph"/>
        <w:numPr>
          <w:ilvl w:val="0"/>
          <w:numId w:val="3"/>
        </w:numPr>
        <w:spacing w:after="60" w:before="60"/>
      </w:pPr>
      <w:r>
        <w:rPr>
          <w:rFonts w:ascii="Times New Roman" w:cs="Times New Roman" w:eastAsia="Times New Roman" w:hAnsi="Times New Roman"/>
          <w:sz w:val="24"/>
          <w:szCs w:val="24"/>
        </w:rPr>
        <w:t xml:space="preserve">AWS Lambda (Node.js / Python runtimes)</w:t>
      </w:r>
    </w:p>
    <w:p>
      <w:pPr>
        <w:pStyle w:val="ListParagraph"/>
        <w:numPr>
          <w:ilvl w:val="0"/>
          <w:numId w:val="3"/>
        </w:numPr>
        <w:spacing w:after="60" w:before="60"/>
      </w:pPr>
      <w:r>
        <w:rPr>
          <w:rFonts w:ascii="Times New Roman" w:cs="Times New Roman" w:eastAsia="Times New Roman" w:hAnsi="Times New Roman"/>
          <w:sz w:val="24"/>
          <w:szCs w:val="24"/>
        </w:rPr>
        <w:t xml:space="preserve">Azure Functions (Consumption plan)</w:t>
      </w:r>
    </w:p>
    <w:p>
      <w:pPr>
        <w:spacing w:after="40" w:before="40"/>
        <w:jc w:val="right"/>
      </w:pPr>
      <w:r>
        <w:rPr>
          <w:rFonts w:ascii="Times New Roman" w:cs="Times New Roman" w:eastAsia="Times New Roman" w:hAnsi="Times New Roman"/>
          <w:sz w:val="22"/>
          <w:szCs w:val="22"/>
        </w:rPr>
        <w:t xml:space="preserve">3</w:t>
      </w:r>
    </w:p>
    <w:p>
      <w:pPr>
        <w:sectPr>
          <w:pgSz w:w="12240" w:h="15840" w:orient="portrait"/>
          <w:pgMar w:top="720" w:right="1080" w:bottom="720" w:left="1080" w:header="708" w:footer="708" w:gutter="0"/>
          <w:pgNumType/>
          <w:docGrid w:linePitch="360"/>
        </w:sectPr>
      </w:pPr>
    </w:p>
    <w:tbl>
      <w:tblPr>
        <w:tblW w:type="dxa" w:w="9360"/>
        <w:tblBorders>
          <w:top w:val="none" w:color="FFFFFF" w:sz="0"/>
          <w:left w:val="none" w:color="FFFFFF" w:sz="0"/>
          <w:bottom w:val="single" w:color="CCCCCC" w:sz="4"/>
          <w:right w:val="none" w:color="FFFFFF" w:sz="0"/>
          <w:insideH w:val="single" w:color="auto" w:sz="4"/>
          <w:insideV w:val="single" w:color="auto" w:sz="4"/>
        </w:tblBorders>
      </w:tblPr>
      <w:tblGrid>
        <w:gridCol w:w="3000"/>
        <w:gridCol w:w="3360"/>
        <w:gridCol w:w="3000"/>
      </w:tblGrid>
      <w:tr>
        <w:tc>
          <w:tcPr>
            <w:tcW w:type="dxa" w:w="3000"/>
            <w:tcBorders>
              <w:top w:val="none" w:color="FFFFFF" w:sz="0"/>
              <w:left w:val="none" w:color="FFFFFF" w:sz="0"/>
              <w:bottom w:val="none" w:color="FFFFFF" w:sz="0"/>
              <w:right w:val="none" w:color="FFFFFF" w:sz="0"/>
            </w:tcBorders>
          </w:tcPr>
          <w:p>
            <w:r>
              <w:drawing>
                <wp:inline distT="0" distB="0" distL="0" distR="0">
                  <wp:extent cx="1238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428625"/>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vAlign w:val="center"/>
          </w:tcPr>
          <w:p>
            <w:pPr>
              <w:jc w:val="center"/>
            </w:pPr>
            <w:r>
              <w:rPr>
                <w:rFonts w:ascii="Arial" w:cs="Arial" w:eastAsia="Arial" w:hAnsi="Arial"/>
                <w:sz w:val="18"/>
                <w:szCs w:val="18"/>
              </w:rPr>
              <w:t xml:space="preserve">Innovation Centre for Education</w:t>
            </w:r>
          </w:p>
        </w:tc>
        <w:tc>
          <w:tcPr>
            <w:tcW w:type="dxa" w:w="3000"/>
            <w:tcBorders>
              <w:top w:val="none" w:color="FFFFFF" w:sz="0"/>
              <w:left w:val="none" w:color="FFFFFF" w:sz="0"/>
              <w:bottom w:val="none" w:color="FFFFFF" w:sz="0"/>
              <w:right w:val="none" w:color="FFFFFF" w:sz="0"/>
            </w:tcBorders>
          </w:tcPr>
          <w:p>
            <w:pPr>
              <w:jc w:val="right"/>
            </w:pPr>
            <w:r>
              <w:drawing>
                <wp:inline distT="0" distB="0" distL="0" distR="0">
                  <wp:extent cx="10477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276225"/>
                          </a:xfrm>
                          <a:prstGeom prst="rect">
                            <a:avLst/>
                          </a:prstGeom>
                        </pic:spPr>
                      </pic:pic>
                    </a:graphicData>
                  </a:graphic>
                </wp:inline>
              </w:drawing>
            </w:r>
          </w:p>
        </w:tc>
      </w:tr>
    </w:tbl>
    <w:p>
      <w:pPr>
        <w:spacing w:after="200" w:before="400"/>
        <w:jc w:val="center"/>
      </w:pPr>
      <w:r>
        <w:rPr>
          <w:rFonts w:ascii="Times New Roman" w:cs="Times New Roman" w:eastAsia="Times New Roman" w:hAnsi="Times New Roman"/>
          <w:b/>
          <w:bCs/>
          <w:sz w:val="28"/>
          <w:szCs w:val="28"/>
          <w:u w:val="single"/>
        </w:rPr>
        <w:t xml:space="preserve">PROCESS FLOW DIAGRAM</w:t>
      </w:r>
    </w:p>
    <w:p>
      <w:pPr>
        <w:pStyle w:val="ListParagraph"/>
        <w:numPr>
          <w:ilvl w:val="0"/>
          <w:numId w:val="4"/>
        </w:numPr>
        <w:spacing w:after="80" w:before="80"/>
      </w:pPr>
      <w:r>
        <w:rPr>
          <w:rFonts w:ascii="Times New Roman" w:cs="Times New Roman" w:eastAsia="Times New Roman" w:hAnsi="Times New Roman"/>
          <w:sz w:val="24"/>
          <w:szCs w:val="24"/>
        </w:rPr>
        <w:t xml:space="preserve">Load generator dispatches HTTP/event requests to serverless endpoints</w:t>
      </w:r>
    </w:p>
    <w:p>
      <w:pPr>
        <w:pStyle w:val="ListParagraph"/>
        <w:numPr>
          <w:ilvl w:val="0"/>
          <w:numId w:val="4"/>
        </w:numPr>
        <w:spacing w:after="80" w:before="80"/>
      </w:pPr>
      <w:r>
        <w:rPr>
          <w:rFonts w:ascii="Times New Roman" w:cs="Times New Roman" w:eastAsia="Times New Roman" w:hAnsi="Times New Roman"/>
          <w:sz w:val="24"/>
          <w:szCs w:val="24"/>
        </w:rPr>
        <w:t xml:space="preserve">Serverless platform initializes function instance (cold/warm start recorded)</w:t>
      </w:r>
    </w:p>
    <w:p>
      <w:pPr>
        <w:pStyle w:val="ListParagraph"/>
        <w:numPr>
          <w:ilvl w:val="0"/>
          <w:numId w:val="4"/>
        </w:numPr>
        <w:spacing w:after="80" w:before="80"/>
      </w:pPr>
      <w:r>
        <w:rPr>
          <w:rFonts w:ascii="Times New Roman" w:cs="Times New Roman" w:eastAsia="Times New Roman" w:hAnsi="Times New Roman"/>
          <w:sz w:val="24"/>
          <w:szCs w:val="24"/>
        </w:rPr>
        <w:t xml:space="preserve">Function executes supply chain business logic</w:t>
      </w:r>
    </w:p>
    <w:p>
      <w:pPr>
        <w:pStyle w:val="ListParagraph"/>
        <w:numPr>
          <w:ilvl w:val="0"/>
          <w:numId w:val="4"/>
        </w:numPr>
        <w:spacing w:after="80" w:before="80"/>
      </w:pPr>
      <w:r>
        <w:rPr>
          <w:rFonts w:ascii="Times New Roman" w:cs="Times New Roman" w:eastAsia="Times New Roman" w:hAnsi="Times New Roman"/>
          <w:sz w:val="24"/>
          <w:szCs w:val="24"/>
        </w:rPr>
        <w:t xml:space="preserve">Response time, error rate, and resource metrics are captured</w:t>
      </w:r>
    </w:p>
    <w:p>
      <w:pPr>
        <w:pStyle w:val="ListParagraph"/>
        <w:numPr>
          <w:ilvl w:val="0"/>
          <w:numId w:val="4"/>
        </w:numPr>
        <w:spacing w:after="80" w:before="80"/>
      </w:pPr>
      <w:r>
        <w:rPr>
          <w:rFonts w:ascii="Times New Roman" w:cs="Times New Roman" w:eastAsia="Times New Roman" w:hAnsi="Times New Roman"/>
          <w:sz w:val="24"/>
          <w:szCs w:val="24"/>
        </w:rPr>
        <w:t xml:space="preserve">Analytical models aggregate and compare performance data</w:t>
      </w:r>
    </w:p>
    <w:p>
      <w:pPr>
        <w:pStyle w:val="ListParagraph"/>
        <w:numPr>
          <w:ilvl w:val="0"/>
          <w:numId w:val="4"/>
        </w:numPr>
        <w:spacing w:after="80" w:before="80"/>
      </w:pPr>
      <w:r>
        <w:rPr>
          <w:rFonts w:ascii="Times New Roman" w:cs="Times New Roman" w:eastAsia="Times New Roman" w:hAnsi="Times New Roman"/>
          <w:sz w:val="24"/>
          <w:szCs w:val="24"/>
        </w:rPr>
        <w:t xml:space="preserve">Dashboard displays latency distributions, throughput graphs, and cost analysis</w:t>
      </w:r>
    </w:p>
    <w:p>
      <w:pPr>
        <w:spacing w:after="160" w:before="160"/>
        <w:jc w:val="both"/>
      </w:pPr>
      <w:r>
        <w:rPr>
          <w:rFonts w:ascii="Times New Roman" w:cs="Times New Roman" w:eastAsia="Times New Roman" w:hAnsi="Times New Roman"/>
          <w:sz w:val="24"/>
          <w:szCs w:val="24"/>
        </w:rPr>
        <w:t xml:space="preserve">The process flow of the Performance Evaluation Platform describes how synthetic workloads traverse the serverless infrastructure from invocation to result collection. It ensures a structured and reproducible approach to performance measurement.</w:t>
      </w:r>
    </w:p>
    <w:p>
      <w:pPr>
        <w:spacing w:after="160" w:before="160"/>
        <w:jc w:val="both"/>
      </w:pPr>
      <w:r>
        <w:rPr>
          <w:rFonts w:ascii="Times New Roman" w:cs="Times New Roman" w:eastAsia="Times New Roman" w:hAnsi="Times New Roman"/>
          <w:sz w:val="24"/>
          <w:szCs w:val="24"/>
        </w:rPr>
        <w:t xml:space="preserve">The process begins with the load generator module dispatching configurable request streams to the deployed serverless functions. The generator supports burst, steady-state, and ramp-up traffic profiles that mirror real supply chain event patterns such as order spikes and inventory reconciliation cycles.</w:t>
      </w:r>
    </w:p>
    <w:p>
      <w:pPr>
        <w:spacing w:after="160" w:before="160"/>
        <w:jc w:val="both"/>
      </w:pPr>
      <w:r>
        <w:rPr>
          <w:rFonts w:ascii="Times New Roman" w:cs="Times New Roman" w:eastAsia="Times New Roman" w:hAnsi="Times New Roman"/>
          <w:sz w:val="24"/>
          <w:szCs w:val="24"/>
        </w:rPr>
        <w:t xml:space="preserve">The next step involves the serverless runtime initializing or reusing execution environments. Cold start events — where a new container instance must be provisioned — are separately recorded and flagged, as they introduce non-deterministic latency that can violate supply chain SLAs.</w:t>
      </w:r>
    </w:p>
    <w:p>
      <w:pPr>
        <w:spacing w:after="160" w:before="160"/>
        <w:jc w:val="both"/>
      </w:pPr>
      <w:r>
        <w:rPr>
          <w:rFonts w:ascii="Times New Roman" w:cs="Times New Roman" w:eastAsia="Times New Roman" w:hAnsi="Times New Roman"/>
          <w:sz w:val="24"/>
          <w:szCs w:val="24"/>
        </w:rPr>
        <w:t xml:space="preserve">The monitoring and telemetry engine then collects execution metrics. It aggregates response times, error counts, memory utilization, and billed duration. If anomaly detection is enabled, the system also flags statistical outliers in the latency distribution for further investigation.</w:t>
      </w:r>
    </w:p>
    <w:p>
      <w:pPr>
        <w:spacing w:after="40" w:before="40"/>
        <w:jc w:val="right"/>
      </w:pPr>
      <w:r>
        <w:rPr>
          <w:rFonts w:ascii="Times New Roman" w:cs="Times New Roman" w:eastAsia="Times New Roman" w:hAnsi="Times New Roman"/>
          <w:sz w:val="22"/>
          <w:szCs w:val="22"/>
        </w:rPr>
        <w:t xml:space="preserve">4</w:t>
      </w:r>
    </w:p>
    <w:p>
      <w:pPr>
        <w:sectPr>
          <w:pgSz w:w="12240" w:h="15840" w:orient="portrait"/>
          <w:pgMar w:top="720" w:right="1080" w:bottom="720" w:left="1080" w:header="708" w:footer="708" w:gutter="0"/>
          <w:pgNumType/>
          <w:docGrid w:linePitch="360"/>
        </w:sectPr>
      </w:pPr>
    </w:p>
    <w:tbl>
      <w:tblPr>
        <w:tblW w:type="dxa" w:w="9360"/>
        <w:tblBorders>
          <w:top w:val="none" w:color="FFFFFF" w:sz="0"/>
          <w:left w:val="none" w:color="FFFFFF" w:sz="0"/>
          <w:bottom w:val="single" w:color="CCCCCC" w:sz="4"/>
          <w:right w:val="none" w:color="FFFFFF" w:sz="0"/>
          <w:insideH w:val="single" w:color="auto" w:sz="4"/>
          <w:insideV w:val="single" w:color="auto" w:sz="4"/>
        </w:tblBorders>
      </w:tblPr>
      <w:tblGrid>
        <w:gridCol w:w="3000"/>
        <w:gridCol w:w="3360"/>
        <w:gridCol w:w="3000"/>
      </w:tblGrid>
      <w:tr>
        <w:tc>
          <w:tcPr>
            <w:tcW w:type="dxa" w:w="3000"/>
            <w:tcBorders>
              <w:top w:val="none" w:color="FFFFFF" w:sz="0"/>
              <w:left w:val="none" w:color="FFFFFF" w:sz="0"/>
              <w:bottom w:val="none" w:color="FFFFFF" w:sz="0"/>
              <w:right w:val="none" w:color="FFFFFF" w:sz="0"/>
            </w:tcBorders>
          </w:tcPr>
          <w:p>
            <w:r>
              <w:drawing>
                <wp:inline distT="0" distB="0" distL="0" distR="0">
                  <wp:extent cx="1238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428625"/>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vAlign w:val="center"/>
          </w:tcPr>
          <w:p>
            <w:pPr>
              <w:jc w:val="center"/>
            </w:pPr>
            <w:r>
              <w:rPr>
                <w:rFonts w:ascii="Arial" w:cs="Arial" w:eastAsia="Arial" w:hAnsi="Arial"/>
                <w:sz w:val="18"/>
                <w:szCs w:val="18"/>
              </w:rPr>
              <w:t xml:space="preserve">Innovation Centre for Education</w:t>
            </w:r>
          </w:p>
        </w:tc>
        <w:tc>
          <w:tcPr>
            <w:tcW w:type="dxa" w:w="3000"/>
            <w:tcBorders>
              <w:top w:val="none" w:color="FFFFFF" w:sz="0"/>
              <w:left w:val="none" w:color="FFFFFF" w:sz="0"/>
              <w:bottom w:val="none" w:color="FFFFFF" w:sz="0"/>
              <w:right w:val="none" w:color="FFFFFF" w:sz="0"/>
            </w:tcBorders>
          </w:tcPr>
          <w:p>
            <w:pPr>
              <w:jc w:val="right"/>
            </w:pPr>
            <w:r>
              <w:drawing>
                <wp:inline distT="0" distB="0" distL="0" distR="0">
                  <wp:extent cx="10477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276225"/>
                          </a:xfrm>
                          <a:prstGeom prst="rect">
                            <a:avLst/>
                          </a:prstGeom>
                        </pic:spPr>
                      </pic:pic>
                    </a:graphicData>
                  </a:graphic>
                </wp:inline>
              </w:drawing>
            </w:r>
          </w:p>
        </w:tc>
      </w:tr>
    </w:tbl>
    <w:p>
      <w:pPr>
        <w:spacing w:after="200" w:before="400"/>
        <w:jc w:val="center"/>
      </w:pPr>
      <w:r>
        <w:rPr>
          <w:rFonts w:ascii="Times New Roman" w:cs="Times New Roman" w:eastAsia="Times New Roman" w:hAnsi="Times New Roman"/>
          <w:b/>
          <w:bCs/>
          <w:sz w:val="28"/>
          <w:szCs w:val="28"/>
          <w:u w:val="single"/>
        </w:rPr>
        <w:t xml:space="preserve">WORKING</w:t>
      </w:r>
    </w:p>
    <w:p>
      <w:pPr>
        <w:pStyle w:val="ListParagraph"/>
        <w:numPr>
          <w:ilvl w:val="0"/>
          <w:numId w:val="4"/>
        </w:numPr>
        <w:spacing w:after="80" w:before="80"/>
      </w:pPr>
      <w:r>
        <w:rPr>
          <w:rFonts w:ascii="Times New Roman" w:cs="Times New Roman" w:eastAsia="Times New Roman" w:hAnsi="Times New Roman"/>
          <w:sz w:val="24"/>
          <w:szCs w:val="24"/>
        </w:rPr>
        <w:t xml:space="preserve">Load generator dispatches parameterized test scenarios</w:t>
      </w:r>
    </w:p>
    <w:p>
      <w:pPr>
        <w:pStyle w:val="ListParagraph"/>
        <w:numPr>
          <w:ilvl w:val="0"/>
          <w:numId w:val="4"/>
        </w:numPr>
        <w:spacing w:after="80" w:before="80"/>
      </w:pPr>
      <w:r>
        <w:rPr>
          <w:rFonts w:ascii="Times New Roman" w:cs="Times New Roman" w:eastAsia="Times New Roman" w:hAnsi="Times New Roman"/>
          <w:sz w:val="24"/>
          <w:szCs w:val="24"/>
        </w:rPr>
        <w:t xml:space="preserve">Serverless functions process supply chain events</w:t>
      </w:r>
    </w:p>
    <w:p>
      <w:pPr>
        <w:pStyle w:val="ListParagraph"/>
        <w:numPr>
          <w:ilvl w:val="0"/>
          <w:numId w:val="4"/>
        </w:numPr>
        <w:spacing w:after="80" w:before="80"/>
      </w:pPr>
      <w:r>
        <w:rPr>
          <w:rFonts w:ascii="Times New Roman" w:cs="Times New Roman" w:eastAsia="Times New Roman" w:hAnsi="Times New Roman"/>
          <w:sz w:val="24"/>
          <w:szCs w:val="24"/>
        </w:rPr>
        <w:t xml:space="preserve">Monitoring dashboard updates in real time</w:t>
      </w:r>
    </w:p>
    <w:p>
      <w:pPr>
        <w:pStyle w:val="ListParagraph"/>
        <w:numPr>
          <w:ilvl w:val="0"/>
          <w:numId w:val="4"/>
        </w:numPr>
        <w:spacing w:after="80" w:before="80"/>
      </w:pPr>
      <w:r>
        <w:rPr>
          <w:rFonts w:ascii="Times New Roman" w:cs="Times New Roman" w:eastAsia="Times New Roman" w:hAnsi="Times New Roman"/>
          <w:sz w:val="24"/>
          <w:szCs w:val="24"/>
        </w:rPr>
        <w:t xml:space="preserve">User applies filters to compare providers, runtimes, and traffic patterns</w:t>
      </w:r>
    </w:p>
    <w:p>
      <w:pPr>
        <w:spacing w:after="160" w:before="160"/>
        <w:jc w:val="both"/>
      </w:pPr>
      <w:r>
        <w:rPr>
          <w:rFonts w:ascii="Times New Roman" w:cs="Times New Roman" w:eastAsia="Times New Roman" w:hAnsi="Times New Roman"/>
          <w:sz w:val="24"/>
          <w:szCs w:val="24"/>
        </w:rPr>
        <w:t xml:space="preserve">The dashboard is the core component of the evaluation UI. It displays key performance indicators such as median and P99 latency, requests per second, cold start frequency, and cost per million invocations. These metrics are presented using time-series graphs and box plots, enabling intuitive interpretation of performance distribution characteristics.</w:t>
      </w:r>
    </w:p>
    <w:p>
      <w:pPr>
        <w:spacing w:after="160" w:before="160"/>
        <w:jc w:val="both"/>
      </w:pPr>
      <w:r>
        <w:rPr>
          <w:rFonts w:ascii="Times New Roman" w:cs="Times New Roman" w:eastAsia="Times New Roman" w:hAnsi="Times New Roman"/>
          <w:sz w:val="24"/>
          <w:szCs w:val="24"/>
        </w:rPr>
        <w:t xml:space="preserve">The UI also includes comparison filters that allow users to toggle between cloud providers, runtime languages, and memory allocation settings. This makes it straightforward to isolate the impact of individual configuration variables on overall serverless performance.</w:t>
      </w:r>
    </w:p>
    <w:p>
      <w:pPr>
        <w:spacing w:after="160" w:before="160"/>
        <w:jc w:val="both"/>
      </w:pPr>
      <w:r>
        <w:rPr>
          <w:rFonts w:ascii="Times New Roman" w:cs="Times New Roman" w:eastAsia="Times New Roman" w:hAnsi="Times New Roman"/>
          <w:sz w:val="24"/>
          <w:szCs w:val="24"/>
        </w:rPr>
        <w:t xml:space="preserve">In terms of end-to-end working, after a test scenario is executed, the backend aggregates raw telemetry and sends processed metrics to the frontend. The dashboard refreshes dynamically, allowing users to drill down into specific test runs, compare baseline versus optimized deployments, and export results for stakeholder reporting.</w:t>
      </w:r>
    </w:p>
    <w:p>
      <w:pPr>
        <w:spacing w:after="200" w:before="400"/>
        <w:jc w:val="center"/>
      </w:pPr>
      <w:r>
        <w:rPr>
          <w:rFonts w:ascii="Times New Roman" w:cs="Times New Roman" w:eastAsia="Times New Roman" w:hAnsi="Times New Roman"/>
          <w:b/>
          <w:bCs/>
          <w:sz w:val="28"/>
          <w:szCs w:val="28"/>
          <w:u w:val="single"/>
        </w:rPr>
        <w:t xml:space="preserve">DATA DESIGN</w:t>
      </w:r>
    </w:p>
    <w:p>
      <w:pPr>
        <w:spacing w:after="80" w:before="100"/>
      </w:pPr>
      <w:r>
        <w:rPr>
          <w:rFonts w:ascii="Times New Roman" w:cs="Times New Roman" w:eastAsia="Times New Roman" w:hAnsi="Times New Roman"/>
          <w:sz w:val="24"/>
          <w:szCs w:val="24"/>
        </w:rPr>
        <w:t xml:space="preserve">Dataset Fields:</w:t>
      </w:r>
    </w:p>
    <w:p>
      <w:pPr>
        <w:pStyle w:val="ListParagraph"/>
        <w:numPr>
          <w:ilvl w:val="0"/>
          <w:numId w:val="2"/>
        </w:numPr>
        <w:spacing w:after="80" w:before="80"/>
      </w:pPr>
      <w:r>
        <w:rPr>
          <w:rFonts w:ascii="Times New Roman" w:cs="Times New Roman" w:eastAsia="Times New Roman" w:hAnsi="Times New Roman"/>
          <w:sz w:val="24"/>
          <w:szCs w:val="24"/>
        </w:rPr>
        <w:t xml:space="preserve">Test Run ID</w:t>
      </w:r>
    </w:p>
    <w:p>
      <w:pPr>
        <w:pStyle w:val="ListParagraph"/>
        <w:numPr>
          <w:ilvl w:val="0"/>
          <w:numId w:val="2"/>
        </w:numPr>
        <w:spacing w:after="80" w:before="80"/>
      </w:pPr>
      <w:r>
        <w:rPr>
          <w:rFonts w:ascii="Times New Roman" w:cs="Times New Roman" w:eastAsia="Times New Roman" w:hAnsi="Times New Roman"/>
          <w:sz w:val="24"/>
          <w:szCs w:val="24"/>
        </w:rPr>
        <w:t xml:space="preserve">Cloud Provider</w:t>
      </w:r>
    </w:p>
    <w:p>
      <w:pPr>
        <w:pStyle w:val="ListParagraph"/>
        <w:numPr>
          <w:ilvl w:val="0"/>
          <w:numId w:val="2"/>
        </w:numPr>
        <w:spacing w:after="80" w:before="80"/>
      </w:pPr>
      <w:r>
        <w:rPr>
          <w:rFonts w:ascii="Times New Roman" w:cs="Times New Roman" w:eastAsia="Times New Roman" w:hAnsi="Times New Roman"/>
          <w:sz w:val="24"/>
          <w:szCs w:val="24"/>
        </w:rPr>
        <w:t xml:space="preserve">Function Name / Runtime</w:t>
      </w:r>
    </w:p>
    <w:p>
      <w:pPr>
        <w:pStyle w:val="ListParagraph"/>
        <w:numPr>
          <w:ilvl w:val="0"/>
          <w:numId w:val="2"/>
        </w:numPr>
        <w:spacing w:after="80" w:before="80"/>
      </w:pPr>
      <w:r>
        <w:rPr>
          <w:rFonts w:ascii="Times New Roman" w:cs="Times New Roman" w:eastAsia="Times New Roman" w:hAnsi="Times New Roman"/>
          <w:sz w:val="24"/>
          <w:szCs w:val="24"/>
        </w:rPr>
        <w:t xml:space="preserve">Traffic Profile (burst / steady / ramp)</w:t>
      </w:r>
    </w:p>
    <w:p>
      <w:pPr>
        <w:pStyle w:val="ListParagraph"/>
        <w:numPr>
          <w:ilvl w:val="0"/>
          <w:numId w:val="2"/>
        </w:numPr>
        <w:spacing w:after="80" w:before="80"/>
      </w:pPr>
      <w:r>
        <w:rPr>
          <w:rFonts w:ascii="Times New Roman" w:cs="Times New Roman" w:eastAsia="Times New Roman" w:hAnsi="Times New Roman"/>
          <w:sz w:val="24"/>
          <w:szCs w:val="24"/>
        </w:rPr>
        <w:t xml:space="preserve">Concurrency Level</w:t>
      </w:r>
    </w:p>
    <w:p>
      <w:pPr>
        <w:pStyle w:val="ListParagraph"/>
        <w:numPr>
          <w:ilvl w:val="0"/>
          <w:numId w:val="2"/>
        </w:numPr>
        <w:spacing w:after="80" w:before="80"/>
      </w:pPr>
      <w:r>
        <w:rPr>
          <w:rFonts w:ascii="Times New Roman" w:cs="Times New Roman" w:eastAsia="Times New Roman" w:hAnsi="Times New Roman"/>
          <w:sz w:val="24"/>
          <w:szCs w:val="24"/>
        </w:rPr>
        <w:t xml:space="preserve">Cold Start Latency (ms)</w:t>
      </w:r>
    </w:p>
    <w:p>
      <w:pPr>
        <w:pStyle w:val="ListParagraph"/>
        <w:numPr>
          <w:ilvl w:val="0"/>
          <w:numId w:val="2"/>
        </w:numPr>
        <w:spacing w:after="80" w:before="80"/>
      </w:pPr>
      <w:r>
        <w:rPr>
          <w:rFonts w:ascii="Times New Roman" w:cs="Times New Roman" w:eastAsia="Times New Roman" w:hAnsi="Times New Roman"/>
          <w:sz w:val="24"/>
          <w:szCs w:val="24"/>
        </w:rPr>
        <w:t xml:space="preserve">Warm Execution Latency (ms)</w:t>
      </w:r>
    </w:p>
    <w:p>
      <w:pPr>
        <w:pStyle w:val="ListParagraph"/>
        <w:numPr>
          <w:ilvl w:val="0"/>
          <w:numId w:val="2"/>
        </w:numPr>
        <w:spacing w:after="80" w:before="80"/>
      </w:pPr>
      <w:r>
        <w:rPr>
          <w:rFonts w:ascii="Times New Roman" w:cs="Times New Roman" w:eastAsia="Times New Roman" w:hAnsi="Times New Roman"/>
          <w:sz w:val="24"/>
          <w:szCs w:val="24"/>
        </w:rPr>
        <w:t xml:space="preserve">P99 Latency (ms)</w:t>
      </w:r>
    </w:p>
    <w:p>
      <w:pPr>
        <w:pStyle w:val="ListParagraph"/>
        <w:numPr>
          <w:ilvl w:val="0"/>
          <w:numId w:val="2"/>
        </w:numPr>
        <w:spacing w:after="80" w:before="80"/>
      </w:pPr>
      <w:r>
        <w:rPr>
          <w:rFonts w:ascii="Times New Roman" w:cs="Times New Roman" w:eastAsia="Times New Roman" w:hAnsi="Times New Roman"/>
          <w:sz w:val="24"/>
          <w:szCs w:val="24"/>
        </w:rPr>
        <w:t xml:space="preserve">Throughput (req/sec)</w:t>
      </w:r>
    </w:p>
    <w:p>
      <w:pPr>
        <w:pStyle w:val="ListParagraph"/>
        <w:numPr>
          <w:ilvl w:val="0"/>
          <w:numId w:val="2"/>
        </w:numPr>
        <w:spacing w:after="80" w:before="80"/>
      </w:pPr>
      <w:r>
        <w:rPr>
          <w:rFonts w:ascii="Times New Roman" w:cs="Times New Roman" w:eastAsia="Times New Roman" w:hAnsi="Times New Roman"/>
          <w:sz w:val="24"/>
          <w:szCs w:val="24"/>
        </w:rPr>
        <w:t xml:space="preserve">Error Rate (%)</w:t>
      </w:r>
    </w:p>
    <w:p>
      <w:pPr>
        <w:pStyle w:val="ListParagraph"/>
        <w:numPr>
          <w:ilvl w:val="0"/>
          <w:numId w:val="2"/>
        </w:numPr>
        <w:spacing w:after="80" w:before="80"/>
      </w:pPr>
      <w:r>
        <w:rPr>
          <w:rFonts w:ascii="Times New Roman" w:cs="Times New Roman" w:eastAsia="Times New Roman" w:hAnsi="Times New Roman"/>
          <w:sz w:val="24"/>
          <w:szCs w:val="24"/>
        </w:rPr>
        <w:t xml:space="preserve">Billed Duration (ms)</w:t>
      </w:r>
    </w:p>
    <w:p>
      <w:pPr>
        <w:pStyle w:val="ListParagraph"/>
        <w:numPr>
          <w:ilvl w:val="0"/>
          <w:numId w:val="2"/>
        </w:numPr>
        <w:spacing w:after="80" w:before="80"/>
      </w:pPr>
      <w:r>
        <w:rPr>
          <w:rFonts w:ascii="Times New Roman" w:cs="Times New Roman" w:eastAsia="Times New Roman" w:hAnsi="Times New Roman"/>
          <w:sz w:val="24"/>
          <w:szCs w:val="24"/>
        </w:rPr>
        <w:t xml:space="preserve">Cost per Invocation (USD)</w:t>
      </w:r>
    </w:p>
    <w:p>
      <w:pPr>
        <w:spacing w:after="40" w:before="40"/>
        <w:jc w:val="right"/>
      </w:pPr>
      <w:r>
        <w:rPr>
          <w:rFonts w:ascii="Times New Roman" w:cs="Times New Roman" w:eastAsia="Times New Roman" w:hAnsi="Times New Roman"/>
          <w:sz w:val="22"/>
          <w:szCs w:val="22"/>
        </w:rPr>
        <w:t xml:space="preserve">5</w:t>
      </w:r>
    </w:p>
    <w:p>
      <w:pPr>
        <w:sectPr>
          <w:pgSz w:w="12240" w:h="15840" w:orient="portrait"/>
          <w:pgMar w:top="720" w:right="1080" w:bottom="720" w:left="1080" w:header="708" w:footer="708" w:gutter="0"/>
          <w:pgNumType/>
          <w:docGrid w:linePitch="360"/>
        </w:sectPr>
      </w:pPr>
    </w:p>
    <w:tbl>
      <w:tblPr>
        <w:tblW w:type="dxa" w:w="9360"/>
        <w:tblBorders>
          <w:top w:val="none" w:color="FFFFFF" w:sz="0"/>
          <w:left w:val="none" w:color="FFFFFF" w:sz="0"/>
          <w:bottom w:val="single" w:color="CCCCCC" w:sz="4"/>
          <w:right w:val="none" w:color="FFFFFF" w:sz="0"/>
          <w:insideH w:val="single" w:color="auto" w:sz="4"/>
          <w:insideV w:val="single" w:color="auto" w:sz="4"/>
        </w:tblBorders>
      </w:tblPr>
      <w:tblGrid>
        <w:gridCol w:w="3000"/>
        <w:gridCol w:w="3360"/>
        <w:gridCol w:w="3000"/>
      </w:tblGrid>
      <w:tr>
        <w:tc>
          <w:tcPr>
            <w:tcW w:type="dxa" w:w="3000"/>
            <w:tcBorders>
              <w:top w:val="none" w:color="FFFFFF" w:sz="0"/>
              <w:left w:val="none" w:color="FFFFFF" w:sz="0"/>
              <w:bottom w:val="none" w:color="FFFFFF" w:sz="0"/>
              <w:right w:val="none" w:color="FFFFFF" w:sz="0"/>
            </w:tcBorders>
          </w:tcPr>
          <w:p>
            <w:r>
              <w:drawing>
                <wp:inline distT="0" distB="0" distL="0" distR="0">
                  <wp:extent cx="1238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428625"/>
                          </a:xfrm>
                          <a:prstGeom prst="rect">
                            <a:avLst/>
                          </a:prstGeom>
                        </pic:spPr>
                      </pic:pic>
                    </a:graphicData>
                  </a:graphic>
                </wp:inline>
              </w:drawing>
            </w:r>
          </w:p>
        </w:tc>
        <w:tc>
          <w:tcPr>
            <w:tcW w:type="dxa" w:w="3360"/>
            <w:tcBorders>
              <w:top w:val="none" w:color="FFFFFF" w:sz="0"/>
              <w:left w:val="none" w:color="FFFFFF" w:sz="0"/>
              <w:bottom w:val="none" w:color="FFFFFF" w:sz="0"/>
              <w:right w:val="none" w:color="FFFFFF" w:sz="0"/>
            </w:tcBorders>
            <w:vAlign w:val="center"/>
          </w:tcPr>
          <w:p>
            <w:pPr>
              <w:jc w:val="center"/>
            </w:pPr>
            <w:r>
              <w:rPr>
                <w:rFonts w:ascii="Arial" w:cs="Arial" w:eastAsia="Arial" w:hAnsi="Arial"/>
                <w:sz w:val="18"/>
                <w:szCs w:val="18"/>
              </w:rPr>
              <w:t xml:space="preserve">Innovation Centre for Education</w:t>
            </w:r>
          </w:p>
        </w:tc>
        <w:tc>
          <w:tcPr>
            <w:tcW w:type="dxa" w:w="3000"/>
            <w:tcBorders>
              <w:top w:val="none" w:color="FFFFFF" w:sz="0"/>
              <w:left w:val="none" w:color="FFFFFF" w:sz="0"/>
              <w:bottom w:val="none" w:color="FFFFFF" w:sz="0"/>
              <w:right w:val="none" w:color="FFFFFF" w:sz="0"/>
            </w:tcBorders>
          </w:tcPr>
          <w:p>
            <w:pPr>
              <w:jc w:val="right"/>
            </w:pPr>
            <w:r>
              <w:drawing>
                <wp:inline distT="0" distB="0" distL="0" distR="0">
                  <wp:extent cx="10477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276225"/>
                          </a:xfrm>
                          <a:prstGeom prst="rect">
                            <a:avLst/>
                          </a:prstGeom>
                        </pic:spPr>
                      </pic:pic>
                    </a:graphicData>
                  </a:graphic>
                </wp:inline>
              </w:drawing>
            </w:r>
          </w:p>
        </w:tc>
      </w:tr>
    </w:tbl>
    <w:p>
      <w:pPr>
        <w:spacing w:after="200" w:before="400"/>
        <w:jc w:val="center"/>
      </w:pPr>
      <w:r>
        <w:rPr>
          <w:rFonts w:ascii="Times New Roman" w:cs="Times New Roman" w:eastAsia="Times New Roman" w:hAnsi="Times New Roman"/>
          <w:b/>
          <w:bCs/>
          <w:sz w:val="28"/>
          <w:szCs w:val="28"/>
          <w:u w:val="single"/>
        </w:rPr>
        <w:t xml:space="preserve">CHALLENGES</w:t>
      </w:r>
    </w:p>
    <w:p>
      <w:pPr>
        <w:spacing w:after="160" w:before="160"/>
        <w:jc w:val="both"/>
      </w:pPr>
      <w:r>
        <w:rPr>
          <w:rFonts w:ascii="Times New Roman" w:cs="Times New Roman" w:eastAsia="Times New Roman" w:hAnsi="Times New Roman"/>
          <w:sz w:val="24"/>
          <w:szCs w:val="24"/>
        </w:rPr>
        <w:t xml:space="preserve">Developing a comprehensive Performance Evaluation Platform for Serverless Supply Chain Architectures involves several technical and operational challenges. One of the main challenges is the non-deterministic nature of cold starts. Serverless platforms provision new container instances on demand, and the initialization time varies significantly based on runtime, deployment package size, and provider infrastructure load.</w:t>
      </w:r>
    </w:p>
    <w:p>
      <w:pPr>
        <w:spacing w:after="160" w:before="160"/>
        <w:jc w:val="both"/>
      </w:pPr>
      <w:r>
        <w:rPr>
          <w:rFonts w:ascii="Times New Roman" w:cs="Times New Roman" w:eastAsia="Times New Roman" w:hAnsi="Times New Roman"/>
          <w:sz w:val="24"/>
          <w:szCs w:val="24"/>
        </w:rPr>
        <w:t xml:space="preserve">Another challenge is achieving reproducible test conditions across different cloud providers. Differences in networking infrastructure, regional data center characteristics, and function scheduling policies make true apples-to-apples comparisons difficult without carefully controlled experimental designs.</w:t>
      </w:r>
    </w:p>
    <w:p>
      <w:pPr>
        <w:spacing w:after="160" w:before="160"/>
        <w:jc w:val="both"/>
      </w:pPr>
      <w:r>
        <w:rPr>
          <w:rFonts w:ascii="Times New Roman" w:cs="Times New Roman" w:eastAsia="Times New Roman" w:hAnsi="Times New Roman"/>
          <w:sz w:val="24"/>
          <w:szCs w:val="24"/>
        </w:rPr>
        <w:t xml:space="preserve">Concurrency throttling is also a significant concern. Cloud providers impose soft and hard concurrency limits on serverless functions, which can cause request queuing and elevated tail latencies under high load — conditions that are particularly problematic in time-sensitive supply chain workflows such as real-time inventory allocation.</w:t>
      </w:r>
    </w:p>
    <w:p>
      <w:pPr>
        <w:spacing w:after="160" w:before="160"/>
        <w:jc w:val="both"/>
      </w:pPr>
      <w:r>
        <w:rPr>
          <w:rFonts w:ascii="Times New Roman" w:cs="Times New Roman" w:eastAsia="Times New Roman" w:hAnsi="Times New Roman"/>
          <w:sz w:val="24"/>
          <w:szCs w:val="24"/>
        </w:rPr>
        <w:t xml:space="preserve">Accurate cost modeling presents additional difficulty. Serverless billing models factor in memory allocation, execution duration, and the number of requests, meaning performance optimizations that reduce latency may inadvertently increase cost, requiring careful multi-objective analysis.</w:t>
      </w:r>
    </w:p>
    <w:p>
      <w:pPr>
        <w:spacing w:after="160" w:before="160"/>
        <w:jc w:val="both"/>
      </w:pPr>
      <w:r>
        <w:rPr>
          <w:rFonts w:ascii="Times New Roman" w:cs="Times New Roman" w:eastAsia="Times New Roman" w:hAnsi="Times New Roman"/>
          <w:sz w:val="24"/>
          <w:szCs w:val="24"/>
        </w:rPr>
        <w:t xml:space="preserve">Security and observability are critical concerns as well. Distributed serverless deployments produce fragmented logs and traces, complicating root cause analysis when performance anomalies occur across supply chain transaction boundaries.</w:t>
      </w:r>
    </w:p>
    <w:p>
      <w:pPr>
        <w:spacing w:after="160" w:before="160"/>
        <w:jc w:val="both"/>
      </w:pPr>
      <w:r>
        <w:rPr>
          <w:rFonts w:ascii="Times New Roman" w:cs="Times New Roman" w:eastAsia="Times New Roman" w:hAnsi="Times New Roman"/>
          <w:sz w:val="24"/>
          <w:szCs w:val="24"/>
        </w:rPr>
        <w:t xml:space="preserve">Despite these challenges, the platform can be successfully implemented through rigorous experimental design, the use of distributed tracing frameworks, and iterative calibration of the load generation model.</w:t>
      </w:r>
    </w:p>
    <w:p>
      <w:pPr>
        <w:spacing w:after="200" w:before="400"/>
        <w:jc w:val="center"/>
      </w:pPr>
      <w:r>
        <w:rPr>
          <w:rFonts w:ascii="Times New Roman" w:cs="Times New Roman" w:eastAsia="Times New Roman" w:hAnsi="Times New Roman"/>
          <w:b/>
          <w:bCs/>
          <w:sz w:val="28"/>
          <w:szCs w:val="28"/>
          <w:u w:val="single"/>
        </w:rPr>
        <w:t xml:space="preserve">REFERENCES</w:t>
      </w:r>
    </w:p>
    <w:p>
      <w:pPr>
        <w:spacing w:after="60" w:before="100"/>
      </w:pPr>
      <w:r>
        <w:rPr>
          <w:rFonts w:ascii="Times New Roman" w:cs="Times New Roman" w:eastAsia="Times New Roman" w:hAnsi="Times New Roman"/>
          <w:color w:val="0563C1"/>
          <w:sz w:val="24"/>
          <w:szCs w:val="24"/>
        </w:rPr>
        <w:t xml:space="preserve">aws.amazon.com/lambda</w:t>
      </w:r>
    </w:p>
    <w:p>
      <w:pPr>
        <w:spacing w:after="60" w:before="60"/>
      </w:pPr>
      <w:r>
        <w:rPr>
          <w:rFonts w:ascii="Times New Roman" w:cs="Times New Roman" w:eastAsia="Times New Roman" w:hAnsi="Times New Roman"/>
          <w:color w:val="0563C1"/>
          <w:sz w:val="24"/>
          <w:szCs w:val="24"/>
        </w:rPr>
        <w:t xml:space="preserve">github.com</w:t>
      </w:r>
    </w:p>
    <w:p>
      <w:pPr>
        <w:spacing w:after="60" w:before="60"/>
      </w:pPr>
      <w:r>
        <w:rPr>
          <w:rFonts w:ascii="Times New Roman" w:cs="Times New Roman" w:eastAsia="Times New Roman" w:hAnsi="Times New Roman"/>
          <w:color w:val="0563C1"/>
          <w:sz w:val="24"/>
          <w:szCs w:val="24"/>
        </w:rPr>
        <w:t xml:space="preserve">google.com</w:t>
      </w:r>
    </w:p>
    <w:p>
      <w:pPr>
        <w:spacing w:after="40" w:before="40"/>
        <w:jc w:val="right"/>
      </w:pPr>
      <w:r>
        <w:rPr>
          <w:rFonts w:ascii="Times New Roman" w:cs="Times New Roman" w:eastAsia="Times New Roman" w:hAnsi="Times New Roman"/>
          <w:sz w:val="22"/>
          <w:szCs w:val="22"/>
        </w:rPr>
        <w:t xml:space="preserve">6</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9334818d0fb0632f0cd549b94278b385eda0c5.png"/><Relationship Id="rId8" Type="http://schemas.openxmlformats.org/officeDocument/2006/relationships/image" Target="media/178c030299dc528178e660d618da05c7d5cc0a8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2026-04-28T09:51:41.302Z</dcterms:created>
  <dcterms:modified xsi:type="dcterms:W3CDTF">2026-04-28T09:51:41.302Z</dcterms:modified>
</cp:coreProperties>
</file>

<file path=docProps/custom.xml><?xml version="1.0" encoding="utf-8"?>
<Properties xmlns="http://schemas.openxmlformats.org/officeDocument/2006/custom-properties" xmlns:vt="http://schemas.openxmlformats.org/officeDocument/2006/docPropsVTypes"/>
</file>