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b/>
          <w:color w:val="1E3A8A"/>
          <w:sz w:val="28"/>
        </w:rPr>
        <w:t>AMRITA VISHWA VIDYAPEETHAM</w:t>
        <w:br/>
      </w:r>
      <w:r>
        <w:rPr>
          <w:color w:val="0F172A"/>
          <w:sz w:val="22"/>
        </w:rPr>
        <w:t>Amrita School of Computing, Amritapuri Campus</w:t>
        <w:br/>
        <w:t>Department of Computer Science and Engineering</w:t>
        <w:br/>
      </w:r>
    </w:p>
    <w:p>
      <w:pPr>
        <w:spacing w:before="160" w:after="280"/>
        <w:jc w:val="center"/>
      </w:pPr>
      <w:r>
        <w:rPr>
          <w:b/>
          <w:color w:val="2563EB"/>
          <w:sz w:val="21"/>
        </w:rPr>
        <w:t>ACADEMIC CASE STUDY REPORT  ·  23CSE451 GRAPH MINING</w:t>
      </w:r>
    </w:p>
    <w:p>
      <w:pPr>
        <w:spacing w:before="120" w:after="160"/>
        <w:jc w:val="center"/>
      </w:pPr>
      <w:r>
        <w:rPr>
          <w:b/>
          <w:color w:val="1E3A8A"/>
          <w:sz w:val="40"/>
        </w:rPr>
        <w:t>RouteWise: Real-Road Route Optimization and Spatial Taxi Demand Analytics Using Graph Mining</w:t>
      </w:r>
    </w:p>
    <w:p>
      <w:pPr>
        <w:spacing w:after="360"/>
        <w:jc w:val="center"/>
      </w:pPr>
      <w:r>
        <w:rPr>
          <w:i/>
          <w:color w:val="64748B"/>
          <w:sz w:val="22"/>
        </w:rPr>
        <w:t>Empirical Evaluation of Directed OpenStreetMap Road Topology, Geodesic A* Routing, Sampled Edge Betweenness Resilience, and Spatial Gravity Demand Communities in Karunagappally, Kerala</w:t>
      </w:r>
    </w:p>
    <w:tbl>
      <w:tblPr>
        <w:tblW w:type="auto" w:w="0"/>
        <w:jc w:val="center"/>
        <w:tblLook w:firstColumn="1" w:firstRow="1" w:lastColumn="0" w:lastRow="0" w:noHBand="0" w:noVBand="1" w:val="04A0"/>
      </w:tblPr>
      <w:tblGrid>
        <w:gridCol w:w="4680"/>
        <w:gridCol w:w="4680"/>
      </w:tblGrid>
      <w:tr>
        <w:trPr>
          <w:tblHeader/>
          <w:cantSplit/>
        </w:trPr>
        <w:tc>
          <w:tcPr>
            <w:tcW w:type="dxa" w:w="3312"/>
            <w:tcMar>
              <w:top w:w="120" w:type="dxa"/>
              <w:bottom w:w="120" w:type="dxa"/>
              <w:left w:w="150" w:type="dxa"/>
              <w:right w:w="150" w:type="dxa"/>
            </w:tcMar>
            <w:shd w:fill="1E3A8A"/>
            <w:tcBorders>
              <w:bottom w:val="single" w:sz="12" w:space="0" w:color="1E3A8A"/>
            </w:tcBorders>
          </w:tcPr>
          <w:p>
            <w:r>
              <w:rPr>
                <w:b/>
                <w:color w:val="1E3A8A"/>
                <w:sz w:val="20"/>
              </w:rPr>
              <w:t>Course Code &amp; Title</w:t>
            </w:r>
          </w:p>
        </w:tc>
        <w:tc>
          <w:tcPr>
            <w:tcW w:type="dxa" w:w="6048"/>
            <w:tcMar>
              <w:top w:w="120" w:type="dxa"/>
              <w:bottom w:w="120" w:type="dxa"/>
              <w:left w:w="150" w:type="dxa"/>
              <w:right w:w="150" w:type="dxa"/>
            </w:tcMar>
            <w:shd w:fill="1E3A8A"/>
            <w:tcBorders>
              <w:bottom w:val="single" w:sz="12" w:space="0" w:color="1E3A8A"/>
            </w:tcBorders>
          </w:tcPr>
          <w:p>
            <w:r>
              <w:rPr>
                <w:sz w:val="20"/>
              </w:rPr>
              <w:t>23CSE451 - Graph Mining (L-T-P-C: 3-0-0-3)</w:t>
            </w:r>
          </w:p>
        </w:tc>
      </w:tr>
      <w:tr>
        <w:trPr>
          <w:cantSplit/>
        </w:trPr>
        <w:tc>
          <w:tcPr>
            <w:tcW w:type="dxa" w:w="3312"/>
            <w:tcMar>
              <w:top w:w="120" w:type="dxa"/>
              <w:bottom w:w="120" w:type="dxa"/>
              <w:left w:w="150" w:type="dxa"/>
              <w:right w:w="150" w:type="dxa"/>
            </w:tcMar>
            <w:shd w:fill="FFFFFF"/>
            <w:tcBorders>
              <w:top w:val="single" w:sz="2" w:space="0" w:color="CBD5E1"/>
              <w:bottom w:val="single" w:sz="4" w:space="0" w:color="CBD5E1"/>
            </w:tcBorders>
          </w:tcPr>
          <w:p>
            <w:r>
              <w:rPr>
                <w:b/>
                <w:color w:val="1E3A8A"/>
                <w:sz w:val="20"/>
              </w:rPr>
              <w:t>Academic Year &amp; Semester</w:t>
            </w:r>
          </w:p>
        </w:tc>
        <w:tc>
          <w:tcPr>
            <w:tcW w:type="dxa" w:w="6048"/>
            <w:tcMar>
              <w:top w:w="120" w:type="dxa"/>
              <w:bottom w:w="120" w:type="dxa"/>
              <w:left w:w="150" w:type="dxa"/>
              <w:right w:w="150" w:type="dxa"/>
            </w:tcMar>
            <w:shd w:fill="FFFFFF"/>
            <w:tcBorders>
              <w:top w:val="single" w:sz="2" w:space="0" w:color="CBD5E1"/>
              <w:bottom w:val="single" w:sz="4" w:space="0" w:color="CBD5E1"/>
            </w:tcBorders>
          </w:tcPr>
          <w:p>
            <w:r>
              <w:rPr>
                <w:sz w:val="20"/>
              </w:rPr>
              <w:t>Academic Year: 2026-2027 | Semester VII (B.Tech CSE)</w:t>
            </w:r>
          </w:p>
        </w:tc>
      </w:tr>
      <w:tr>
        <w:trPr>
          <w:cantSplit/>
        </w:trPr>
        <w:tc>
          <w:tcPr>
            <w:tcW w:type="dxa" w:w="3312"/>
            <w:tcMar>
              <w:top w:w="120" w:type="dxa"/>
              <w:bottom w:w="120" w:type="dxa"/>
              <w:left w:w="150" w:type="dxa"/>
              <w:right w:w="150" w:type="dxa"/>
            </w:tcMar>
            <w:shd w:fill="F8FAFC"/>
            <w:tcBorders>
              <w:top w:val="single" w:sz="2" w:space="0" w:color="CBD5E1"/>
              <w:bottom w:val="single" w:sz="4" w:space="0" w:color="CBD5E1"/>
            </w:tcBorders>
          </w:tcPr>
          <w:p>
            <w:r>
              <w:rPr>
                <w:b/>
                <w:color w:val="1E3A8A"/>
                <w:sz w:val="20"/>
              </w:rPr>
              <w:t>Student Name</w:t>
            </w:r>
          </w:p>
        </w:tc>
        <w:tc>
          <w:tcPr>
            <w:tcW w:type="dxa" w:w="6048"/>
            <w:tcMar>
              <w:top w:w="120" w:type="dxa"/>
              <w:bottom w:w="120" w:type="dxa"/>
              <w:left w:w="150" w:type="dxa"/>
              <w:right w:w="150" w:type="dxa"/>
            </w:tcMar>
            <w:shd w:fill="F8FAFC"/>
            <w:tcBorders>
              <w:top w:val="single" w:sz="2" w:space="0" w:color="CBD5E1"/>
              <w:bottom w:val="single" w:sz="4" w:space="0" w:color="CBD5E1"/>
            </w:tcBorders>
          </w:tcPr>
          <w:p>
            <w:r>
              <w:rPr>
                <w:sz w:val="20"/>
              </w:rPr>
              <w:t>Arjun A.</w:t>
            </w:r>
          </w:p>
        </w:tc>
      </w:tr>
      <w:tr>
        <w:trPr>
          <w:cantSplit/>
        </w:trPr>
        <w:tc>
          <w:tcPr>
            <w:tcW w:type="dxa" w:w="3312"/>
            <w:tcMar>
              <w:top w:w="120" w:type="dxa"/>
              <w:bottom w:w="120" w:type="dxa"/>
              <w:left w:w="150" w:type="dxa"/>
              <w:right w:w="150" w:type="dxa"/>
            </w:tcMar>
            <w:shd w:fill="FFFFFF"/>
            <w:tcBorders>
              <w:top w:val="single" w:sz="2" w:space="0" w:color="CBD5E1"/>
              <w:bottom w:val="single" w:sz="4" w:space="0" w:color="CBD5E1"/>
            </w:tcBorders>
          </w:tcPr>
          <w:p>
            <w:r>
              <w:rPr>
                <w:b/>
                <w:color w:val="1E3A8A"/>
                <w:sz w:val="20"/>
              </w:rPr>
              <w:t>Register Number</w:t>
            </w:r>
          </w:p>
        </w:tc>
        <w:tc>
          <w:tcPr>
            <w:tcW w:type="dxa" w:w="6048"/>
            <w:tcMar>
              <w:top w:w="120" w:type="dxa"/>
              <w:bottom w:w="120" w:type="dxa"/>
              <w:left w:w="150" w:type="dxa"/>
              <w:right w:w="150" w:type="dxa"/>
            </w:tcMar>
            <w:shd w:fill="FFFFFF"/>
            <w:tcBorders>
              <w:top w:val="single" w:sz="2" w:space="0" w:color="CBD5E1"/>
              <w:bottom w:val="single" w:sz="4" w:space="0" w:color="CBD5E1"/>
            </w:tcBorders>
          </w:tcPr>
          <w:p>
            <w:r>
              <w:rPr>
                <w:sz w:val="20"/>
              </w:rPr>
              <w:t>AM.SC.U4CSE23011</w:t>
            </w:r>
          </w:p>
        </w:tc>
      </w:tr>
      <w:tr>
        <w:trPr>
          <w:cantSplit/>
        </w:trPr>
        <w:tc>
          <w:tcPr>
            <w:tcW w:type="dxa" w:w="3312"/>
            <w:tcMar>
              <w:top w:w="120" w:type="dxa"/>
              <w:bottom w:w="120" w:type="dxa"/>
              <w:left w:w="150" w:type="dxa"/>
              <w:right w:w="150" w:type="dxa"/>
            </w:tcMar>
            <w:shd w:fill="F8FAFC"/>
            <w:tcBorders>
              <w:top w:val="single" w:sz="2" w:space="0" w:color="CBD5E1"/>
              <w:bottom w:val="single" w:sz="4" w:space="0" w:color="CBD5E1"/>
            </w:tcBorders>
          </w:tcPr>
          <w:p>
            <w:r>
              <w:rPr>
                <w:b/>
                <w:color w:val="1E3A8A"/>
                <w:sz w:val="20"/>
              </w:rPr>
              <w:t>Evaluation Component</w:t>
            </w:r>
          </w:p>
        </w:tc>
        <w:tc>
          <w:tcPr>
            <w:tcW w:type="dxa" w:w="6048"/>
            <w:tcMar>
              <w:top w:w="120" w:type="dxa"/>
              <w:bottom w:w="120" w:type="dxa"/>
              <w:left w:w="150" w:type="dxa"/>
              <w:right w:w="150" w:type="dxa"/>
            </w:tcMar>
            <w:shd w:fill="F8FAFC"/>
            <w:tcBorders>
              <w:top w:val="single" w:sz="2" w:space="0" w:color="CBD5E1"/>
              <w:bottom w:val="single" w:sz="4" w:space="0" w:color="CBD5E1"/>
            </w:tcBorders>
          </w:tcPr>
          <w:p>
            <w:r>
              <w:rPr>
                <w:sz w:val="20"/>
              </w:rPr>
              <w:t>Course Case Study &amp; Empirical Implementation (Full Marks)</w:t>
            </w:r>
          </w:p>
        </w:tc>
      </w:tr>
      <w:tr>
        <w:trPr>
          <w:cantSplit/>
        </w:trPr>
        <w:tc>
          <w:tcPr>
            <w:tcW w:type="dxa" w:w="3312"/>
            <w:tcMar>
              <w:top w:w="120" w:type="dxa"/>
              <w:bottom w:w="120" w:type="dxa"/>
              <w:left w:w="150" w:type="dxa"/>
              <w:right w:w="150" w:type="dxa"/>
            </w:tcMar>
            <w:shd w:fill="FFFFFF"/>
            <w:tcBorders>
              <w:top w:val="single" w:sz="2" w:space="0" w:color="CBD5E1"/>
              <w:bottom w:val="single" w:sz="4" w:space="0" w:color="CBD5E1"/>
            </w:tcBorders>
          </w:tcPr>
          <w:p>
            <w:r>
              <w:rPr>
                <w:b/>
                <w:color w:val="1E3A8A"/>
                <w:sz w:val="20"/>
              </w:rPr>
              <w:t>Date of Submission</w:t>
            </w:r>
          </w:p>
        </w:tc>
        <w:tc>
          <w:tcPr>
            <w:tcW w:type="dxa" w:w="6048"/>
            <w:tcMar>
              <w:top w:w="120" w:type="dxa"/>
              <w:bottom w:w="120" w:type="dxa"/>
              <w:left w:w="150" w:type="dxa"/>
              <w:right w:w="150" w:type="dxa"/>
            </w:tcMar>
            <w:shd w:fill="FFFFFF"/>
            <w:tcBorders>
              <w:top w:val="single" w:sz="2" w:space="0" w:color="CBD5E1"/>
              <w:bottom w:val="single" w:sz="4" w:space="0" w:color="CBD5E1"/>
            </w:tcBorders>
          </w:tcPr>
          <w:p>
            <w:r>
              <w:rPr>
                <w:sz w:val="20"/>
              </w:rPr>
              <w:t>October 29, 2026</w:t>
            </w:r>
          </w:p>
        </w:tc>
      </w:tr>
    </w:tbl>
    <w:p>
      <w:r>
        <w:br w:type="page"/>
      </w:r>
    </w:p>
    <w:p>
      <w:pPr>
        <w:pStyle w:val="Heading1"/>
      </w:pPr>
      <w:r>
        <w:rPr>
          <w:color w:val="1E3A8A"/>
          <w:sz w:val="30"/>
        </w:rPr>
        <w:t>1. Abstract</w:t>
      </w:r>
    </w:p>
    <w:p>
      <w:pPr>
        <w:spacing w:line="288" w:lineRule="auto" w:after="200"/>
      </w:pPr>
      <w:r>
        <w:t>This case study presents RouteWise, an interactive dual-graph mining and geospatial optimization system focused on road connectivity and taxi mobility patterns across the urban agglomeration of Karunagappally, Kerala. We model the physical transportation infrastructure as a real directed OpenStreetMap (OSM) MultiDiGraph containing 9,634 vertices and 24,899 directed road segments, preserving one-way restrictions, turn angles, and parallel carriageway geometries. For routing, we implement and benchmark NetworkX Dijkstra and geodesic A* using an admissible Haversine straight-line distance heuristic, verifying path length parity against the Open Source Routing Machine (OSRM) driving API. Structural network resilience is evaluated through sampled edge betweenness centrality (k=500 pivots via Brandes' algorithm) and systematic edge-closure simulations across 665 road segments, identifying single-point-of-failure bottlenecks such as coastal canal bridges where single edge failures induce up to +105.56% (+8.92 km) detours. In parallel, a spatial gravity interaction model incorporating landmark demographic weights, transit hubs, and calibrated distance-decay (γ=1.3) generates a deterministic synthetic demand graph of 5,000 trips across 12 regional landmarks. Graph mining techniques—including weighted PageRank, nodal betweenness centrality, and Newman-Girvan modularity optimization via the Louvain algorithm across resolutions 0.5 to 1.5—uncover consistent community partitions reflecting regional commercial cores versus coastal transit links. The study establishes rigorous empirical separation between physical road networks and simulated mobility demand, presenting full reproducibility metrics and concrete algorithmic complexity profiles.</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180" w:type="dxa"/>
            </w:tcMar>
            <w:shd w:fill="ECFDF5"/>
            <w:tcBorders>
              <w:top w:val="single" w:sz="4" w:space="0" w:color="CBD5E1"/>
              <w:left w:val="single" w:sz="24" w:space="0" w:color="059669"/>
              <w:bottom w:val="single" w:sz="4" w:space="0" w:color="CBD5E1"/>
              <w:right w:val="single" w:sz="4" w:space="0" w:color="CBD5E1"/>
            </w:tcBorders>
          </w:tcPr>
          <w:p>
            <w:pPr>
              <w:spacing w:before="0" w:after="40" w:line="276" w:lineRule="auto"/>
            </w:pPr>
            <w:r>
              <w:rPr>
                <w:rFonts w:ascii="Arial" w:hAnsi="Arial"/>
                <w:b/>
                <w:color w:val="1E3A8A"/>
                <w:sz w:val="21"/>
              </w:rPr>
              <w:t>📌 Primary Theoretical Insight</w:t>
              <w:br/>
            </w:r>
            <w:r>
              <w:rPr>
                <w:rFonts w:ascii="Arial" w:hAnsi="Arial"/>
                <w:i/>
                <w:color w:val="0F172A"/>
                <w:sz w:val="19"/>
              </w:rPr>
              <w:t>Core Graph Mining Takeaway: Physical road topology and mobility demand operate under fundamentally distinct structural paradigms. While road graphs exhibit planar sparsity, low maximum degree (k_max=6), and vulnerability localized to physical bridges, origin-destination demand networks form dense, weighted multi-hub cliques governed by distance decay and land-use attractiveness.</w:t>
            </w:r>
          </w:p>
        </w:tc>
      </w:tr>
    </w:tbl>
    <w:p>
      <w:pPr>
        <w:spacing w:before="0" w:after="80"/>
      </w:pPr>
    </w:p>
    <w:p>
      <w:pPr>
        <w:pStyle w:val="Heading1"/>
      </w:pPr>
      <w:r>
        <w:rPr>
          <w:color w:val="1E3A8A"/>
        </w:rPr>
        <w:t>2. Introduction</w:t>
      </w:r>
    </w:p>
    <w:p>
      <w:r>
        <w:t>Urban transportation networks represent the quintessential domain for applied graph mining. Modern municipal transit systems grapple with escalating vehicular congestion, infrastructure bottlenecks, and dynamically shifting commuter demand. Karunagappally, an expanding commercial municipality situated along National Highway 66 (NH 66) in the Kollam district of Kerala, presents a compelling real-world laboratory. The region is characterized by complex topological constraints: a high-capacity north-south arterial highway, dense commercial ribbon development, coastal waterways and tidal inlets (such as the TS Canal and National Waterway 3), intermodal transport hubs (Karunagappally Railway Station and KSRTC Bus Depot), and educational clusters including Amrita Vishwa Vidyapeetham at Amritapuri.</w:t>
      </w:r>
    </w:p>
    <w:p>
      <w:r>
        <w:t>Graph mining offers mathematical abstractions capable of transforming unstructured spatial geography into rigorous computational models. Specifically, road infrastructure can be modeled as a spatial directed graph, where intersections and terminal points serve as vertices, while roadway segments represent directed edges weighted by physical length or travel impedance. In contrast, passenger travel demand forms an origin-destination (OD) spatial interaction graph, where vertices represent prominent regional landmarks and weighted edges denote aggregate trip frequencies.</w:t>
      </w:r>
    </w:p>
    <w:p>
      <w:r>
        <w:t>A central flaw in many transportation data projects is the conflation of physical roadway infrastructure with simulated trip distributions, leading to deceptive metrics and ungrounded algorithmic conclusions. RouteWise is specifically designed to enforce rigorous epistemological and methodological separation between these two distinct graph layers:</w:t>
      </w:r>
    </w:p>
    <w:p>
      <w:pPr>
        <w:pStyle w:val="ListBullet"/>
      </w:pPr>
      <w:r>
        <w:rPr>
          <w:b/>
        </w:rPr>
        <w:t xml:space="preserve">Real Physical Road Graph: </w:t>
      </w:r>
      <w:r>
        <w:t>Constructed from verified OpenStreetMap (OSM) vector geometry, maintaining exact geographic coordinates, one-way directional edges, and parallel roadway carriageways for physical shortest-path navigation and vulnerability analysis.</w:t>
      </w:r>
    </w:p>
    <w:p>
      <w:pPr>
        <w:pStyle w:val="ListBullet"/>
      </w:pPr>
      <w:r>
        <w:rPr>
          <w:b/>
        </w:rPr>
        <w:t xml:space="preserve">Synthetic Taxi Demand Graph: </w:t>
      </w:r>
      <w:r>
        <w:t>Generated through a spatial interaction Gravity Model grounded in landmark demographic generation weights, land-use attraction scores, and calibrated distance-decay functions, utilized exclusively for community detection and mobility pattern discovery.</w:t>
      </w:r>
    </w:p>
    <w:p>
      <w:pPr>
        <w:pStyle w:val="Heading1"/>
      </w:pPr>
      <w:r>
        <w:t>3. Related Work</w:t>
      </w:r>
    </w:p>
    <w:p>
      <w:r>
        <w:t>The graph-theoretic analysis of vehicular networks and urban mobility builds upon several landmark contributions spanning classical path algorithms, complex network analysis, and transportation resilience modeling.</w:t>
      </w:r>
    </w:p>
    <w:p>
      <w:r>
        <w:t>Spatial Road Modeling &amp; OSM Extraction: Boeing (2017) [1] formalized the programmatic retrieval and topological structuring of urban street networks from OpenStreetMap using OSMnx, demonstrating that planar MultiDiGraph representations correctly preserve complex intersection geometries and one-way constraints compared to simplified planar abstractions. Luxen and Vetter (2011) [2] introduced Contraction Hierarchies within the Open Source Routing Machine (OSRM), demonstrating that real-time continental routing requires multi-level graph preprocessing to achieve microsecond-scale query latencies on drivable graphs.</w:t>
      </w:r>
    </w:p>
    <w:p>
      <w:r>
        <w:t>Shortest Path and Heuristic Search: Dijkstra (1959) [3] established the foundational single-source shortest path algorithm running in O((V + E) log V) with binary or Fibonacci heaps. Hart, Nilsson, and Raphael (1968) [4] generalized this into the A* algorithm by integrating heuristic estimators. In geospatial road networks, straight-line Euclidean or Great-Circle (Haversine) distances provide strictly admissible and consistent heuristics, ensuring optimal path discovery while pruning unnecessary graph traversals.</w:t>
      </w:r>
    </w:p>
    <w:p>
      <w:r>
        <w:t>Centrality and Network Resilience: Brandes (2001) [5] revolutionized shortest-path betweenness centrality by developing an exact algorithm running in O(V · E) time for unweighted graphs and O(V · E + V^2 log V) for weighted graphs. In large-scale metropolitan road systems, computing exact betweenness over tens of thousands of vertices becomes computationally prohibitive; Brandes and Pich (2007) and Geisberger et al. established pivot-based stochastic sampling methods that provide provable approximation bounds. Transportation resilience researchers (Jenelius, Petersen, and Mattsson, 2006 [6]; Mattsson and Jenelius, 2015 [7]) formalized critical link identification by measuring network-wide detour ratios under single-edge and multi-edge topological removals, demonstrating that peripheral bridge structures exhibit catastrophic vulnerability compared to grid-like urban cores.</w:t>
      </w:r>
    </w:p>
    <w:p>
      <w:r>
        <w:t>Community Detection on Mobility Networks: Blondel, Guillaume, Lambiotte, and Lefebvre (2008) [8] introduced the Louvain method, a multi-phase greedy optimization algorithm maximizing Newman-Girvan modularity (Newman, 2006 [9]). In transportation analytics, Castro et al. (2013) [10] and Zheng et al. (2014) [11] applied community detection to taxi origin-destination callsets, discovering that mobility communities align with functional socioeconomic zones rather than arbitrary administrative boundaries. Hagberg, Swart, and S Chult (2008) [12] implemented these scalable data structures within the NetworkX framework, enabling reproducible empirical graph science.</w:t>
      </w:r>
    </w:p>
    <w:p>
      <w:pPr>
        <w:pStyle w:val="Heading1"/>
      </w:pPr>
      <w:r>
        <w:t>4. Problem Statement &amp; Objectives</w:t>
      </w:r>
    </w:p>
    <w:p>
      <w:r>
        <w:t>Problem Statement: Given a municipal region bounded by geographic coordinates B = (N, S, E, W), we seek to: (1) reconstruct the complete physical directed road graph G_road = (V_road, E_road) from OpenStreetMap without loss of multigraph lane geometry; (2) solve optimal routing across regional transit corridors using length-weighted Dijkstra and geodesic A*; (3) quantify structural network vulnerability through sampled edge betweenness centrality and systematic road closure simulations G_road \ {e}; and (4) model and partition spatial taxi mobility demand G_demand = (V_demand, E_demand) into functional clusters using Newman-Girvan modularity optimization across varying resolution scales.</w:t>
      </w:r>
    </w:p>
    <w:p>
      <w:r>
        <w:t>The specific objectives of this study are:</w:t>
      </w:r>
    </w:p>
    <w:p>
      <w:pPr>
        <w:pStyle w:val="ListBullet"/>
      </w:pPr>
      <w:r>
        <w:t>Construct and validate an offline-cached, directed OpenStreetMap MultiDiGraph for Karunagappally with zero synthetic road artifacts.</w:t>
      </w:r>
    </w:p>
    <w:p>
      <w:pPr>
        <w:pStyle w:val="ListBullet"/>
      </w:pPr>
      <w:r>
        <w:t>Implement a rigorous Coordinate Snapping mechanism mapping arbitrary inputs to the Largest Strongly Connected Component (SCC), eliminating dead-end entrapment.</w:t>
      </w:r>
    </w:p>
    <w:p>
      <w:pPr>
        <w:pStyle w:val="ListBullet"/>
      </w:pPr>
      <w:r>
        <w:t>Design a deterministic spatial interaction Gravity Model calibrated for Karunagappally landmarks, replacing ungrounded uniform noise generators.</w:t>
      </w:r>
    </w:p>
    <w:p>
      <w:pPr>
        <w:pStyle w:val="ListBullet"/>
      </w:pPr>
      <w:r>
        <w:t>Benchmark Dijkstra vs. A* runtime efficiency across 30 repeated runs and compare spatial fidelity against the OSRM public routing engine.</w:t>
      </w:r>
    </w:p>
    <w:p>
      <w:pPr>
        <w:pStyle w:val="ListBullet"/>
      </w:pPr>
      <w:r>
        <w:t>Systematically evaluate 665 directed road closures along evaluated shortest paths to pinpoint critical topological bottlenecks and measure detour inflation.</w:t>
      </w:r>
    </w:p>
    <w:p>
      <w:pPr>
        <w:pStyle w:val="ListBullet"/>
      </w:pPr>
      <w:r>
        <w:t>Perform multi-seed Louvain community detection across resolution scales γ in {0.5, 1.0, 1.5} and report stability and modularity scores.</w:t>
      </w:r>
    </w:p>
    <w:p>
      <w:pPr>
        <w:pStyle w:val="Heading1"/>
      </w:pPr>
      <w:r>
        <w:t>5. Data and Reproducibility</w:t>
      </w:r>
    </w:p>
    <w:p>
      <w:r>
        <w:t>Scientific integrity requires that every parameter, coordinate, and random seed be documented to enable independent reproduction. RouteWise utilizes two distinct datasets described below.</w:t>
      </w:r>
    </w:p>
    <w:p>
      <w:r>
        <w:t>OpenStreetMap Road Graph: Extracted via OSMnx within bounding box North: 9.16°N, South: 8.96°N, East: 76.66°E, West: 76.46°E (area: 22.2 km × 22.0 km ≈ 488 km²). Filter: network_type='drive', simplify=True. Captured and cached to data/karunagappally_drive.graphml on October 29, 2026. The graph contains 9,634 nodes and 24,899 directed edges.</w:t>
      </w:r>
    </w:p>
    <w:p>
      <w:pPr>
        <w:spacing w:before="160" w:after="40"/>
      </w:pPr>
      <w:r>
        <w:rPr>
          <w:b/>
          <w:color w:val="1E3A8A"/>
        </w:rPr>
        <w:t>Table 1: Study Area Landmark Coordinates, Demographic Weights, and Roles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2160"/>
            <w:tcMar>
              <w:top w:w="120" w:type="dxa"/>
              <w:bottom w:w="120" w:type="dxa"/>
              <w:left w:w="150" w:type="dxa"/>
              <w:right w:w="150" w:type="dxa"/>
            </w:tcMar>
            <w:shd w:fill="1E3A8A"/>
            <w:tcBorders>
              <w:bottom w:val="single" w:sz="12" w:space="0" w:color="1E3A8A"/>
            </w:tcBorders>
          </w:tcPr>
          <w:p>
            <w:r>
              <w:rPr>
                <w:b/>
                <w:color w:val="FFFFFF"/>
              </w:rPr>
              <w:t>Landmark Name</w:t>
            </w:r>
          </w:p>
        </w:tc>
        <w:tc>
          <w:tcPr>
            <w:tcW w:type="dxa" w:w="1296"/>
            <w:tcMar>
              <w:top w:w="120" w:type="dxa"/>
              <w:bottom w:w="120" w:type="dxa"/>
              <w:left w:w="150" w:type="dxa"/>
              <w:right w:w="150" w:type="dxa"/>
            </w:tcMar>
            <w:shd w:fill="1E3A8A"/>
            <w:tcBorders>
              <w:bottom w:val="single" w:sz="12" w:space="0" w:color="1E3A8A"/>
            </w:tcBorders>
          </w:tcPr>
          <w:p>
            <w:r>
              <w:rPr>
                <w:b/>
                <w:color w:val="FFFFFF"/>
              </w:rPr>
              <w:t>Latitude (°N)</w:t>
            </w:r>
          </w:p>
        </w:tc>
        <w:tc>
          <w:tcPr>
            <w:tcW w:type="dxa" w:w="1296"/>
            <w:tcMar>
              <w:top w:w="120" w:type="dxa"/>
              <w:bottom w:w="120" w:type="dxa"/>
              <w:left w:w="150" w:type="dxa"/>
              <w:right w:w="150" w:type="dxa"/>
            </w:tcMar>
            <w:shd w:fill="1E3A8A"/>
            <w:tcBorders>
              <w:bottom w:val="single" w:sz="12" w:space="0" w:color="1E3A8A"/>
            </w:tcBorders>
          </w:tcPr>
          <w:p>
            <w:r>
              <w:rPr>
                <w:b/>
                <w:color w:val="FFFFFF"/>
              </w:rPr>
              <w:t>Longitude (°E)</w:t>
            </w:r>
          </w:p>
        </w:tc>
        <w:tc>
          <w:tcPr>
            <w:tcW w:type="dxa" w:w="2592"/>
            <w:tcMar>
              <w:top w:w="120" w:type="dxa"/>
              <w:bottom w:w="120" w:type="dxa"/>
              <w:left w:w="150" w:type="dxa"/>
              <w:right w:w="150" w:type="dxa"/>
            </w:tcMar>
            <w:shd w:fill="1E3A8A"/>
            <w:tcBorders>
              <w:bottom w:val="single" w:sz="12" w:space="0" w:color="1E3A8A"/>
            </w:tcBorders>
          </w:tcPr>
          <w:p>
            <w:r>
              <w:rPr>
                <w:b/>
                <w:color w:val="FFFFFF"/>
              </w:rPr>
              <w:t>Transit / Regional Role</w:t>
            </w:r>
          </w:p>
        </w:tc>
        <w:tc>
          <w:tcPr>
            <w:tcW w:type="dxa" w:w="1008"/>
            <w:tcMar>
              <w:top w:w="120" w:type="dxa"/>
              <w:bottom w:w="120" w:type="dxa"/>
              <w:left w:w="150" w:type="dxa"/>
              <w:right w:w="150" w:type="dxa"/>
            </w:tcMar>
            <w:shd w:fill="1E3A8A"/>
            <w:tcBorders>
              <w:bottom w:val="single" w:sz="12" w:space="0" w:color="1E3A8A"/>
            </w:tcBorders>
          </w:tcPr>
          <w:p>
            <w:r>
              <w:rPr>
                <w:b/>
                <w:color w:val="FFFFFF"/>
              </w:rPr>
              <w:t>Pop. Weight (P_i)</w:t>
            </w:r>
          </w:p>
        </w:tc>
        <w:tc>
          <w:tcPr>
            <w:tcW w:type="dxa" w:w="1008"/>
            <w:tcMar>
              <w:top w:w="120" w:type="dxa"/>
              <w:bottom w:w="120" w:type="dxa"/>
              <w:left w:w="150" w:type="dxa"/>
              <w:right w:w="150" w:type="dxa"/>
            </w:tcMar>
            <w:shd w:fill="1E3A8A"/>
            <w:tcBorders>
              <w:bottom w:val="single" w:sz="12" w:space="0" w:color="1E3A8A"/>
            </w:tcBorders>
          </w:tcPr>
          <w:p>
            <w:r>
              <w:rPr>
                <w:b/>
                <w:color w:val="FFFFFF"/>
              </w:rPr>
              <w:t>Attr. Weight (A_j)</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Karunagappally</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9.0544</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76.5353</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Central Municipal Business District</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100</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100</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Railway Station</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9.062</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76.5401</w:t>
            </w:r>
          </w:p>
        </w:tc>
        <w:tc>
          <w:tcPr>
            <w:tcW w:type="dxa" w:w="2592"/>
            <w:tcMar>
              <w:top w:w="120" w:type="dxa"/>
              <w:bottom w:w="120" w:type="dxa"/>
              <w:left w:w="150" w:type="dxa"/>
              <w:right w:w="150" w:type="dxa"/>
            </w:tcMar>
            <w:shd w:fill="F8FAFC"/>
            <w:tcBorders>
              <w:top w:val="single" w:sz="2" w:space="0" w:color="CBD5E1"/>
              <w:bottom w:val="single" w:sz="4" w:space="0" w:color="CBD5E1"/>
            </w:tcBorders>
          </w:tcPr>
          <w:p>
            <w:r>
              <w:t>Southern Railway Intermodal Transit Hub</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80</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85</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KSRTC Bus Stand</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9.0531</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76.5365</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State Road Transport Regional Bus Depot</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90</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90</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Oachira</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9.1306</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76.5042</w:t>
            </w:r>
          </w:p>
        </w:tc>
        <w:tc>
          <w:tcPr>
            <w:tcW w:type="dxa" w:w="2592"/>
            <w:tcMar>
              <w:top w:w="120" w:type="dxa"/>
              <w:bottom w:w="120" w:type="dxa"/>
              <w:left w:w="150" w:type="dxa"/>
              <w:right w:w="150" w:type="dxa"/>
            </w:tcMar>
            <w:shd w:fill="F8FAFC"/>
            <w:tcBorders>
              <w:top w:val="single" w:sz="2" w:space="0" w:color="CBD5E1"/>
              <w:bottom w:val="single" w:sz="4" w:space="0" w:color="CBD5E1"/>
            </w:tcBorders>
          </w:tcPr>
          <w:p>
            <w:r>
              <w:t>Northern Temple Town &amp; Border Junction</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45</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50</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Chavara</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8.9967</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76.527</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Southern Industrial Belt (KMML/IRE)</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50</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45</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Sasthamkotta</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9.0436</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76.6264</w:t>
            </w:r>
          </w:p>
        </w:tc>
        <w:tc>
          <w:tcPr>
            <w:tcW w:type="dxa" w:w="2592"/>
            <w:tcMar>
              <w:top w:w="120" w:type="dxa"/>
              <w:bottom w:w="120" w:type="dxa"/>
              <w:left w:w="150" w:type="dxa"/>
              <w:right w:w="150" w:type="dxa"/>
            </w:tcMar>
            <w:shd w:fill="F8FAFC"/>
            <w:tcBorders>
              <w:top w:val="single" w:sz="2" w:space="0" w:color="CBD5E1"/>
              <w:bottom w:val="single" w:sz="4" w:space="0" w:color="CBD5E1"/>
            </w:tcBorders>
          </w:tcPr>
          <w:p>
            <w:r>
              <w:t>Inland Freshwater Lake &amp; Tourism Hub</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40</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40</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Mynagappally</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9.0482</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76.5681</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Agricultural &amp; Suburban Commuter Village</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35</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30</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Thazhava</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9.0831</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76.5583</w:t>
            </w:r>
          </w:p>
        </w:tc>
        <w:tc>
          <w:tcPr>
            <w:tcW w:type="dxa" w:w="2592"/>
            <w:tcMar>
              <w:top w:w="120" w:type="dxa"/>
              <w:bottom w:w="120" w:type="dxa"/>
              <w:left w:w="150" w:type="dxa"/>
              <w:right w:w="150" w:type="dxa"/>
            </w:tcMar>
            <w:shd w:fill="F8FAFC"/>
            <w:tcBorders>
              <w:top w:val="single" w:sz="2" w:space="0" w:color="CBD5E1"/>
              <w:bottom w:val="single" w:sz="4" w:space="0" w:color="CBD5E1"/>
            </w:tcBorders>
          </w:tcPr>
          <w:p>
            <w:r>
              <w:t>North-Eastern Residential Township</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35</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30</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Clappana</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9.1124</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76.4982</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North-Western Coastal Fishing Belt</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25</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25</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Vallikavu</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9.0898</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76.4897</w:t>
            </w:r>
          </w:p>
        </w:tc>
        <w:tc>
          <w:tcPr>
            <w:tcW w:type="dxa" w:w="2592"/>
            <w:tcMar>
              <w:top w:w="120" w:type="dxa"/>
              <w:bottom w:w="120" w:type="dxa"/>
              <w:left w:w="150" w:type="dxa"/>
              <w:right w:w="150" w:type="dxa"/>
            </w:tcMar>
            <w:shd w:fill="F8FAFC"/>
            <w:tcBorders>
              <w:top w:val="single" w:sz="2" w:space="0" w:color="CBD5E1"/>
              <w:bottom w:val="single" w:sz="4" w:space="0" w:color="CBD5E1"/>
            </w:tcBorders>
          </w:tcPr>
          <w:p>
            <w:r>
              <w:t>National Waterway 3 Bridge Landing</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30</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35</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Amritapuri</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9.0939</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76.4918</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University Campus &amp; International Ashram</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65</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70</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Puthiyakavu</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9.0712</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76.5321</w:t>
            </w:r>
          </w:p>
        </w:tc>
        <w:tc>
          <w:tcPr>
            <w:tcW w:type="dxa" w:w="2592"/>
            <w:tcMar>
              <w:top w:w="120" w:type="dxa"/>
              <w:bottom w:w="120" w:type="dxa"/>
              <w:left w:w="150" w:type="dxa"/>
              <w:right w:w="150" w:type="dxa"/>
            </w:tcMar>
            <w:shd w:fill="F8FAFC"/>
            <w:tcBorders>
              <w:top w:val="single" w:sz="2" w:space="0" w:color="CBD5E1"/>
              <w:bottom w:val="single" w:sz="4" w:space="0" w:color="CBD5E1"/>
            </w:tcBorders>
          </w:tcPr>
          <w:p>
            <w:r>
              <w:t>Northern Municipal Commercial Junction</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45</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45</w:t>
            </w:r>
          </w:p>
        </w:tc>
      </w:tr>
    </w:tbl>
    <w:p/>
    <w:p>
      <w:r>
        <w:t>Deterministic Synthetic Demand Model: Real taxi telemetry in Karunagappally is not publicly available from commercial dispatchers. Rather than injecting uniform random noise, we generate N=5,000 trips using a spatial interaction Gravity Model (Zipf, 1946; Wilson, 1971):</w:t>
      </w:r>
    </w:p>
    <w:p>
      <w:pPr>
        <w:spacing w:before="120" w:after="40"/>
      </w:pPr>
      <w:r>
        <w:rPr>
          <w:rFonts w:ascii="Arial" w:hAnsi="Arial"/>
          <w:b/>
          <w:color w:val="1E3A8A"/>
          <w:sz w:val="20"/>
        </w:rPr>
        <w:t>Gravity Model Formulation for Synthetic Mobility Generation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T_{ij} = k · \frac{P_i^{\alpha} · A_j^{\beta}}{d_{ij}^{\gamma}}</w:t>
              <w:br/>
              <w:t>Where:</w:t>
              <w:br/>
              <w:t xml:space="preserve">  - P_i = Origin landmark population/trip-generation weight</w:t>
              <w:br/>
              <w:t xml:space="preserve">  - A_j = Destination landmark economic/transit attraction weight</w:t>
              <w:br/>
              <w:t xml:space="preserve">  - d_{ij} = Verified network shortest-path distance (km) on the real OSM graph</w:t>
              <w:br/>
              <w:t xml:space="preserve">  - alpha = 1.0, beta = 1.0, gamma = 1.3 (calibrated distance decay exponent)</w:t>
              <w:br/>
              <w:t xml:space="preserve">  - k = Normalizing factor ensuring sum(T_{ij}) = 5,000 trips (Seed = 42)</w:t>
              <w:br/>
              <w:t xml:space="preserve">  - Temporal sampling: Peak morning (08:00-10:00) and evening (16:30-19:30) weights</w:t>
            </w:r>
          </w:p>
        </w:tc>
      </w:tr>
    </w:tbl>
    <w:p>
      <w:pPr>
        <w:spacing w:after="80"/>
      </w:pPr>
    </w:p>
    <w:p>
      <w:r>
        <w:t>Academic Taxi Fare Estimation Formula: Calibrated in accordance with the Kerala Motor Vehicles Department (MVD) fare schedule for auto-rickshaws and regional taxis:</w:t>
      </w:r>
    </w:p>
    <w:p>
      <w:pPr>
        <w:spacing w:before="120" w:after="40"/>
      </w:pPr>
      <w:r>
        <w:rPr>
          <w:rFonts w:ascii="Arial" w:hAnsi="Arial"/>
          <w:b/>
          <w:color w:val="1E3A8A"/>
          <w:sz w:val="20"/>
        </w:rPr>
        <w:t>Kerala MVD Grounded Academic Fare Equation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Fare(INR) = FARE_BASE + (d_km · FARE_PER_KM) + (t_min · FARE_PER_MIN)</w:t>
              <w:br/>
              <w:t>Parameters:</w:t>
              <w:br/>
              <w:t xml:space="preserve">  - FARE_BASE = 45.0 INR (flag drop covering initial 1.5 km)</w:t>
              <w:br/>
              <w:t xml:space="preserve">  - FARE_PER_KM = 18.0 INR / km</w:t>
              <w:br/>
              <w:t xml:space="preserve">  - FARE_PER_MIN = 1.5 INR / min (waiting / congestion transit rate)</w:t>
              <w:br/>
              <w:t xml:space="preserve">  - Evaluated uniformly across Dijkstra routes (at 28 km/h baseline speed) and OSRM candidates.</w:t>
            </w:r>
          </w:p>
        </w:tc>
      </w:tr>
    </w:tbl>
    <w:p>
      <w:pPr>
        <w:spacing w:after="80"/>
      </w:pPr>
    </w:p>
    <w:p>
      <w:pPr>
        <w:pStyle w:val="Heading1"/>
      </w:pPr>
      <w:r>
        <w:t>6. Graph Modeling</w:t>
      </w:r>
    </w:p>
    <w:p>
      <w:r>
        <w:t>RouteWise formalizes the transportation environment into two cleanly separated mathematical graphs:</w:t>
      </w:r>
    </w:p>
    <w:p>
      <w:r>
        <w:t>Physical Road Graph (G_road = (V_road, E_road)): Formatted as a directed MultiDiGraph. Vertices v in V_road represent physical intersections, highway ramps, and dead-ends with geographic attributes (lat, lon, x, y, elevation). Directed edges e = (u, v, k) represent one-way or two-way vehicular road segments, where k is the multigraph key distinguishing parallel lanes or divided highway carriageways. The edge weight w(e) is the physical road segment length in meters. Parallel edge resolution is strictly defined as:</w:t>
      </w:r>
    </w:p>
    <w:p>
      <w:pPr>
        <w:spacing w:before="120" w:after="40"/>
      </w:pPr>
      <w:r>
        <w:rPr>
          <w:rFonts w:ascii="Arial" w:hAnsi="Arial"/>
          <w:b/>
          <w:color w:val="1E3A8A"/>
          <w:sz w:val="20"/>
        </w:rPr>
        <w:t>Parallel Edge Weight Resolution</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w(u, v) = min_{k} { length(u, v, k) }</w:t>
              <w:br/>
              <w:t>Guarantees that when multiple parallel links exist between vertices u and v, Dijkstra</w:t>
              <w:br/>
              <w:t>selects the exact minimal traversal length.</w:t>
            </w:r>
          </w:p>
        </w:tc>
      </w:tr>
    </w:tbl>
    <w:p>
      <w:pPr>
        <w:spacing w:after="80"/>
      </w:pPr>
    </w:p>
    <w:p>
      <w:r>
        <w:t>Strong Connectivity &amp; Snapping Protocol: In directed geographic networks, snapping coordinates to the nearest arbitrary node often traps routes in one-way dead-ends. RouteWise resolves this by partitioning G_road into strongly connected components (SCCs). The graph comprises 1 Weakly Connected Component (WCC) and 2 Strongly Connected Components: the giant SCC contains 9,633 nodes (99.99%), with exactly 1 sink node disconnected in the reverse direction. Coordinate snapping is constrained strictly to the giant SCC:</w:t>
      </w:r>
    </w:p>
    <w:p>
      <w:pPr>
        <w:spacing w:before="120" w:after="40"/>
      </w:pPr>
      <w:r>
        <w:rPr>
          <w:rFonts w:ascii="Arial" w:hAnsi="Arial"/>
          <w:b/>
          <w:color w:val="1E3A8A"/>
          <w:sz w:val="20"/>
        </w:rPr>
        <w:t>SCC-Constrained Nearest Node Snapping</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v_snap = argmin_{v in V_{SCC}} { (x_v - lon)^2 + (y_v - lat)^2 }</w:t>
              <w:br/>
              <w:t>Guarantees that every snapped origin and destination is mutually reachable across directed edges.</w:t>
            </w:r>
          </w:p>
        </w:tc>
      </w:tr>
    </w:tbl>
    <w:p>
      <w:pPr>
        <w:spacing w:after="80"/>
      </w:pPr>
    </w:p>
    <w:p>
      <w:r>
        <w:t>Synthetic Demand Graph (G_demand = (V_demand, E_demand)): A directed, weighted landmark interaction network where V_demand represents the 12 named regional landmarks, and directed edges e = (u, v) carry a weight W_uv equal to the total simulated trip frequency from landmark u to landmark v.</w:t>
      </w:r>
    </w:p>
    <w:p>
      <w:pPr>
        <w:pStyle w:val="Heading1"/>
      </w:pPr>
      <w:r>
        <w:t>7. Methods and Algorithms</w:t>
      </w:r>
    </w:p>
    <w:p>
      <w:r>
        <w:t>This section details the algorithmic procedures implemented across the RouteWise pipeline.</w:t>
      </w:r>
    </w:p>
    <w:p>
      <w:pPr>
        <w:spacing w:before="120" w:after="40"/>
      </w:pPr>
      <w:r>
        <w:rPr>
          <w:rFonts w:ascii="Arial" w:hAnsi="Arial"/>
          <w:b/>
          <w:color w:val="1E3A8A"/>
          <w:sz w:val="20"/>
        </w:rPr>
        <w:t>Algorithm 1: Shortest-Path Computation on Directed MultiDiGraph</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Algorithm 1: Length-Weighted MultiDiGraph Dijkstra</w:t>
              <w:br/>
              <w:t>Input: Directed MultiDiGraph G = (V, E), source node s, target node t, weight attribute 'length'</w:t>
              <w:br/>
              <w:t>Output: Optimal vertex path P = [s, v_1, ..., t], distance dist[t]</w:t>
              <w:br/>
              <w:t>1: Initialize dist[v] = infinity for all v in V; dist[s] = 0; pred[v] = None</w:t>
              <w:br/>
              <w:t>2: Priority queue Q = MinHeap([(0, s)])</w:t>
              <w:br/>
              <w:t>3: while Q is not empty do</w:t>
              <w:br/>
              <w:t>4:     (d, u) = ExtractMin(Q)</w:t>
              <w:br/>
              <w:t>5:     if d &gt; dist[u] then continue</w:t>
              <w:br/>
              <w:t>6:     if u == t then break</w:t>
              <w:br/>
              <w:t>7:     for each out-neighbor v of u do</w:t>
              <w:br/>
              <w:t>8:         w_uv = min_{k} { G.get_edge_data(u, v, k)['length'] }</w:t>
              <w:br/>
              <w:t>9:         if dist[u] + w_uv &lt; dist[v] then</w:t>
              <w:br/>
              <w:t>10:            dist[v] = dist[u] + w_uv</w:t>
              <w:br/>
              <w:t>11:            pred[v] = u</w:t>
              <w:br/>
              <w:t>12:            InsertOrDecreaseKey(Q, (dist[v], v))</w:t>
              <w:br/>
              <w:t>13: Reconstruct path P from pred back to s; return (P, dist[t])</w:t>
            </w:r>
          </w:p>
        </w:tc>
      </w:tr>
    </w:tbl>
    <w:p>
      <w:pPr>
        <w:spacing w:after="80"/>
      </w:pPr>
    </w:p>
    <w:p>
      <w:pPr>
        <w:spacing w:before="120" w:after="40"/>
      </w:pPr>
      <w:r>
        <w:rPr>
          <w:rFonts w:ascii="Arial" w:hAnsi="Arial"/>
          <w:b/>
          <w:color w:val="1E3A8A"/>
          <w:sz w:val="20"/>
        </w:rPr>
        <w:t>Algorithm 2: Geodesic A* Search with Great-Circle Heuristic</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Algorithm 2: Geodesic A* with Admissible Haversine Distance Heuristic</w:t>
              <w:br/>
              <w:t>Input: Graph G = (V, E), source s, target t</w:t>
              <w:br/>
              <w:t>Heuristic h(u, t): Straight-line great-circle distance (meters):</w:t>
              <w:br/>
              <w:t xml:space="preserve">  delta_phi = rad(lat_t - lat_u); delta_lambda = rad(lon_t - lon_u)</w:t>
              <w:br/>
              <w:t xml:space="preserve">  a = sin^2(delta_phi/2) + cos(rad(lat_u)) * cos(rad(lat_t)) * sin^2(delta_lambda/2)</w:t>
              <w:br/>
              <w:t xml:space="preserve">  h(u, t) = 2 * R_earth * asin(sqrt(a))  [Admissible because h(u, t) &lt;= true road distance]</w:t>
              <w:br/>
              <w:t>1: g_score[v] = infinity for all v in V; g_score[s] = 0</w:t>
              <w:br/>
              <w:t>2: f_score[v] = infinity; f_score[s] = h(s, t)</w:t>
              <w:br/>
              <w:t>3: OpenSet = MinHeap([(f_score[s], s)])</w:t>
              <w:br/>
              <w:t>4: while OpenSet is not empty do</w:t>
              <w:br/>
              <w:t>5:     (f, u) = ExtractMin(OpenSet)</w:t>
              <w:br/>
              <w:t>6:     if u == t then return ReconstructPath(pred, t)</w:t>
              <w:br/>
              <w:t>7:     for each out-neighbor v of u do</w:t>
              <w:br/>
              <w:t>8:         tentative_g = g_score[u] + min_k { G[u][v][k]['length'] }</w:t>
              <w:br/>
              <w:t>9:         if tentative_g &lt; g_score[v] then</w:t>
              <w:br/>
              <w:t>10:            pred[v] = u; g_score[v] = tentative_g</w:t>
              <w:br/>
              <w:t>11:            f_score[v] = tentative_g + h(v, t)</w:t>
              <w:br/>
              <w:t>12:            Push(OpenSet, (f_score[v], v))</w:t>
            </w:r>
          </w:p>
        </w:tc>
      </w:tr>
    </w:tbl>
    <w:p>
      <w:pPr>
        <w:spacing w:after="80"/>
      </w:pPr>
    </w:p>
    <w:p>
      <w:pPr>
        <w:spacing w:before="120" w:after="40"/>
      </w:pPr>
      <w:r>
        <w:rPr>
          <w:rFonts w:ascii="Arial" w:hAnsi="Arial"/>
          <w:b/>
          <w:color w:val="1E3A8A"/>
          <w:sz w:val="20"/>
        </w:rPr>
        <w:t>Algorithm 3: Sampled Edge Betweenness Centrality via Pivot Sampling</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Algorithm 3: Sampled Edge Betweenness Centrality (Brandes Pivot Sampling)</w:t>
              <w:br/>
              <w:t>Input: Directed Graph G = (V, E), sample pivot count k = 500, random seed = 42</w:t>
              <w:br/>
              <w:t>Output: Edge betweenness score C_B(e) for all e in E</w:t>
              <w:br/>
              <w:t>1: Initialize C_B(e) = 0 for all e in E</w:t>
              <w:br/>
              <w:t>2: Randomly sample k distinct pivot source nodes S_p subset of V using seed = 42</w:t>
              <w:br/>
              <w:t>3: for each pivot s in S_p do</w:t>
              <w:br/>
              <w:t>4:     Run single-source shortest path from s (Dijkstra) tracking path counts sigma[v] and predecessors P[v]</w:t>
              <w:br/>
              <w:t>5:     Initialize nodal dependencies delta[v] = 0 for all v in V</w:t>
              <w:br/>
              <w:t>6:     Stack S contains vertices ordered by descending distance from s</w:t>
              <w:br/>
              <w:t>7:     while S is not empty do</w:t>
              <w:br/>
              <w:t>8:         Pop w from S</w:t>
              <w:br/>
              <w:t>9:         for each predecessor v in P[w] do</w:t>
              <w:br/>
              <w:t>10:            c = (sigma[v] / sigma[w]) * (1 + delta[w])</w:t>
              <w:br/>
              <w:t>11:            C_B(v, w) = C_B(v, w) + c</w:t>
              <w:br/>
              <w:t>12:            delta[v] = delta[v] + c</w:t>
              <w:br/>
              <w:t>13: Normalize C_B(e) by scale factor (|V| / k) / ((|V|-1)(|V|-2))</w:t>
            </w:r>
          </w:p>
        </w:tc>
      </w:tr>
    </w:tbl>
    <w:p>
      <w:pPr>
        <w:spacing w:after="80"/>
      </w:pPr>
    </w:p>
    <w:p>
      <w:pPr>
        <w:spacing w:before="120" w:after="40"/>
      </w:pPr>
      <w:r>
        <w:rPr>
          <w:rFonts w:ascii="Arial" w:hAnsi="Arial"/>
          <w:b/>
          <w:color w:val="1E3A8A"/>
          <w:sz w:val="20"/>
        </w:rPr>
        <w:t>Algorithm 4: Louvain Modularity Optimization with Resolution Scaling</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Algorithm 4: Louvain Modularity Community Detection (Multi-Resolution)</w:t>
              <w:br/>
              <w:t>Input: Undirected Aggregated Demand Graph G = (V, E, W), resolution parameter gamma in {0.5, 1.0, 1.5}</w:t>
              <w:br/>
              <w:t>Output: Community partition C = {C_1, C_2, ...}, modularity Q</w:t>
              <w:br/>
              <w:t>Objective: Maximize Q_gamma = 1/(2m) * sum_{ij} [ A_ij - gamma * (k_i * k_j)/(2m) ] * delta(c_i, c_j)</w:t>
              <w:br/>
              <w:t>Phase 1 (Greedy Local Moving):</w:t>
              <w:br/>
              <w:t>1: Assign each node i in V to its own distinct community C_i = {i}</w:t>
              <w:br/>
              <w:t>2: repeat</w:t>
              <w:br/>
              <w:t>3:     for each node i in V do</w:t>
              <w:br/>
              <w:t>4:         Evaluate Delta Q_gamma for moving node i into the community of each neighbor j</w:t>
              <w:br/>
              <w:t>5:         Place node i into community C* that yields maximum positive Delta Q_gamma</w:t>
              <w:br/>
              <w:t>6: until no further positive modularity gain is achieved</w:t>
              <w:br/>
              <w:t>Phase 2 (Community Aggregation):</w:t>
              <w:br/>
              <w:t>7: Build meta-graph where nodes represent detected communities and edges are aggregate inter-community weights</w:t>
              <w:br/>
              <w:t>8: Repeat Phase 1 on meta-graph until modularity converges to global plateau</w:t>
            </w:r>
          </w:p>
        </w:tc>
      </w:tr>
    </w:tbl>
    <w:p>
      <w:pPr>
        <w:spacing w:after="80"/>
      </w:pPr>
    </w:p>
    <w:p>
      <w:pPr>
        <w:spacing w:before="120" w:after="40"/>
      </w:pPr>
      <w:r>
        <w:rPr>
          <w:rFonts w:ascii="Arial" w:hAnsi="Arial"/>
          <w:b/>
          <w:color w:val="1E3A8A"/>
          <w:sz w:val="20"/>
        </w:rPr>
        <w:t>Algorithm 5: Road Closure Detour and Vulnerability Assessment</w:t>
      </w:r>
    </w:p>
    <w:tbl>
      <w:tblPr>
        <w:tblW w:type="auto" w:w="0"/>
        <w:jc w:val="center"/>
        <w:tblLook w:firstColumn="1" w:firstRow="1" w:lastColumn="0" w:lastRow="0" w:noHBand="0" w:noVBand="1" w:val="04A0"/>
      </w:tblPr>
      <w:tblGrid>
        <w:gridCol w:w="9360"/>
      </w:tblGrid>
      <w:tr>
        <w:tc>
          <w:tcPr>
            <w:tcW w:type="dxa" w:w="9360"/>
            <w:tcMar>
              <w:top w:w="100" w:type="dxa"/>
              <w:bottom w:w="100" w:type="dxa"/>
              <w:left w:w="140" w:type="dxa"/>
              <w:right w:w="140" w:type="dxa"/>
            </w:tcMar>
            <w:shd w:fill="F1F5F9"/>
            <w:tcBorders>
              <w:top w:val="single" w:sz="4" w:space="0" w:color="CBD5E1"/>
              <w:left w:val="single" w:sz="12" w:space="0" w:color="94A3B8"/>
              <w:bottom w:val="single" w:sz="4" w:space="0" w:color="CBD5E1"/>
              <w:right w:val="single" w:sz="4" w:space="0" w:color="CBD5E1"/>
            </w:tcBorders>
          </w:tcPr>
          <w:p>
            <w:pPr>
              <w:spacing w:before="0" w:after="0" w:line="252" w:lineRule="auto"/>
            </w:pPr>
            <w:r>
              <w:rPr>
                <w:rFonts w:ascii="Consolas" w:hAnsi="Consolas"/>
                <w:color w:val="1E293B"/>
                <w:sz w:val="17"/>
              </w:rPr>
              <w:t>Algorithm 5: Systematic Road Closure Resilience &amp; Detour Analysis</w:t>
              <w:br/>
              <w:t>Input: Graph G = (V, E), Origin-Destination set OD_pairs</w:t>
              <w:br/>
              <w:t>1: for each pair (s_name, t_name) in OD_pairs do</w:t>
              <w:br/>
              <w:t>2:     P_orig = ShortestPath(G, s, t, weight='length')</w:t>
              <w:br/>
              <w:t>3:     D_orig = PathLength(P_orig)</w:t>
              <w:br/>
              <w:t>4:     for each edge e = (u, v, k) along P_orig do</w:t>
              <w:br/>
              <w:t>5:         Temporarily remove e from G in-place: G.remove_edge(u, v, k)</w:t>
              <w:br/>
              <w:t>6:         try:</w:t>
              <w:br/>
              <w:t>7:             P_new = ShortestPath(G, s, t, weight='length')</w:t>
              <w:br/>
              <w:t>8:             D_detour = PathLength(P_new)</w:t>
              <w:br/>
              <w:t>9:             pct_increase = ((D_detour - D_orig) / D_orig) * 100%</w:t>
              <w:br/>
              <w:t>10:        except NetworkXNoPath:</w:t>
              <w:br/>
              <w:t>11:            Mark e as Disconnecting Bridge (pct_increase = infinity)</w:t>
              <w:br/>
              <w:t>12:        finally: Restore edge: G.add_edge(u, v, key=k, **edge_data)</w:t>
              <w:br/>
              <w:t>13: Rank edges by detour increase to isolate critical topological vulnerabilities</w:t>
            </w:r>
          </w:p>
        </w:tc>
      </w:tr>
    </w:tbl>
    <w:p>
      <w:pPr>
        <w:spacing w:after="80"/>
      </w:pPr>
    </w:p>
    <w:p>
      <w:pPr>
        <w:pStyle w:val="Heading1"/>
      </w:pPr>
      <w:r>
        <w:t>8. Implementation &amp; System Architecture</w:t>
      </w:r>
    </w:p>
    <w:p>
      <w:r>
        <w:t>RouteWise is architected as an interactive web-based analytical platform. The backend is implemented in Python 3.10+ leveraging Flask, NetworkX 3.2, OSMnx 2.0, NumPy, Pandas, and Shapely. The client interface combines Leaflet.js for geographic road overlays, Cytoscape.js for interactive topological demand graphs, and Plotly.js for analytical distributions.</w:t>
      </w:r>
    </w:p>
    <w:p>
      <w:r>
        <w:t>Containerization: To ensure portable, zero-configuration reproduction across Linux, macOS, and Windows workstations, the complete environment is packaged into a production Docker image (Python 3.11-slim base) orchestrating the web daemon on port 5050 with offline fallback guarantees.</w:t>
      </w:r>
    </w:p>
    <w:p>
      <w:pPr>
        <w:pStyle w:val="Heading1"/>
      </w:pPr>
      <w:r>
        <w:t>9. Output and Results</w:t>
      </w:r>
    </w:p>
    <w:p>
      <w:r>
        <w:t>All experimental findings presented herein were generated directly by executing analysis/run_experiments.py and smoke_check.py against the verified repository data.</w:t>
      </w:r>
    </w:p>
    <w:p>
      <w:pPr>
        <w:pStyle w:val="Heading2"/>
      </w:pPr>
      <w:r>
        <w:t>9.1 Road Network Topological Characteristics</w:t>
      </w:r>
    </w:p>
    <w:p>
      <w:r>
        <w:t>The extracted road network covers 488 km² of the Karunagappally municipal territory. Table 2 summarizes its topological properties.</w:t>
      </w:r>
    </w:p>
    <w:p>
      <w:r>
        <w:rPr>
          <w:b/>
          <w:color w:val="1E3A8A"/>
        </w:rPr>
        <w:t>Table 2: Road Network Structural Connectivity and Metric Summary</w:t>
      </w:r>
    </w:p>
    <w:tbl>
      <w:tblPr>
        <w:tblW w:type="auto" w:w="0"/>
        <w:jc w:val="center"/>
        <w:tblLook w:firstColumn="1" w:firstRow="1" w:lastColumn="0" w:lastRow="0" w:noHBand="0" w:noVBand="1" w:val="04A0"/>
      </w:tblPr>
      <w:tblGrid>
        <w:gridCol w:w="4680"/>
        <w:gridCol w:w="4680"/>
      </w:tblGrid>
      <w:tr>
        <w:trPr>
          <w:tblHeader/>
          <w:cantSplit/>
        </w:trPr>
        <w:tc>
          <w:tcPr>
            <w:tcW w:type="dxa" w:w="4608"/>
            <w:tcMar>
              <w:top w:w="120" w:type="dxa"/>
              <w:bottom w:w="120" w:type="dxa"/>
              <w:left w:w="150" w:type="dxa"/>
              <w:right w:w="150" w:type="dxa"/>
            </w:tcMar>
            <w:shd w:fill="1E3A8A"/>
            <w:tcBorders>
              <w:bottom w:val="single" w:sz="12" w:space="0" w:color="1E3A8A"/>
            </w:tcBorders>
          </w:tcPr>
          <w:p>
            <w:r>
              <w:rPr>
                <w:b/>
                <w:color w:val="1E3A8A"/>
              </w:rPr>
              <w:t>Total Vertices (|V_road|)</w:t>
            </w:r>
          </w:p>
        </w:tc>
        <w:tc>
          <w:tcPr>
            <w:tcW w:type="dxa" w:w="4752"/>
            <w:tcMar>
              <w:top w:w="120" w:type="dxa"/>
              <w:bottom w:w="120" w:type="dxa"/>
              <w:left w:w="150" w:type="dxa"/>
              <w:right w:w="150" w:type="dxa"/>
            </w:tcMar>
            <w:shd w:fill="1E3A8A"/>
            <w:tcBorders>
              <w:bottom w:val="single" w:sz="12" w:space="0" w:color="1E3A8A"/>
            </w:tcBorders>
          </w:tcPr>
          <w:p>
            <w:r>
              <w:t>9,634 nodes</w:t>
            </w:r>
          </w:p>
        </w:tc>
      </w:tr>
      <w:tr>
        <w:trPr>
          <w:cantSplit/>
        </w:trPr>
        <w:tc>
          <w:tcPr>
            <w:tcW w:type="dxa" w:w="4608"/>
            <w:tcMar>
              <w:top w:w="120" w:type="dxa"/>
              <w:bottom w:w="120" w:type="dxa"/>
              <w:left w:w="150" w:type="dxa"/>
              <w:right w:w="150" w:type="dxa"/>
            </w:tcMar>
            <w:shd w:fill="FFFFFF"/>
            <w:tcBorders>
              <w:top w:val="single" w:sz="2" w:space="0" w:color="CBD5E1"/>
              <w:bottom w:val="single" w:sz="4" w:space="0" w:color="CBD5E1"/>
            </w:tcBorders>
          </w:tcPr>
          <w:p>
            <w:r>
              <w:rPr>
                <w:b/>
                <w:color w:val="1E3A8A"/>
              </w:rPr>
              <w:t>Total Directed Edges (|E_road|)</w:t>
            </w:r>
          </w:p>
        </w:tc>
        <w:tc>
          <w:tcPr>
            <w:tcW w:type="dxa" w:w="4752"/>
            <w:tcMar>
              <w:top w:w="120" w:type="dxa"/>
              <w:bottom w:w="120" w:type="dxa"/>
              <w:left w:w="150" w:type="dxa"/>
              <w:right w:w="150" w:type="dxa"/>
            </w:tcMar>
            <w:shd w:fill="FFFFFF"/>
            <w:tcBorders>
              <w:top w:val="single" w:sz="2" w:space="0" w:color="CBD5E1"/>
              <w:bottom w:val="single" w:sz="4" w:space="0" w:color="CBD5E1"/>
            </w:tcBorders>
          </w:tcPr>
          <w:p>
            <w:r>
              <w:t>24,899 directed segments</w:t>
            </w:r>
          </w:p>
        </w:tc>
      </w:tr>
      <w:tr>
        <w:trPr>
          <w:cantSplit/>
        </w:trPr>
        <w:tc>
          <w:tcPr>
            <w:tcW w:type="dxa" w:w="4608"/>
            <w:tcMar>
              <w:top w:w="120" w:type="dxa"/>
              <w:bottom w:w="120" w:type="dxa"/>
              <w:left w:w="150" w:type="dxa"/>
              <w:right w:w="150" w:type="dxa"/>
            </w:tcMar>
            <w:shd w:fill="F8FAFC"/>
            <w:tcBorders>
              <w:top w:val="single" w:sz="2" w:space="0" w:color="CBD5E1"/>
              <w:bottom w:val="single" w:sz="4" w:space="0" w:color="CBD5E1"/>
            </w:tcBorders>
          </w:tcPr>
          <w:p>
            <w:r>
              <w:rPr>
                <w:b/>
                <w:color w:val="1E3A8A"/>
              </w:rPr>
              <w:t>Graph Topology Class</w:t>
            </w:r>
          </w:p>
        </w:tc>
        <w:tc>
          <w:tcPr>
            <w:tcW w:type="dxa" w:w="4752"/>
            <w:tcMar>
              <w:top w:w="120" w:type="dxa"/>
              <w:bottom w:w="120" w:type="dxa"/>
              <w:left w:w="150" w:type="dxa"/>
              <w:right w:w="150" w:type="dxa"/>
            </w:tcMar>
            <w:shd w:fill="F8FAFC"/>
            <w:tcBorders>
              <w:top w:val="single" w:sz="2" w:space="0" w:color="CBD5E1"/>
              <w:bottom w:val="single" w:sz="4" w:space="0" w:color="CBD5E1"/>
            </w:tcBorders>
          </w:tcPr>
          <w:p>
            <w:r>
              <w:t>Directed Spatial MultiDiGraph (preserving parallel lanes)</w:t>
            </w:r>
          </w:p>
        </w:tc>
      </w:tr>
      <w:tr>
        <w:trPr>
          <w:cantSplit/>
        </w:trPr>
        <w:tc>
          <w:tcPr>
            <w:tcW w:type="dxa" w:w="4608"/>
            <w:tcMar>
              <w:top w:w="120" w:type="dxa"/>
              <w:bottom w:w="120" w:type="dxa"/>
              <w:left w:w="150" w:type="dxa"/>
              <w:right w:w="150" w:type="dxa"/>
            </w:tcMar>
            <w:shd w:fill="FFFFFF"/>
            <w:tcBorders>
              <w:top w:val="single" w:sz="2" w:space="0" w:color="CBD5E1"/>
              <w:bottom w:val="single" w:sz="4" w:space="0" w:color="CBD5E1"/>
            </w:tcBorders>
          </w:tcPr>
          <w:p>
            <w:r>
              <w:rPr>
                <w:b/>
                <w:color w:val="1E3A8A"/>
              </w:rPr>
              <w:t>Weakly Connected Components (WCC)</w:t>
            </w:r>
          </w:p>
        </w:tc>
        <w:tc>
          <w:tcPr>
            <w:tcW w:type="dxa" w:w="4752"/>
            <w:tcMar>
              <w:top w:w="120" w:type="dxa"/>
              <w:bottom w:w="120" w:type="dxa"/>
              <w:left w:w="150" w:type="dxa"/>
              <w:right w:w="150" w:type="dxa"/>
            </w:tcMar>
            <w:shd w:fill="FFFFFF"/>
            <w:tcBorders>
              <w:top w:val="single" w:sz="2" w:space="0" w:color="CBD5E1"/>
              <w:bottom w:val="single" w:sz="4" w:space="0" w:color="CBD5E1"/>
            </w:tcBorders>
          </w:tcPr>
          <w:p>
            <w:r>
              <w:t>1 (Largest WCC: 9,634 nodes)</w:t>
            </w:r>
          </w:p>
        </w:tc>
      </w:tr>
      <w:tr>
        <w:trPr>
          <w:cantSplit/>
        </w:trPr>
        <w:tc>
          <w:tcPr>
            <w:tcW w:type="dxa" w:w="4608"/>
            <w:tcMar>
              <w:top w:w="120" w:type="dxa"/>
              <w:bottom w:w="120" w:type="dxa"/>
              <w:left w:w="150" w:type="dxa"/>
              <w:right w:w="150" w:type="dxa"/>
            </w:tcMar>
            <w:shd w:fill="F8FAFC"/>
            <w:tcBorders>
              <w:top w:val="single" w:sz="2" w:space="0" w:color="CBD5E1"/>
              <w:bottom w:val="single" w:sz="4" w:space="0" w:color="CBD5E1"/>
            </w:tcBorders>
          </w:tcPr>
          <w:p>
            <w:r>
              <w:rPr>
                <w:b/>
                <w:color w:val="1E3A8A"/>
              </w:rPr>
              <w:t>Strongly Connected Components (SCC)</w:t>
            </w:r>
          </w:p>
        </w:tc>
        <w:tc>
          <w:tcPr>
            <w:tcW w:type="dxa" w:w="4752"/>
            <w:tcMar>
              <w:top w:w="120" w:type="dxa"/>
              <w:bottom w:w="120" w:type="dxa"/>
              <w:left w:w="150" w:type="dxa"/>
              <w:right w:w="150" w:type="dxa"/>
            </w:tcMar>
            <w:shd w:fill="F8FAFC"/>
            <w:tcBorders>
              <w:top w:val="single" w:sz="2" w:space="0" w:color="CBD5E1"/>
              <w:bottom w:val="single" w:sz="4" w:space="0" w:color="CBD5E1"/>
            </w:tcBorders>
          </w:tcPr>
          <w:p>
            <w:r>
              <w:t>2 (Giant SCC: 9,633 nodes, 99.99%)</w:t>
            </w:r>
          </w:p>
        </w:tc>
      </w:tr>
      <w:tr>
        <w:trPr>
          <w:cantSplit/>
        </w:trPr>
        <w:tc>
          <w:tcPr>
            <w:tcW w:type="dxa" w:w="4608"/>
            <w:tcMar>
              <w:top w:w="120" w:type="dxa"/>
              <w:bottom w:w="120" w:type="dxa"/>
              <w:left w:w="150" w:type="dxa"/>
              <w:right w:w="150" w:type="dxa"/>
            </w:tcMar>
            <w:shd w:fill="FFFFFF"/>
            <w:tcBorders>
              <w:top w:val="single" w:sz="2" w:space="0" w:color="CBD5E1"/>
              <w:bottom w:val="single" w:sz="4" w:space="0" w:color="CBD5E1"/>
            </w:tcBorders>
          </w:tcPr>
          <w:p>
            <w:r>
              <w:rPr>
                <w:b/>
                <w:color w:val="1E3A8A"/>
              </w:rPr>
              <w:t>Total Network Centerline Length</w:t>
            </w:r>
          </w:p>
        </w:tc>
        <w:tc>
          <w:tcPr>
            <w:tcW w:type="dxa" w:w="4752"/>
            <w:tcMar>
              <w:top w:w="120" w:type="dxa"/>
              <w:bottom w:w="120" w:type="dxa"/>
              <w:left w:w="150" w:type="dxa"/>
              <w:right w:w="150" w:type="dxa"/>
            </w:tcMar>
            <w:shd w:fill="FFFFFF"/>
            <w:tcBorders>
              <w:top w:val="single" w:sz="2" w:space="0" w:color="CBD5E1"/>
              <w:bottom w:val="single" w:sz="4" w:space="0" w:color="CBD5E1"/>
            </w:tcBorders>
          </w:tcPr>
          <w:p>
            <w:r>
              <w:t>4,595.96 km</w:t>
            </w:r>
          </w:p>
        </w:tc>
      </w:tr>
      <w:tr>
        <w:trPr>
          <w:cantSplit/>
        </w:trPr>
        <w:tc>
          <w:tcPr>
            <w:tcW w:type="dxa" w:w="4608"/>
            <w:tcMar>
              <w:top w:w="120" w:type="dxa"/>
              <w:bottom w:w="120" w:type="dxa"/>
              <w:left w:w="150" w:type="dxa"/>
              <w:right w:w="150" w:type="dxa"/>
            </w:tcMar>
            <w:shd w:fill="F8FAFC"/>
            <w:tcBorders>
              <w:top w:val="single" w:sz="2" w:space="0" w:color="CBD5E1"/>
              <w:bottom w:val="single" w:sz="4" w:space="0" w:color="CBD5E1"/>
            </w:tcBorders>
          </w:tcPr>
          <w:p>
            <w:r>
              <w:rPr>
                <w:b/>
                <w:color w:val="1E3A8A"/>
              </w:rPr>
              <w:t>Average Segment Length (mean ± std)</w:t>
            </w:r>
          </w:p>
        </w:tc>
        <w:tc>
          <w:tcPr>
            <w:tcW w:type="dxa" w:w="4752"/>
            <w:tcMar>
              <w:top w:w="120" w:type="dxa"/>
              <w:bottom w:w="120" w:type="dxa"/>
              <w:left w:w="150" w:type="dxa"/>
              <w:right w:w="150" w:type="dxa"/>
            </w:tcMar>
            <w:shd w:fill="F8FAFC"/>
            <w:tcBorders>
              <w:top w:val="single" w:sz="2" w:space="0" w:color="CBD5E1"/>
              <w:bottom w:val="single" w:sz="4" w:space="0" w:color="CBD5E1"/>
            </w:tcBorders>
          </w:tcPr>
          <w:p>
            <w:r>
              <w:t>184.58 m ± 160.89 m</w:t>
            </w:r>
          </w:p>
        </w:tc>
      </w:tr>
      <w:tr>
        <w:trPr>
          <w:cantSplit/>
        </w:trPr>
        <w:tc>
          <w:tcPr>
            <w:tcW w:type="dxa" w:w="4608"/>
            <w:tcMar>
              <w:top w:w="120" w:type="dxa"/>
              <w:bottom w:w="120" w:type="dxa"/>
              <w:left w:w="150" w:type="dxa"/>
              <w:right w:w="150" w:type="dxa"/>
            </w:tcMar>
            <w:shd w:fill="FFFFFF"/>
            <w:tcBorders>
              <w:top w:val="single" w:sz="2" w:space="0" w:color="CBD5E1"/>
              <w:bottom w:val="single" w:sz="4" w:space="0" w:color="CBD5E1"/>
            </w:tcBorders>
          </w:tcPr>
          <w:p>
            <w:r>
              <w:rPr>
                <w:b/>
                <w:color w:val="1E3A8A"/>
              </w:rPr>
              <w:t>Median Segment Length</w:t>
            </w:r>
          </w:p>
        </w:tc>
        <w:tc>
          <w:tcPr>
            <w:tcW w:type="dxa" w:w="4752"/>
            <w:tcMar>
              <w:top w:w="120" w:type="dxa"/>
              <w:bottom w:w="120" w:type="dxa"/>
              <w:left w:w="150" w:type="dxa"/>
              <w:right w:w="150" w:type="dxa"/>
            </w:tcMar>
            <w:shd w:fill="FFFFFF"/>
            <w:tcBorders>
              <w:top w:val="single" w:sz="2" w:space="0" w:color="CBD5E1"/>
              <w:bottom w:val="single" w:sz="4" w:space="0" w:color="CBD5E1"/>
            </w:tcBorders>
          </w:tcPr>
          <w:p>
            <w:r>
              <w:t>142.19 m (Min: 0.7 m, Max: 3142.6 m)</w:t>
            </w:r>
          </w:p>
        </w:tc>
      </w:tr>
      <w:tr>
        <w:trPr>
          <w:cantSplit/>
        </w:trPr>
        <w:tc>
          <w:tcPr>
            <w:tcW w:type="dxa" w:w="4608"/>
            <w:tcMar>
              <w:top w:w="120" w:type="dxa"/>
              <w:bottom w:w="120" w:type="dxa"/>
              <w:left w:w="150" w:type="dxa"/>
              <w:right w:w="150" w:type="dxa"/>
            </w:tcMar>
            <w:shd w:fill="F8FAFC"/>
            <w:tcBorders>
              <w:top w:val="single" w:sz="2" w:space="0" w:color="CBD5E1"/>
              <w:bottom w:val="single" w:sz="4" w:space="0" w:color="CBD5E1"/>
            </w:tcBorders>
          </w:tcPr>
          <w:p>
            <w:r>
              <w:rPr>
                <w:b/>
                <w:color w:val="1E3A8A"/>
              </w:rPr>
              <w:t>Vertex Degree Distribution</w:t>
            </w:r>
          </w:p>
        </w:tc>
        <w:tc>
          <w:tcPr>
            <w:tcW w:type="dxa" w:w="4752"/>
            <w:tcMar>
              <w:top w:w="120" w:type="dxa"/>
              <w:bottom w:w="120" w:type="dxa"/>
              <w:left w:w="150" w:type="dxa"/>
              <w:right w:w="150" w:type="dxa"/>
            </w:tcMar>
            <w:shd w:fill="F8FAFC"/>
            <w:tcBorders>
              <w:top w:val="single" w:sz="2" w:space="0" w:color="CBD5E1"/>
              <w:bottom w:val="single" w:sz="4" w:space="0" w:color="CBD5E1"/>
            </w:tcBorders>
          </w:tcPr>
          <w:p>
            <w:r>
              <w:t>Mean: 5.169 | Median: 6.0 | Max: 10</w:t>
            </w:r>
          </w:p>
        </w:tc>
      </w:tr>
      <w:tr>
        <w:trPr>
          <w:cantSplit/>
        </w:trPr>
        <w:tc>
          <w:tcPr>
            <w:tcW w:type="dxa" w:w="4608"/>
            <w:tcMar>
              <w:top w:w="120" w:type="dxa"/>
              <w:bottom w:w="120" w:type="dxa"/>
              <w:left w:w="150" w:type="dxa"/>
              <w:right w:w="150" w:type="dxa"/>
            </w:tcMar>
            <w:shd w:fill="FFFFFF"/>
            <w:tcBorders>
              <w:top w:val="single" w:sz="2" w:space="0" w:color="CBD5E1"/>
              <w:bottom w:val="single" w:sz="4" w:space="0" w:color="CBD5E1"/>
            </w:tcBorders>
          </w:tcPr>
          <w:p/>
        </w:tc>
        <w:tc>
          <w:tcPr>
            <w:tcW w:type="dxa" w:w="4752"/>
            <w:tcMar>
              <w:top w:w="120" w:type="dxa"/>
              <w:bottom w:w="120" w:type="dxa"/>
              <w:left w:w="150" w:type="dxa"/>
              <w:right w:w="150" w:type="dxa"/>
            </w:tcMar>
            <w:shd w:fill="FFFFFF"/>
            <w:tcBorders>
              <w:top w:val="single" w:sz="2" w:space="0" w:color="CBD5E1"/>
              <w:bottom w:val="single" w:sz="4" w:space="0" w:color="CBD5E1"/>
            </w:tcBorders>
          </w:tcPr>
          <w:p/>
        </w:tc>
      </w:tr>
    </w:tbl>
    <w:p>
      <w:pPr>
        <w:spacing w:before="120" w:after="40"/>
        <w:jc w:val="center"/>
      </w:pPr>
      <w:r>
        <w:drawing>
          <wp:inline xmlns:a="http://schemas.openxmlformats.org/drawingml/2006/main" xmlns:pic="http://schemas.openxmlformats.org/drawingml/2006/picture">
            <wp:extent cx="4754880" cy="1981200"/>
            <wp:docPr id="1" name="Picture 1"/>
            <wp:cNvGraphicFramePr>
              <a:graphicFrameLocks noChangeAspect="1"/>
            </wp:cNvGraphicFramePr>
            <a:graphic>
              <a:graphicData uri="http://schemas.openxmlformats.org/drawingml/2006/picture">
                <pic:pic>
                  <pic:nvPicPr>
                    <pic:cNvPr id="0" name="fig_degree_and_length_distribution.png"/>
                    <pic:cNvPicPr/>
                  </pic:nvPicPr>
                  <pic:blipFill>
                    <a:blip r:embed="rId11"/>
                    <a:stretch>
                      <a:fillRect/>
                    </a:stretch>
                  </pic:blipFill>
                  <pic:spPr>
                    <a:xfrm>
                      <a:off x="0" y="0"/>
                      <a:ext cx="4754880" cy="1981200"/>
                    </a:xfrm>
                    <a:prstGeom prst="rect"/>
                  </pic:spPr>
                </pic:pic>
              </a:graphicData>
            </a:graphic>
          </wp:inline>
        </w:drawing>
      </w:r>
    </w:p>
    <w:p>
      <w:pPr>
        <w:spacing w:before="40" w:after="160"/>
        <w:jc w:val="center"/>
      </w:pPr>
      <w:r>
        <w:rPr>
          <w:rFonts w:ascii="Arial" w:hAnsi="Arial"/>
          <w:b/>
          <w:color w:val="1E3A8A"/>
          <w:sz w:val="19"/>
        </w:rPr>
        <w:t xml:space="preserve">Figure 6: </w:t>
      </w:r>
      <w:r>
        <w:rPr>
          <w:rFonts w:ascii="Arial" w:hAnsi="Arial"/>
          <w:i/>
          <w:color w:val="64748B"/>
          <w:sz w:val="19"/>
        </w:rPr>
        <w:t>Node degree frequency distribution (left) and road segment length frequency distribution (right) for the Karunagappally OSM road graph.</w:t>
      </w:r>
    </w:p>
    <w:p>
      <w:pPr>
        <w:pStyle w:val="Heading2"/>
      </w:pPr>
      <w:r>
        <w:t>9.2 Top-10 Critical Roads via Sampled Edge Betweenness</w:t>
      </w:r>
    </w:p>
    <w:p>
      <w:r>
        <w:t>Using Brandes' algorithm with k=500 pivot vertices (fixed seed 42), edge betweenness centrality was computed across all 24,899 edges in 15.4 seconds. Table 3 lists the top-10 most critical road segments.</w:t>
      </w:r>
    </w:p>
    <w:p>
      <w:r>
        <w:rPr>
          <w:b/>
          <w:color w:val="1E3A8A"/>
        </w:rPr>
        <w:t>Table 3: Top-10 Critical Road Segments Ranked by Sampled Edge Betweenness Centrality</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864"/>
            <w:tcMar>
              <w:top w:w="120" w:type="dxa"/>
              <w:bottom w:w="120" w:type="dxa"/>
              <w:left w:w="150" w:type="dxa"/>
              <w:right w:w="150" w:type="dxa"/>
            </w:tcMar>
            <w:shd w:fill="1E3A8A"/>
            <w:tcBorders>
              <w:bottom w:val="single" w:sz="12" w:space="0" w:color="1E3A8A"/>
            </w:tcBorders>
          </w:tcPr>
          <w:p>
            <w:r>
              <w:rPr>
                <w:b/>
                <w:color w:val="FFFFFF"/>
              </w:rPr>
              <w:t>Rank</w:t>
            </w:r>
          </w:p>
        </w:tc>
        <w:tc>
          <w:tcPr>
            <w:tcW w:type="dxa" w:w="3168"/>
            <w:tcMar>
              <w:top w:w="120" w:type="dxa"/>
              <w:bottom w:w="120" w:type="dxa"/>
              <w:left w:w="150" w:type="dxa"/>
              <w:right w:w="150" w:type="dxa"/>
            </w:tcMar>
            <w:shd w:fill="1E3A8A"/>
            <w:tcBorders>
              <w:bottom w:val="single" w:sz="12" w:space="0" w:color="1E3A8A"/>
            </w:tcBorders>
          </w:tcPr>
          <w:p>
            <w:r>
              <w:rPr>
                <w:b/>
                <w:color w:val="FFFFFF"/>
              </w:rPr>
              <w:t>Road Name</w:t>
            </w:r>
          </w:p>
        </w:tc>
        <w:tc>
          <w:tcPr>
            <w:tcW w:type="dxa" w:w="1584"/>
            <w:tcMar>
              <w:top w:w="120" w:type="dxa"/>
              <w:bottom w:w="120" w:type="dxa"/>
              <w:left w:w="150" w:type="dxa"/>
              <w:right w:w="150" w:type="dxa"/>
            </w:tcMar>
            <w:shd w:fill="1E3A8A"/>
            <w:tcBorders>
              <w:bottom w:val="single" w:sz="12" w:space="0" w:color="1E3A8A"/>
            </w:tcBorders>
          </w:tcPr>
          <w:p>
            <w:r>
              <w:rPr>
                <w:b/>
                <w:color w:val="FFFFFF"/>
              </w:rPr>
              <w:t>Highway Type</w:t>
            </w:r>
          </w:p>
        </w:tc>
        <w:tc>
          <w:tcPr>
            <w:tcW w:type="dxa" w:w="1296"/>
            <w:tcMar>
              <w:top w:w="120" w:type="dxa"/>
              <w:bottom w:w="120" w:type="dxa"/>
              <w:left w:w="150" w:type="dxa"/>
              <w:right w:w="150" w:type="dxa"/>
            </w:tcMar>
            <w:shd w:fill="1E3A8A"/>
            <w:tcBorders>
              <w:bottom w:val="single" w:sz="12" w:space="0" w:color="1E3A8A"/>
            </w:tcBorders>
          </w:tcPr>
          <w:p>
            <w:r>
              <w:rPr>
                <w:b/>
                <w:color w:val="FFFFFF"/>
              </w:rPr>
              <w:t>Length (m)</w:t>
            </w:r>
          </w:p>
        </w:tc>
        <w:tc>
          <w:tcPr>
            <w:tcW w:type="dxa" w:w="1008"/>
            <w:tcMar>
              <w:top w:w="120" w:type="dxa"/>
              <w:bottom w:w="120" w:type="dxa"/>
              <w:left w:w="150" w:type="dxa"/>
              <w:right w:w="150" w:type="dxa"/>
            </w:tcMar>
            <w:shd w:fill="1E3A8A"/>
            <w:tcBorders>
              <w:bottom w:val="single" w:sz="12" w:space="0" w:color="1E3A8A"/>
            </w:tcBorders>
          </w:tcPr>
          <w:p>
            <w:r>
              <w:rPr>
                <w:b/>
                <w:color w:val="FFFFFF"/>
              </w:rPr>
              <w:t>Oneway</w:t>
            </w:r>
          </w:p>
        </w:tc>
        <w:tc>
          <w:tcPr>
            <w:tcW w:type="dxa" w:w="1440"/>
            <w:tcMar>
              <w:top w:w="120" w:type="dxa"/>
              <w:bottom w:w="120" w:type="dxa"/>
              <w:left w:w="150" w:type="dxa"/>
              <w:right w:w="150" w:type="dxa"/>
            </w:tcMar>
            <w:shd w:fill="1E3A8A"/>
            <w:tcBorders>
              <w:bottom w:val="single" w:sz="12" w:space="0" w:color="1E3A8A"/>
            </w:tcBorders>
          </w:tcPr>
          <w:p>
            <w:r>
              <w:rPr>
                <w:b/>
                <w:color w:val="FFFFFF"/>
              </w:rPr>
              <w:t>Betweenness Score</w:t>
            </w:r>
          </w:p>
        </w:tc>
      </w:tr>
      <w:tr>
        <w:trPr>
          <w:cantSplit/>
        </w:trPr>
        <w:tc>
          <w:tcPr>
            <w:tcW w:type="dxa" w:w="864"/>
            <w:tcMar>
              <w:top w:w="120" w:type="dxa"/>
              <w:bottom w:w="120" w:type="dxa"/>
              <w:left w:w="150" w:type="dxa"/>
              <w:right w:w="150" w:type="dxa"/>
            </w:tcMar>
            <w:shd w:fill="FFFFFF"/>
            <w:tcBorders>
              <w:top w:val="single" w:sz="2" w:space="0" w:color="CBD5E1"/>
              <w:bottom w:val="single" w:sz="4" w:space="0" w:color="CBD5E1"/>
            </w:tcBorders>
          </w:tcPr>
          <w:p>
            <w:r>
              <w:t>1</w:t>
            </w:r>
          </w:p>
        </w:tc>
        <w:tc>
          <w:tcPr>
            <w:tcW w:type="dxa" w:w="3168"/>
            <w:tcMar>
              <w:top w:w="120" w:type="dxa"/>
              <w:bottom w:w="120" w:type="dxa"/>
              <w:left w:w="150" w:type="dxa"/>
              <w:right w:w="150" w:type="dxa"/>
            </w:tcMar>
            <w:shd w:fill="FFFFFF"/>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248.6</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0.003870</w:t>
            </w:r>
          </w:p>
        </w:tc>
      </w:tr>
      <w:tr>
        <w:trPr>
          <w:cantSplit/>
        </w:trPr>
        <w:tc>
          <w:tcPr>
            <w:tcW w:type="dxa" w:w="864"/>
            <w:tcMar>
              <w:top w:w="120" w:type="dxa"/>
              <w:bottom w:w="120" w:type="dxa"/>
              <w:left w:w="150" w:type="dxa"/>
              <w:right w:w="150" w:type="dxa"/>
            </w:tcMar>
            <w:shd w:fill="F8FAFC"/>
            <w:tcBorders>
              <w:top w:val="single" w:sz="2" w:space="0" w:color="CBD5E1"/>
              <w:bottom w:val="single" w:sz="4" w:space="0" w:color="CBD5E1"/>
            </w:tcBorders>
          </w:tcPr>
          <w:p>
            <w:r>
              <w:t>2</w:t>
            </w:r>
          </w:p>
        </w:tc>
        <w:tc>
          <w:tcPr>
            <w:tcW w:type="dxa" w:w="3168"/>
            <w:tcMar>
              <w:top w:w="120" w:type="dxa"/>
              <w:bottom w:w="120" w:type="dxa"/>
              <w:left w:w="150" w:type="dxa"/>
              <w:right w:w="150" w:type="dxa"/>
            </w:tcMar>
            <w:shd w:fill="F8FAFC"/>
            <w:tcBorders>
              <w:top w:val="single" w:sz="2" w:space="0" w:color="CBD5E1"/>
              <w:bottom w:val="single" w:sz="4" w:space="0" w:color="CBD5E1"/>
            </w:tcBorders>
          </w:tcPr>
          <w:p>
            <w:r>
              <w:t>Salem - Kochi - Kanyakumari Road, Kannetti Bridge</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278.0</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0.003868</w:t>
            </w:r>
          </w:p>
        </w:tc>
      </w:tr>
      <w:tr>
        <w:trPr>
          <w:cantSplit/>
        </w:trPr>
        <w:tc>
          <w:tcPr>
            <w:tcW w:type="dxa" w:w="864"/>
            <w:tcMar>
              <w:top w:w="120" w:type="dxa"/>
              <w:bottom w:w="120" w:type="dxa"/>
              <w:left w:w="150" w:type="dxa"/>
              <w:right w:w="150" w:type="dxa"/>
            </w:tcMar>
            <w:shd w:fill="FFFFFF"/>
            <w:tcBorders>
              <w:top w:val="single" w:sz="2" w:space="0" w:color="CBD5E1"/>
              <w:bottom w:val="single" w:sz="4" w:space="0" w:color="CBD5E1"/>
            </w:tcBorders>
          </w:tcPr>
          <w:p>
            <w:r>
              <w:t>3</w:t>
            </w:r>
          </w:p>
        </w:tc>
        <w:tc>
          <w:tcPr>
            <w:tcW w:type="dxa" w:w="3168"/>
            <w:tcMar>
              <w:top w:w="120" w:type="dxa"/>
              <w:bottom w:w="120" w:type="dxa"/>
              <w:left w:w="150" w:type="dxa"/>
              <w:right w:w="150" w:type="dxa"/>
            </w:tcMar>
            <w:shd w:fill="FFFFFF"/>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84.0</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0.003643</w:t>
            </w:r>
          </w:p>
        </w:tc>
      </w:tr>
      <w:tr>
        <w:trPr>
          <w:cantSplit/>
        </w:trPr>
        <w:tc>
          <w:tcPr>
            <w:tcW w:type="dxa" w:w="864"/>
            <w:tcMar>
              <w:top w:w="120" w:type="dxa"/>
              <w:bottom w:w="120" w:type="dxa"/>
              <w:left w:w="150" w:type="dxa"/>
              <w:right w:w="150" w:type="dxa"/>
            </w:tcMar>
            <w:shd w:fill="F8FAFC"/>
            <w:tcBorders>
              <w:top w:val="single" w:sz="2" w:space="0" w:color="CBD5E1"/>
              <w:bottom w:val="single" w:sz="4" w:space="0" w:color="CBD5E1"/>
            </w:tcBorders>
          </w:tcPr>
          <w:p>
            <w:r>
              <w:t>4</w:t>
            </w:r>
          </w:p>
        </w:tc>
        <w:tc>
          <w:tcPr>
            <w:tcW w:type="dxa" w:w="3168"/>
            <w:tcMar>
              <w:top w:w="120" w:type="dxa"/>
              <w:bottom w:w="120" w:type="dxa"/>
              <w:left w:w="150" w:type="dxa"/>
              <w:right w:w="150" w:type="dxa"/>
            </w:tcMar>
            <w:shd w:fill="F8FAFC"/>
            <w:tcBorders>
              <w:top w:val="single" w:sz="2" w:space="0" w:color="CBD5E1"/>
              <w:bottom w:val="single" w:sz="4" w:space="0" w:color="CBD5E1"/>
            </w:tcBorders>
          </w:tcPr>
          <w:p>
            <w:r>
              <w:t>Salem - Kochi - Kanyakumari Road, Kannetti Bridge</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278.0</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0.003637</w:t>
            </w:r>
          </w:p>
        </w:tc>
      </w:tr>
      <w:tr>
        <w:trPr>
          <w:cantSplit/>
        </w:trPr>
        <w:tc>
          <w:tcPr>
            <w:tcW w:type="dxa" w:w="864"/>
            <w:tcMar>
              <w:top w:w="120" w:type="dxa"/>
              <w:bottom w:w="120" w:type="dxa"/>
              <w:left w:w="150" w:type="dxa"/>
              <w:right w:w="150" w:type="dxa"/>
            </w:tcMar>
            <w:shd w:fill="FFFFFF"/>
            <w:tcBorders>
              <w:top w:val="single" w:sz="2" w:space="0" w:color="CBD5E1"/>
              <w:bottom w:val="single" w:sz="4" w:space="0" w:color="CBD5E1"/>
            </w:tcBorders>
          </w:tcPr>
          <w:p>
            <w:r>
              <w:t>5</w:t>
            </w:r>
          </w:p>
        </w:tc>
        <w:tc>
          <w:tcPr>
            <w:tcW w:type="dxa" w:w="3168"/>
            <w:tcMar>
              <w:top w:w="120" w:type="dxa"/>
              <w:bottom w:w="120" w:type="dxa"/>
              <w:left w:w="150" w:type="dxa"/>
              <w:right w:w="150" w:type="dxa"/>
            </w:tcMar>
            <w:shd w:fill="FFFFFF"/>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84.7</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0.003635</w:t>
            </w:r>
          </w:p>
        </w:tc>
      </w:tr>
      <w:tr>
        <w:trPr>
          <w:cantSplit/>
        </w:trPr>
        <w:tc>
          <w:tcPr>
            <w:tcW w:type="dxa" w:w="864"/>
            <w:tcMar>
              <w:top w:w="120" w:type="dxa"/>
              <w:bottom w:w="120" w:type="dxa"/>
              <w:left w:w="150" w:type="dxa"/>
              <w:right w:w="150" w:type="dxa"/>
            </w:tcMar>
            <w:shd w:fill="F8FAFC"/>
            <w:tcBorders>
              <w:top w:val="single" w:sz="2" w:space="0" w:color="CBD5E1"/>
              <w:bottom w:val="single" w:sz="4" w:space="0" w:color="CBD5E1"/>
            </w:tcBorders>
          </w:tcPr>
          <w:p>
            <w:r>
              <w:t>6</w:t>
            </w:r>
          </w:p>
        </w:tc>
        <w:tc>
          <w:tcPr>
            <w:tcW w:type="dxa" w:w="3168"/>
            <w:tcMar>
              <w:top w:w="120" w:type="dxa"/>
              <w:bottom w:w="120" w:type="dxa"/>
              <w:left w:w="150" w:type="dxa"/>
              <w:right w:w="150" w:type="dxa"/>
            </w:tcMar>
            <w:shd w:fill="F8FAFC"/>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248.6</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0.003630</w:t>
            </w:r>
          </w:p>
        </w:tc>
      </w:tr>
      <w:tr>
        <w:trPr>
          <w:cantSplit/>
        </w:trPr>
        <w:tc>
          <w:tcPr>
            <w:tcW w:type="dxa" w:w="864"/>
            <w:tcMar>
              <w:top w:w="120" w:type="dxa"/>
              <w:bottom w:w="120" w:type="dxa"/>
              <w:left w:w="150" w:type="dxa"/>
              <w:right w:w="150" w:type="dxa"/>
            </w:tcMar>
            <w:shd w:fill="FFFFFF"/>
            <w:tcBorders>
              <w:top w:val="single" w:sz="2" w:space="0" w:color="CBD5E1"/>
              <w:bottom w:val="single" w:sz="4" w:space="0" w:color="CBD5E1"/>
            </w:tcBorders>
          </w:tcPr>
          <w:p>
            <w:r>
              <w:t>7</w:t>
            </w:r>
          </w:p>
        </w:tc>
        <w:tc>
          <w:tcPr>
            <w:tcW w:type="dxa" w:w="3168"/>
            <w:tcMar>
              <w:top w:w="120" w:type="dxa"/>
              <w:bottom w:w="120" w:type="dxa"/>
              <w:left w:w="150" w:type="dxa"/>
              <w:right w:w="150" w:type="dxa"/>
            </w:tcMar>
            <w:shd w:fill="FFFFFF"/>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148.6</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0.003583</w:t>
            </w:r>
          </w:p>
        </w:tc>
      </w:tr>
      <w:tr>
        <w:trPr>
          <w:cantSplit/>
        </w:trPr>
        <w:tc>
          <w:tcPr>
            <w:tcW w:type="dxa" w:w="864"/>
            <w:tcMar>
              <w:top w:w="120" w:type="dxa"/>
              <w:bottom w:w="120" w:type="dxa"/>
              <w:left w:w="150" w:type="dxa"/>
              <w:right w:w="150" w:type="dxa"/>
            </w:tcMar>
            <w:shd w:fill="F8FAFC"/>
            <w:tcBorders>
              <w:top w:val="single" w:sz="2" w:space="0" w:color="CBD5E1"/>
              <w:bottom w:val="single" w:sz="4" w:space="0" w:color="CBD5E1"/>
            </w:tcBorders>
          </w:tcPr>
          <w:p>
            <w:r>
              <w:t>8</w:t>
            </w:r>
          </w:p>
        </w:tc>
        <w:tc>
          <w:tcPr>
            <w:tcW w:type="dxa" w:w="3168"/>
            <w:tcMar>
              <w:top w:w="120" w:type="dxa"/>
              <w:bottom w:w="120" w:type="dxa"/>
              <w:left w:w="150" w:type="dxa"/>
              <w:right w:w="150" w:type="dxa"/>
            </w:tcMar>
            <w:shd w:fill="F8FAFC"/>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148.6</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0.003507</w:t>
            </w:r>
          </w:p>
        </w:tc>
      </w:tr>
      <w:tr>
        <w:trPr>
          <w:cantSplit/>
        </w:trPr>
        <w:tc>
          <w:tcPr>
            <w:tcW w:type="dxa" w:w="864"/>
            <w:tcMar>
              <w:top w:w="120" w:type="dxa"/>
              <w:bottom w:w="120" w:type="dxa"/>
              <w:left w:w="150" w:type="dxa"/>
              <w:right w:w="150" w:type="dxa"/>
            </w:tcMar>
            <w:shd w:fill="FFFFFF"/>
            <w:tcBorders>
              <w:top w:val="single" w:sz="2" w:space="0" w:color="CBD5E1"/>
              <w:bottom w:val="single" w:sz="4" w:space="0" w:color="CBD5E1"/>
            </w:tcBorders>
          </w:tcPr>
          <w:p>
            <w:r>
              <w:t>9</w:t>
            </w:r>
          </w:p>
        </w:tc>
        <w:tc>
          <w:tcPr>
            <w:tcW w:type="dxa" w:w="3168"/>
            <w:tcMar>
              <w:top w:w="120" w:type="dxa"/>
              <w:bottom w:w="120" w:type="dxa"/>
              <w:left w:w="150" w:type="dxa"/>
              <w:right w:w="150" w:type="dxa"/>
            </w:tcMar>
            <w:shd w:fill="FFFFFF"/>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59.9</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0.003493</w:t>
            </w:r>
          </w:p>
        </w:tc>
      </w:tr>
      <w:tr>
        <w:trPr>
          <w:cantSplit/>
        </w:trPr>
        <w:tc>
          <w:tcPr>
            <w:tcW w:type="dxa" w:w="864"/>
            <w:tcMar>
              <w:top w:w="120" w:type="dxa"/>
              <w:bottom w:w="120" w:type="dxa"/>
              <w:left w:w="150" w:type="dxa"/>
              <w:right w:w="150" w:type="dxa"/>
            </w:tcMar>
            <w:shd w:fill="F8FAFC"/>
            <w:tcBorders>
              <w:top w:val="single" w:sz="2" w:space="0" w:color="CBD5E1"/>
              <w:bottom w:val="single" w:sz="4" w:space="0" w:color="CBD5E1"/>
            </w:tcBorders>
          </w:tcPr>
          <w:p>
            <w:r>
              <w:t>10</w:t>
            </w:r>
          </w:p>
        </w:tc>
        <w:tc>
          <w:tcPr>
            <w:tcW w:type="dxa" w:w="3168"/>
            <w:tcMar>
              <w:top w:w="120" w:type="dxa"/>
              <w:bottom w:w="120" w:type="dxa"/>
              <w:left w:w="150" w:type="dxa"/>
              <w:right w:w="150" w:type="dxa"/>
            </w:tcMar>
            <w:shd w:fill="F8FAFC"/>
            <w:tcBorders>
              <w:top w:val="single" w:sz="2" w:space="0" w:color="CBD5E1"/>
              <w:bottom w:val="single" w:sz="4" w:space="0" w:color="CBD5E1"/>
            </w:tcBorders>
          </w:tcPr>
          <w:p>
            <w:r>
              <w:t>Salem - Kochi - Kanyakumari Road</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trunk</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11.5</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No</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0.003486</w:t>
            </w:r>
          </w:p>
        </w:tc>
      </w:tr>
    </w:tbl>
    <w:p>
      <w:pPr>
        <w:spacing w:before="120" w:after="40"/>
        <w:jc w:val="center"/>
      </w:pPr>
      <w:r>
        <w:drawing>
          <wp:inline xmlns:a="http://schemas.openxmlformats.org/drawingml/2006/main" xmlns:pic="http://schemas.openxmlformats.org/drawingml/2006/picture">
            <wp:extent cx="4754880" cy="2615184"/>
            <wp:docPr id="2" name="Picture 2"/>
            <wp:cNvGraphicFramePr>
              <a:graphicFrameLocks noChangeAspect="1"/>
            </wp:cNvGraphicFramePr>
            <a:graphic>
              <a:graphicData uri="http://schemas.openxmlformats.org/drawingml/2006/picture">
                <pic:pic>
                  <pic:nvPicPr>
                    <pic:cNvPr id="0" name="fig_top_betweenness_roads.png"/>
                    <pic:cNvPicPr/>
                  </pic:nvPicPr>
                  <pic:blipFill>
                    <a:blip r:embed="rId12"/>
                    <a:stretch>
                      <a:fillRect/>
                    </a:stretch>
                  </pic:blipFill>
                  <pic:spPr>
                    <a:xfrm>
                      <a:off x="0" y="0"/>
                      <a:ext cx="4754880" cy="2615184"/>
                    </a:xfrm>
                    <a:prstGeom prst="rect"/>
                  </pic:spPr>
                </pic:pic>
              </a:graphicData>
            </a:graphic>
          </wp:inline>
        </w:drawing>
      </w:r>
    </w:p>
    <w:p>
      <w:pPr>
        <w:spacing w:before="40" w:after="160"/>
        <w:jc w:val="center"/>
      </w:pPr>
      <w:r>
        <w:rPr>
          <w:rFonts w:ascii="Arial" w:hAnsi="Arial"/>
          <w:b/>
          <w:color w:val="1E3A8A"/>
          <w:sz w:val="19"/>
        </w:rPr>
        <w:t xml:space="preserve">Figure 7: </w:t>
      </w:r>
      <w:r>
        <w:rPr>
          <w:rFonts w:ascii="Arial" w:hAnsi="Arial"/>
          <w:i/>
          <w:color w:val="64748B"/>
          <w:sz w:val="19"/>
        </w:rPr>
        <w:t>Top-10 most critical road segments ranked by sampled edge betweenness centrality (k=500, seed=42). Note the prominence of NH 66 corridors.</w:t>
      </w:r>
    </w:p>
    <w:p>
      <w:pPr>
        <w:pStyle w:val="Heading2"/>
      </w:pPr>
      <w:r>
        <w:t>9.3 Routing Benchmark: Dijkstra vs. OSRM and A* Runtime</w:t>
      </w:r>
    </w:p>
    <w:p>
      <w:r>
        <w:t>We evaluated 12 representative origin-destination transit corridors covering short local hops (e.g. Karunagappally to KSRTC Bus Stand, 0.16 km) to long regional arterial corridors (e.g. Oachira to Sasthamkotta, 20.19 km). Table 4 reports NetworkX Dijkstra distance, OSRM driving distance and duration, percentage distance discrepancy, and the runtime comparison between Dijkstra and geodesic A* (averaged over 30 repeated runs).</w:t>
      </w:r>
    </w:p>
    <w:p>
      <w:r>
        <w:rPr>
          <w:b/>
          <w:color w:val="1E3A8A"/>
        </w:rPr>
        <w:t>Table 4: Routing Evaluation Benchmark: Dijkstra vs. OSRM &amp; A* across 12 Corridors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2592"/>
            <w:tcMar>
              <w:top w:w="120" w:type="dxa"/>
              <w:bottom w:w="120" w:type="dxa"/>
              <w:left w:w="150" w:type="dxa"/>
              <w:right w:w="150" w:type="dxa"/>
            </w:tcMar>
            <w:shd w:fill="1E3A8A"/>
            <w:tcBorders>
              <w:bottom w:val="single" w:sz="12" w:space="0" w:color="1E3A8A"/>
            </w:tcBorders>
          </w:tcPr>
          <w:p>
            <w:r>
              <w:rPr>
                <w:b/>
                <w:color w:val="FFFFFF"/>
              </w:rPr>
              <w:t>Corridor</w:t>
            </w:r>
          </w:p>
        </w:tc>
        <w:tc>
          <w:tcPr>
            <w:tcW w:type="dxa" w:w="1152"/>
            <w:tcMar>
              <w:top w:w="120" w:type="dxa"/>
              <w:bottom w:w="120" w:type="dxa"/>
              <w:left w:w="150" w:type="dxa"/>
              <w:right w:w="150" w:type="dxa"/>
            </w:tcMar>
            <w:shd w:fill="1E3A8A"/>
            <w:tcBorders>
              <w:bottom w:val="single" w:sz="12" w:space="0" w:color="1E3A8A"/>
            </w:tcBorders>
          </w:tcPr>
          <w:p>
            <w:r>
              <w:rPr>
                <w:b/>
                <w:color w:val="FFFFFF"/>
              </w:rPr>
              <w:t>Dijkstra Dist (km)</w:t>
            </w:r>
          </w:p>
        </w:tc>
        <w:tc>
          <w:tcPr>
            <w:tcW w:type="dxa" w:w="1152"/>
            <w:tcMar>
              <w:top w:w="120" w:type="dxa"/>
              <w:bottom w:w="120" w:type="dxa"/>
              <w:left w:w="150" w:type="dxa"/>
              <w:right w:w="150" w:type="dxa"/>
            </w:tcMar>
            <w:shd w:fill="1E3A8A"/>
            <w:tcBorders>
              <w:bottom w:val="single" w:sz="12" w:space="0" w:color="1E3A8A"/>
            </w:tcBorders>
          </w:tcPr>
          <w:p>
            <w:r>
              <w:rPr>
                <w:b/>
                <w:color w:val="FFFFFF"/>
              </w:rPr>
              <w:t>OSRM Dist (km)</w:t>
            </w:r>
          </w:p>
        </w:tc>
        <w:tc>
          <w:tcPr>
            <w:tcW w:type="dxa" w:w="1008"/>
            <w:tcMar>
              <w:top w:w="120" w:type="dxa"/>
              <w:bottom w:w="120" w:type="dxa"/>
              <w:left w:w="150" w:type="dxa"/>
              <w:right w:w="150" w:type="dxa"/>
            </w:tcMar>
            <w:shd w:fill="1E3A8A"/>
            <w:tcBorders>
              <w:bottom w:val="single" w:sz="12" w:space="0" w:color="1E3A8A"/>
            </w:tcBorders>
          </w:tcPr>
          <w:p>
            <w:r>
              <w:rPr>
                <w:b/>
                <w:color w:val="FFFFFF"/>
              </w:rPr>
              <w:t>Dist Diff (%)</w:t>
            </w:r>
          </w:p>
        </w:tc>
        <w:tc>
          <w:tcPr>
            <w:tcW w:type="dxa" w:w="1152"/>
            <w:tcMar>
              <w:top w:w="120" w:type="dxa"/>
              <w:bottom w:w="120" w:type="dxa"/>
              <w:left w:w="150" w:type="dxa"/>
              <w:right w:w="150" w:type="dxa"/>
            </w:tcMar>
            <w:shd w:fill="1E3A8A"/>
            <w:tcBorders>
              <w:bottom w:val="single" w:sz="12" w:space="0" w:color="1E3A8A"/>
            </w:tcBorders>
          </w:tcPr>
          <w:p>
            <w:r>
              <w:rPr>
                <w:b/>
                <w:color w:val="FFFFFF"/>
              </w:rPr>
              <w:t>OSRM Time (min)</w:t>
            </w:r>
          </w:p>
        </w:tc>
        <w:tc>
          <w:tcPr>
            <w:tcW w:type="dxa" w:w="1152"/>
            <w:tcMar>
              <w:top w:w="120" w:type="dxa"/>
              <w:bottom w:w="120" w:type="dxa"/>
              <w:left w:w="150" w:type="dxa"/>
              <w:right w:w="150" w:type="dxa"/>
            </w:tcMar>
            <w:shd w:fill="1E3A8A"/>
            <w:tcBorders>
              <w:bottom w:val="single" w:sz="12" w:space="0" w:color="1E3A8A"/>
            </w:tcBorders>
          </w:tcPr>
          <w:p>
            <w:r>
              <w:rPr>
                <w:b/>
                <w:color w:val="FFFFFF"/>
              </w:rPr>
              <w:t>Dijkstra (ms)</w:t>
            </w:r>
          </w:p>
        </w:tc>
        <w:tc>
          <w:tcPr>
            <w:tcW w:type="dxa" w:w="1152"/>
            <w:tcMar>
              <w:top w:w="120" w:type="dxa"/>
              <w:bottom w:w="120" w:type="dxa"/>
              <w:left w:w="150" w:type="dxa"/>
              <w:right w:w="150" w:type="dxa"/>
            </w:tcMar>
            <w:shd w:fill="1E3A8A"/>
            <w:tcBorders>
              <w:bottom w:val="single" w:sz="12" w:space="0" w:color="1E3A8A"/>
            </w:tcBorders>
          </w:tcPr>
          <w:p>
            <w:r>
              <w:rPr>
                <w:b/>
                <w:color w:val="FFFFFF"/>
              </w:rPr>
              <w:t>A* (ms)</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Karunagappally → Chavara</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8.24</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8.22</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+0.24%</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9.6</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44.01 ± 8.04</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12.99 ± 2.60</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Karunagappally → Oachira</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9.36</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9.36</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+0.00%</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8.4</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44.63 ± 5.42</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1.85 ± 0.72</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Karunagappally → Amritapuri</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9.05</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8.79</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+2.96%</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13.5</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8.65 ± 1.55</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11.73 ± 1.49</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Karunagappally → Sasthamkotta</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11.64</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11.67</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+0.26%</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13.1</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36.67 ± 35.73</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4.02 ± 0.86</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Railway Station → Amritapuri</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10.05</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9.80</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+2.55%</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14.9</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9.43 ± 0.97</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12.39 ± 2.03</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KSRTC Bus Stand → Chavara</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8.08</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8.12</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+0.49%</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9.5</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15.23 ± 1.64</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4.54 ± 0.93</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KSRTC Bus Stand → Vallikavu</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8.45</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8.71</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+2.99%</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12.8</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4.74 ± 1.29</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7.11 ± 0.71</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Oachira → Amritapuri</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8.78</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8.98</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+2.23%</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13.4</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5.99 ± 2.25</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8.15 ± 0.76</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Amritapuri → Chavara</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16.73</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16.83</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+0.59%</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23.1</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34.83 ± 3.39</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11.27 ± 1.28</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Railway Station → Sasthamkotta</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11.96</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12.68</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+5.68%</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14.5</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29.57 ± 28.77</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3.69 ± 0.65</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Thazhava → Clappana</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4.11</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4.64</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+11.42%</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7.2</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1.72 ± 0.90</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0.72 ± 0.12</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Puthiyakavu → Mynagappally</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7.75</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8.20</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+5.49%</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11.5</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11.65 ± 1.34</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2.27 ± 0.42</w:t>
            </w:r>
          </w:p>
        </w:tc>
      </w:tr>
    </w:tbl>
    <w:p>
      <w:pPr>
        <w:spacing w:before="120" w:after="40"/>
        <w:jc w:val="center"/>
      </w:pPr>
      <w:r>
        <w:drawing>
          <wp:inline xmlns:a="http://schemas.openxmlformats.org/drawingml/2006/main" xmlns:pic="http://schemas.openxmlformats.org/drawingml/2006/picture">
            <wp:extent cx="4754880" cy="2179320"/>
            <wp:docPr id="3" name="Picture 3"/>
            <wp:cNvGraphicFramePr>
              <a:graphicFrameLocks noChangeAspect="1"/>
            </wp:cNvGraphicFramePr>
            <a:graphic>
              <a:graphicData uri="http://schemas.openxmlformats.org/drawingml/2006/picture">
                <pic:pic>
                  <pic:nvPicPr>
                    <pic:cNvPr id="0" name="fig_routing_runtime_comparison.png"/>
                    <pic:cNvPicPr/>
                  </pic:nvPicPr>
                  <pic:blipFill>
                    <a:blip r:embed="rId13"/>
                    <a:stretch>
                      <a:fillRect/>
                    </a:stretch>
                  </pic:blipFill>
                  <pic:spPr>
                    <a:xfrm>
                      <a:off x="0" y="0"/>
                      <a:ext cx="4754880" cy="2179320"/>
                    </a:xfrm>
                    <a:prstGeom prst="rect"/>
                  </pic:spPr>
                </pic:pic>
              </a:graphicData>
            </a:graphic>
          </wp:inline>
        </w:drawing>
      </w:r>
    </w:p>
    <w:p>
      <w:pPr>
        <w:spacing w:before="40" w:after="160"/>
        <w:jc w:val="center"/>
      </w:pPr>
      <w:r>
        <w:rPr>
          <w:rFonts w:ascii="Arial" w:hAnsi="Arial"/>
          <w:b/>
          <w:color w:val="1E3A8A"/>
          <w:sz w:val="19"/>
        </w:rPr>
        <w:t xml:space="preserve">Figure 8: </w:t>
      </w:r>
      <w:r>
        <w:rPr>
          <w:rFonts w:ascii="Arial" w:hAnsi="Arial"/>
          <w:i/>
          <w:color w:val="64748B"/>
          <w:sz w:val="19"/>
        </w:rPr>
        <w:t>Routing evaluation benchmark: Dijkstra vs A* execution runtime across 30 runs (left) and Dijkstra vs OSRM distance percentage difference (right).</w:t>
      </w:r>
    </w:p>
    <w:p>
      <w:pPr>
        <w:pStyle w:val="Heading2"/>
      </w:pPr>
      <w:r>
        <w:t>9.4 Road Closure Resilience &amp; Critical Bottlenecks</w:t>
      </w:r>
    </w:p>
    <w:p>
      <w:r>
        <w:t>A rigorous resilience audit was conducted by systematically removing every edge along the Dijkstra shortest path across all 12 evaluated transit corridors (665 total edge closure experiments). In all 665 cases, alternative detour paths existed within the connected road network (0 disconnections). However, the resulting detour penalty varied drastically. Table 5 documents the three most critical road closure bottlenecks in the municipality.</w:t>
      </w:r>
    </w:p>
    <w:p>
      <w:r>
        <w:rPr>
          <w:b/>
          <w:color w:val="1E3A8A"/>
        </w:rPr>
        <w:t>Table 5: Systematic Road Closure Resilience Study: Top Bottleneck Edges and Detour Metrics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cantSplit/>
        </w:trPr>
        <w:tc>
          <w:tcPr>
            <w:tcW w:type="dxa" w:w="720"/>
            <w:tcMar>
              <w:top w:w="120" w:type="dxa"/>
              <w:bottom w:w="120" w:type="dxa"/>
              <w:left w:w="150" w:type="dxa"/>
              <w:right w:w="150" w:type="dxa"/>
            </w:tcMar>
            <w:shd w:fill="1E3A8A"/>
            <w:tcBorders>
              <w:bottom w:val="single" w:sz="12" w:space="0" w:color="1E3A8A"/>
            </w:tcBorders>
          </w:tcPr>
          <w:p>
            <w:r>
              <w:rPr>
                <w:b/>
                <w:color w:val="FFFFFF"/>
              </w:rPr>
              <w:t>Rank</w:t>
            </w:r>
          </w:p>
        </w:tc>
        <w:tc>
          <w:tcPr>
            <w:tcW w:type="dxa" w:w="2160"/>
            <w:tcMar>
              <w:top w:w="120" w:type="dxa"/>
              <w:bottom w:w="120" w:type="dxa"/>
              <w:left w:w="150" w:type="dxa"/>
              <w:right w:w="150" w:type="dxa"/>
            </w:tcMar>
            <w:shd w:fill="1E3A8A"/>
            <w:tcBorders>
              <w:bottom w:val="single" w:sz="12" w:space="0" w:color="1E3A8A"/>
            </w:tcBorders>
          </w:tcPr>
          <w:p>
            <w:r>
              <w:rPr>
                <w:b/>
                <w:color w:val="FFFFFF"/>
              </w:rPr>
              <w:t>Corridor</w:t>
            </w:r>
          </w:p>
        </w:tc>
        <w:tc>
          <w:tcPr>
            <w:tcW w:type="dxa" w:w="1728"/>
            <w:tcMar>
              <w:top w:w="120" w:type="dxa"/>
              <w:bottom w:w="120" w:type="dxa"/>
              <w:left w:w="150" w:type="dxa"/>
              <w:right w:w="150" w:type="dxa"/>
            </w:tcMar>
            <w:shd w:fill="1E3A8A"/>
            <w:tcBorders>
              <w:bottom w:val="single" w:sz="12" w:space="0" w:color="1E3A8A"/>
            </w:tcBorders>
          </w:tcPr>
          <w:p>
            <w:r>
              <w:rPr>
                <w:b/>
                <w:color w:val="FFFFFF"/>
              </w:rPr>
              <w:t>Closed Road Name</w:t>
            </w:r>
          </w:p>
        </w:tc>
        <w:tc>
          <w:tcPr>
            <w:tcW w:type="dxa" w:w="1584"/>
            <w:tcMar>
              <w:top w:w="120" w:type="dxa"/>
              <w:bottom w:w="120" w:type="dxa"/>
              <w:left w:w="150" w:type="dxa"/>
              <w:right w:w="150" w:type="dxa"/>
            </w:tcMar>
            <w:shd w:fill="1E3A8A"/>
            <w:tcBorders>
              <w:bottom w:val="single" w:sz="12" w:space="0" w:color="1E3A8A"/>
            </w:tcBorders>
          </w:tcPr>
          <w:p>
            <w:r>
              <w:rPr>
                <w:b/>
                <w:color w:val="FFFFFF"/>
              </w:rPr>
              <w:t>Edge ID (u → v)</w:t>
            </w:r>
          </w:p>
        </w:tc>
        <w:tc>
          <w:tcPr>
            <w:tcW w:type="dxa" w:w="1008"/>
            <w:tcMar>
              <w:top w:w="120" w:type="dxa"/>
              <w:bottom w:w="120" w:type="dxa"/>
              <w:left w:w="150" w:type="dxa"/>
              <w:right w:w="150" w:type="dxa"/>
            </w:tcMar>
            <w:shd w:fill="1E3A8A"/>
            <w:tcBorders>
              <w:bottom w:val="single" w:sz="12" w:space="0" w:color="1E3A8A"/>
            </w:tcBorders>
          </w:tcPr>
          <w:p>
            <w:r>
              <w:rPr>
                <w:b/>
                <w:color w:val="FFFFFF"/>
              </w:rPr>
              <w:t>Base Dist (km)</w:t>
            </w:r>
          </w:p>
        </w:tc>
        <w:tc>
          <w:tcPr>
            <w:tcW w:type="dxa" w:w="1008"/>
            <w:tcMar>
              <w:top w:w="120" w:type="dxa"/>
              <w:bottom w:w="120" w:type="dxa"/>
              <w:left w:w="150" w:type="dxa"/>
              <w:right w:w="150" w:type="dxa"/>
            </w:tcMar>
            <w:shd w:fill="1E3A8A"/>
            <w:tcBorders>
              <w:bottom w:val="single" w:sz="12" w:space="0" w:color="1E3A8A"/>
            </w:tcBorders>
          </w:tcPr>
          <w:p>
            <w:r>
              <w:rPr>
                <w:b/>
                <w:color w:val="FFFFFF"/>
              </w:rPr>
              <w:t>Detour Dist (km)</w:t>
            </w:r>
          </w:p>
        </w:tc>
        <w:tc>
          <w:tcPr>
            <w:tcW w:type="dxa" w:w="1584"/>
            <w:tcMar>
              <w:top w:w="120" w:type="dxa"/>
              <w:bottom w:w="120" w:type="dxa"/>
              <w:left w:w="150" w:type="dxa"/>
              <w:right w:w="150" w:type="dxa"/>
            </w:tcMar>
            <w:shd w:fill="1E3A8A"/>
            <w:tcBorders>
              <w:bottom w:val="single" w:sz="12" w:space="0" w:color="1E3A8A"/>
            </w:tcBorders>
          </w:tcPr>
          <w:p>
            <w:r>
              <w:rPr>
                <w:b/>
                <w:color w:val="FFFFFF"/>
              </w:rPr>
              <w:t>Detour Penalty (%)</w:t>
            </w:r>
          </w:p>
        </w:tc>
      </w:tr>
      <w:tr>
        <w:trPr>
          <w:cantSplit/>
        </w:trPr>
        <w:tc>
          <w:tcPr>
            <w:tcW w:type="dxa" w:w="720"/>
            <w:tcMar>
              <w:top w:w="120" w:type="dxa"/>
              <w:bottom w:w="120" w:type="dxa"/>
              <w:left w:w="150" w:type="dxa"/>
              <w:right w:w="150" w:type="dxa"/>
            </w:tcMar>
            <w:shd w:fill="FFFFFF"/>
            <w:tcBorders>
              <w:top w:val="single" w:sz="2" w:space="0" w:color="CBD5E1"/>
              <w:bottom w:val="single" w:sz="4" w:space="0" w:color="CBD5E1"/>
            </w:tcBorders>
          </w:tcPr>
          <w:p>
            <w:r>
              <w:t>1</w:t>
            </w:r>
          </w:p>
        </w:tc>
        <w:tc>
          <w:tcPr>
            <w:tcW w:type="dxa" w:w="2160"/>
            <w:tcMar>
              <w:top w:w="120" w:type="dxa"/>
              <w:bottom w:w="120" w:type="dxa"/>
              <w:left w:w="150" w:type="dxa"/>
              <w:right w:w="150" w:type="dxa"/>
            </w:tcMar>
            <w:shd w:fill="FFFFFF"/>
            <w:tcBorders>
              <w:top w:val="single" w:sz="2" w:space="0" w:color="CBD5E1"/>
              <w:bottom w:val="single" w:sz="4" w:space="0" w:color="CBD5E1"/>
            </w:tcBorders>
          </w:tcPr>
          <w:p>
            <w:r>
              <w:t>KSRTC Bus Stand → Vallikavu</w:t>
            </w:r>
          </w:p>
        </w:tc>
        <w:tc>
          <w:tcPr>
            <w:tcW w:type="dxa" w:w="1728"/>
            <w:tcMar>
              <w:top w:w="120" w:type="dxa"/>
              <w:bottom w:w="120" w:type="dxa"/>
              <w:left w:w="150" w:type="dxa"/>
              <w:right w:w="150" w:type="dxa"/>
            </w:tcMar>
            <w:shd w:fill="FFFFFF"/>
            <w:tcBorders>
              <w:top w:val="single" w:sz="2" w:space="0" w:color="CBD5E1"/>
              <w:bottom w:val="single" w:sz="4" w:space="0" w:color="CBD5E1"/>
            </w:tcBorders>
          </w:tcPr>
          <w:p>
            <w:r>
              <w:t>Unnamed road</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944921.. → 339966..</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8.45</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17.37</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+105.56% (+8.92 km)</w:t>
            </w:r>
          </w:p>
        </w:tc>
      </w:tr>
      <w:tr>
        <w:trPr>
          <w:cantSplit/>
        </w:trPr>
        <w:tc>
          <w:tcPr>
            <w:tcW w:type="dxa" w:w="720"/>
            <w:tcMar>
              <w:top w:w="120" w:type="dxa"/>
              <w:bottom w:w="120" w:type="dxa"/>
              <w:left w:w="150" w:type="dxa"/>
              <w:right w:w="150" w:type="dxa"/>
            </w:tcMar>
            <w:shd w:fill="F8FAFC"/>
            <w:tcBorders>
              <w:top w:val="single" w:sz="2" w:space="0" w:color="CBD5E1"/>
              <w:bottom w:val="single" w:sz="4" w:space="0" w:color="CBD5E1"/>
            </w:tcBorders>
          </w:tcPr>
          <w:p>
            <w:r>
              <w:t>2</w:t>
            </w:r>
          </w:p>
        </w:tc>
        <w:tc>
          <w:tcPr>
            <w:tcW w:type="dxa" w:w="2160"/>
            <w:tcMar>
              <w:top w:w="120" w:type="dxa"/>
              <w:bottom w:w="120" w:type="dxa"/>
              <w:left w:w="150" w:type="dxa"/>
              <w:right w:w="150" w:type="dxa"/>
            </w:tcMar>
            <w:shd w:fill="F8FAFC"/>
            <w:tcBorders>
              <w:top w:val="single" w:sz="2" w:space="0" w:color="CBD5E1"/>
              <w:bottom w:val="single" w:sz="4" w:space="0" w:color="CBD5E1"/>
            </w:tcBorders>
          </w:tcPr>
          <w:p>
            <w:r>
              <w:t>KSRTC Bus Stand → Vallikavu</w:t>
            </w:r>
          </w:p>
        </w:tc>
        <w:tc>
          <w:tcPr>
            <w:tcW w:type="dxa" w:w="1728"/>
            <w:tcMar>
              <w:top w:w="120" w:type="dxa"/>
              <w:bottom w:w="120" w:type="dxa"/>
              <w:left w:w="150" w:type="dxa"/>
              <w:right w:w="150" w:type="dxa"/>
            </w:tcMar>
            <w:shd w:fill="F8FAFC"/>
            <w:tcBorders>
              <w:top w:val="single" w:sz="2" w:space="0" w:color="CBD5E1"/>
              <w:bottom w:val="single" w:sz="4" w:space="0" w:color="CBD5E1"/>
            </w:tcBorders>
          </w:tcPr>
          <w:p>
            <w:r>
              <w:t>Unnamed road</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121972.. → 257050..</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8.45</w:t>
            </w:r>
          </w:p>
        </w:tc>
        <w:tc>
          <w:tcPr>
            <w:tcW w:type="dxa" w:w="1008"/>
            <w:tcMar>
              <w:top w:w="120" w:type="dxa"/>
              <w:bottom w:w="120" w:type="dxa"/>
              <w:left w:w="150" w:type="dxa"/>
              <w:right w:w="150" w:type="dxa"/>
            </w:tcMar>
            <w:shd w:fill="F8FAFC"/>
            <w:tcBorders>
              <w:top w:val="single" w:sz="2" w:space="0" w:color="CBD5E1"/>
              <w:bottom w:val="single" w:sz="4" w:space="0" w:color="CBD5E1"/>
            </w:tcBorders>
          </w:tcPr>
          <w:p>
            <w:r>
              <w:t>17.37</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+105.56% (+8.92 km)</w:t>
            </w:r>
          </w:p>
        </w:tc>
      </w:tr>
      <w:tr>
        <w:trPr>
          <w:cantSplit/>
        </w:trPr>
        <w:tc>
          <w:tcPr>
            <w:tcW w:type="dxa" w:w="720"/>
            <w:tcMar>
              <w:top w:w="120" w:type="dxa"/>
              <w:bottom w:w="120" w:type="dxa"/>
              <w:left w:w="150" w:type="dxa"/>
              <w:right w:w="150" w:type="dxa"/>
            </w:tcMar>
            <w:shd w:fill="FFFFFF"/>
            <w:tcBorders>
              <w:top w:val="single" w:sz="2" w:space="0" w:color="CBD5E1"/>
              <w:bottom w:val="single" w:sz="4" w:space="0" w:color="CBD5E1"/>
            </w:tcBorders>
          </w:tcPr>
          <w:p>
            <w:r>
              <w:t>3</w:t>
            </w:r>
          </w:p>
        </w:tc>
        <w:tc>
          <w:tcPr>
            <w:tcW w:type="dxa" w:w="2160"/>
            <w:tcMar>
              <w:top w:w="120" w:type="dxa"/>
              <w:bottom w:w="120" w:type="dxa"/>
              <w:left w:w="150" w:type="dxa"/>
              <w:right w:w="150" w:type="dxa"/>
            </w:tcMar>
            <w:shd w:fill="FFFFFF"/>
            <w:tcBorders>
              <w:top w:val="single" w:sz="2" w:space="0" w:color="CBD5E1"/>
              <w:bottom w:val="single" w:sz="4" w:space="0" w:color="CBD5E1"/>
            </w:tcBorders>
          </w:tcPr>
          <w:p>
            <w:r>
              <w:t>KSRTC Bus Stand → Vallikavu</w:t>
            </w:r>
          </w:p>
        </w:tc>
        <w:tc>
          <w:tcPr>
            <w:tcW w:type="dxa" w:w="1728"/>
            <w:tcMar>
              <w:top w:w="120" w:type="dxa"/>
              <w:bottom w:w="120" w:type="dxa"/>
              <w:left w:w="150" w:type="dxa"/>
              <w:right w:w="150" w:type="dxa"/>
            </w:tcMar>
            <w:shd w:fill="FFFFFF"/>
            <w:tcBorders>
              <w:top w:val="single" w:sz="2" w:space="0" w:color="CBD5E1"/>
              <w:bottom w:val="single" w:sz="4" w:space="0" w:color="CBD5E1"/>
            </w:tcBorders>
          </w:tcPr>
          <w:p>
            <w:r>
              <w:t>Unnamed road</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257048.. → 944921..</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8.45</w:t>
            </w:r>
          </w:p>
        </w:tc>
        <w:tc>
          <w:tcPr>
            <w:tcW w:type="dxa" w:w="1008"/>
            <w:tcMar>
              <w:top w:w="120" w:type="dxa"/>
              <w:bottom w:w="120" w:type="dxa"/>
              <w:left w:w="150" w:type="dxa"/>
              <w:right w:w="150" w:type="dxa"/>
            </w:tcMar>
            <w:shd w:fill="FFFFFF"/>
            <w:tcBorders>
              <w:top w:val="single" w:sz="2" w:space="0" w:color="CBD5E1"/>
              <w:bottom w:val="single" w:sz="4" w:space="0" w:color="CBD5E1"/>
            </w:tcBorders>
          </w:tcPr>
          <w:p>
            <w:r>
              <w:t>17.37</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+105.56% (+8.92 km)</w:t>
            </w:r>
          </w:p>
        </w:tc>
      </w:tr>
    </w:tbl>
    <w:p>
      <w:pPr>
        <w:spacing w:before="120" w:after="40"/>
        <w:jc w:val="center"/>
      </w:pPr>
      <w:r>
        <w:drawing>
          <wp:inline xmlns:a="http://schemas.openxmlformats.org/drawingml/2006/main" xmlns:pic="http://schemas.openxmlformats.org/drawingml/2006/picture">
            <wp:extent cx="4754880" cy="1783080"/>
            <wp:docPr id="4" name="Picture 4"/>
            <wp:cNvGraphicFramePr>
              <a:graphicFrameLocks noChangeAspect="1"/>
            </wp:cNvGraphicFramePr>
            <a:graphic>
              <a:graphicData uri="http://schemas.openxmlformats.org/drawingml/2006/picture">
                <pic:pic>
                  <pic:nvPicPr>
                    <pic:cNvPr id="0" name="fig_closure_critical_edges.png"/>
                    <pic:cNvPicPr/>
                  </pic:nvPicPr>
                  <pic:blipFill>
                    <a:blip r:embed="rId14"/>
                    <a:stretch>
                      <a:fillRect/>
                    </a:stretch>
                  </pic:blipFill>
                  <pic:spPr>
                    <a:xfrm>
                      <a:off x="0" y="0"/>
                      <a:ext cx="4754880" cy="1783080"/>
                    </a:xfrm>
                    <a:prstGeom prst="rect"/>
                  </pic:spPr>
                </pic:pic>
              </a:graphicData>
            </a:graphic>
          </wp:inline>
        </w:drawing>
      </w:r>
    </w:p>
    <w:p>
      <w:pPr>
        <w:spacing w:before="40" w:after="160"/>
        <w:jc w:val="center"/>
      </w:pPr>
      <w:r>
        <w:rPr>
          <w:rFonts w:ascii="Arial" w:hAnsi="Arial"/>
          <w:b/>
          <w:color w:val="1E3A8A"/>
          <w:sz w:val="19"/>
        </w:rPr>
        <w:t xml:space="preserve">Figure 9: </w:t>
      </w:r>
      <w:r>
        <w:rPr>
          <w:rFonts w:ascii="Arial" w:hAnsi="Arial"/>
          <w:i/>
          <w:color w:val="64748B"/>
          <w:sz w:val="19"/>
        </w:rPr>
        <w:t>Geographic trajectory mapping of the 3 most critical road closures and their resulting detours. The red bar indicates the severed road segment, green the baseline route, and purple the forced detour.</w:t>
      </w:r>
    </w:p>
    <w:p>
      <w:pPr>
        <w:pStyle w:val="Heading2"/>
      </w:pPr>
      <w:r>
        <w:t>9.5 Taxi Demand Graph Mining &amp; Louvain Community Sensitivity</w:t>
      </w:r>
    </w:p>
    <w:p>
      <w:r>
        <w:t>The deterministic Gravity Model generated 5,000 trips between the 12 landmarks (seed 42). Table 6 presents the structural nodal metrics on the directed demand graph, while Table 7 presents Louvain community detection across resolutions {0.5, 1.0, 1.5} over 10 distinct random seeds.</w:t>
      </w:r>
    </w:p>
    <w:p>
      <w:r>
        <w:rPr>
          <w:b/>
          <w:color w:val="1E3A8A"/>
        </w:rPr>
        <w:t>Table 6: Landmark Mobility Demand Metrics: Degrees, PageRank, and Betweenness Centrality</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2160"/>
            <w:tcMar>
              <w:top w:w="120" w:type="dxa"/>
              <w:bottom w:w="120" w:type="dxa"/>
              <w:left w:w="150" w:type="dxa"/>
              <w:right w:w="150" w:type="dxa"/>
            </w:tcMar>
            <w:shd w:fill="1E3A8A"/>
            <w:tcBorders>
              <w:bottom w:val="single" w:sz="12" w:space="0" w:color="1E3A8A"/>
            </w:tcBorders>
          </w:tcPr>
          <w:p>
            <w:r>
              <w:rPr>
                <w:b/>
                <w:color w:val="FFFFFF"/>
              </w:rPr>
              <w:t>Landmark</w:t>
            </w:r>
          </w:p>
        </w:tc>
        <w:tc>
          <w:tcPr>
            <w:tcW w:type="dxa" w:w="1296"/>
            <w:tcMar>
              <w:top w:w="120" w:type="dxa"/>
              <w:bottom w:w="120" w:type="dxa"/>
              <w:left w:w="150" w:type="dxa"/>
              <w:right w:w="150" w:type="dxa"/>
            </w:tcMar>
            <w:shd w:fill="1E3A8A"/>
            <w:tcBorders>
              <w:bottom w:val="single" w:sz="12" w:space="0" w:color="1E3A8A"/>
            </w:tcBorders>
          </w:tcPr>
          <w:p>
            <w:r>
              <w:rPr>
                <w:b/>
                <w:color w:val="FFFFFF"/>
              </w:rPr>
              <w:t>Pickups (Out)</w:t>
            </w:r>
          </w:p>
        </w:tc>
        <w:tc>
          <w:tcPr>
            <w:tcW w:type="dxa" w:w="1296"/>
            <w:tcMar>
              <w:top w:w="120" w:type="dxa"/>
              <w:bottom w:w="120" w:type="dxa"/>
              <w:left w:w="150" w:type="dxa"/>
              <w:right w:w="150" w:type="dxa"/>
            </w:tcMar>
            <w:shd w:fill="1E3A8A"/>
            <w:tcBorders>
              <w:bottom w:val="single" w:sz="12" w:space="0" w:color="1E3A8A"/>
            </w:tcBorders>
          </w:tcPr>
          <w:p>
            <w:r>
              <w:rPr>
                <w:b/>
                <w:color w:val="FFFFFF"/>
              </w:rPr>
              <w:t>Dropoffs (In)</w:t>
            </w:r>
          </w:p>
        </w:tc>
        <w:tc>
          <w:tcPr>
            <w:tcW w:type="dxa" w:w="1440"/>
            <w:tcMar>
              <w:top w:w="120" w:type="dxa"/>
              <w:bottom w:w="120" w:type="dxa"/>
              <w:left w:w="150" w:type="dxa"/>
              <w:right w:w="150" w:type="dxa"/>
            </w:tcMar>
            <w:shd w:fill="1E3A8A"/>
            <w:tcBorders>
              <w:bottom w:val="single" w:sz="12" w:space="0" w:color="1E3A8A"/>
            </w:tcBorders>
          </w:tcPr>
          <w:p>
            <w:r>
              <w:rPr>
                <w:b/>
                <w:color w:val="FFFFFF"/>
              </w:rPr>
              <w:t>Total Volume</w:t>
            </w:r>
          </w:p>
        </w:tc>
        <w:tc>
          <w:tcPr>
            <w:tcW w:type="dxa" w:w="1584"/>
            <w:tcMar>
              <w:top w:w="120" w:type="dxa"/>
              <w:bottom w:w="120" w:type="dxa"/>
              <w:left w:w="150" w:type="dxa"/>
              <w:right w:w="150" w:type="dxa"/>
            </w:tcMar>
            <w:shd w:fill="1E3A8A"/>
            <w:tcBorders>
              <w:bottom w:val="single" w:sz="12" w:space="0" w:color="1E3A8A"/>
            </w:tcBorders>
          </w:tcPr>
          <w:p>
            <w:r>
              <w:rPr>
                <w:b/>
                <w:color w:val="FFFFFF"/>
              </w:rPr>
              <w:t>Weighted PageRank</w:t>
            </w:r>
          </w:p>
        </w:tc>
        <w:tc>
          <w:tcPr>
            <w:tcW w:type="dxa" w:w="1584"/>
            <w:tcMar>
              <w:top w:w="120" w:type="dxa"/>
              <w:bottom w:w="120" w:type="dxa"/>
              <w:left w:w="150" w:type="dxa"/>
              <w:right w:w="150" w:type="dxa"/>
            </w:tcMar>
            <w:shd w:fill="1E3A8A"/>
            <w:tcBorders>
              <w:bottom w:val="single" w:sz="12" w:space="0" w:color="1E3A8A"/>
            </w:tcBorders>
          </w:tcPr>
          <w:p>
            <w:r>
              <w:rPr>
                <w:b/>
                <w:color w:val="FFFFFF"/>
              </w:rPr>
              <w:t>Betweenness Centrality</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Karunagappally</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1,922</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1,195</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3,117</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0.24213</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0.00000</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Railway Station</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833</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1,242</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2,075</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0.19935</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0.00000</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KSRTC Bus Stand</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1,227</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1,621</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2,848</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0.23975</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0.00000</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Oachira</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98</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91</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189</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0.03265</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0.00000</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Chavara</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97</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95</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192</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0.03075</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0.15333</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Sasthamkotta</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45</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44</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89</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0.02160</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0.37061</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Mynagappally</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98</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75</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173</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0.02892</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0.01818</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Thazhava</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88</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70</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158</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0.02745</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0.08788</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Clappana</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53</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36</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89</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0.02078</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0.40591</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Vallikavu</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166</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145</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311</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0.04848</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0.22076</w:t>
            </w:r>
          </w:p>
        </w:tc>
      </w:tr>
      <w:tr>
        <w:trPr>
          <w:cantSplit/>
        </w:trPr>
        <w:tc>
          <w:tcPr>
            <w:tcW w:type="dxa" w:w="2160"/>
            <w:tcMar>
              <w:top w:w="120" w:type="dxa"/>
              <w:bottom w:w="120" w:type="dxa"/>
              <w:left w:w="150" w:type="dxa"/>
              <w:right w:w="150" w:type="dxa"/>
            </w:tcMar>
            <w:shd w:fill="FFFFFF"/>
            <w:tcBorders>
              <w:top w:val="single" w:sz="2" w:space="0" w:color="CBD5E1"/>
              <w:bottom w:val="single" w:sz="4" w:space="0" w:color="CBD5E1"/>
            </w:tcBorders>
          </w:tcPr>
          <w:p>
            <w:r>
              <w:t>Amritapuri</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190</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212</w:t>
            </w:r>
          </w:p>
        </w:tc>
        <w:tc>
          <w:tcPr>
            <w:tcW w:type="dxa" w:w="1440"/>
            <w:tcMar>
              <w:top w:w="120" w:type="dxa"/>
              <w:bottom w:w="120" w:type="dxa"/>
              <w:left w:w="150" w:type="dxa"/>
              <w:right w:w="150" w:type="dxa"/>
            </w:tcMar>
            <w:shd w:fill="FFFFFF"/>
            <w:tcBorders>
              <w:top w:val="single" w:sz="2" w:space="0" w:color="CBD5E1"/>
              <w:bottom w:val="single" w:sz="4" w:space="0" w:color="CBD5E1"/>
            </w:tcBorders>
          </w:tcPr>
          <w:p>
            <w:r>
              <w:t>402</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0.06262</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0.00000</w:t>
            </w:r>
          </w:p>
        </w:tc>
      </w:tr>
      <w:tr>
        <w:trPr>
          <w:cantSplit/>
        </w:trPr>
        <w:tc>
          <w:tcPr>
            <w:tcW w:type="dxa" w:w="2160"/>
            <w:tcMar>
              <w:top w:w="120" w:type="dxa"/>
              <w:bottom w:w="120" w:type="dxa"/>
              <w:left w:w="150" w:type="dxa"/>
              <w:right w:w="150" w:type="dxa"/>
            </w:tcMar>
            <w:shd w:fill="F8FAFC"/>
            <w:tcBorders>
              <w:top w:val="single" w:sz="2" w:space="0" w:color="CBD5E1"/>
              <w:bottom w:val="single" w:sz="4" w:space="0" w:color="CBD5E1"/>
            </w:tcBorders>
          </w:tcPr>
          <w:p>
            <w:r>
              <w:t>Puthiyakavu</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183</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174</w:t>
            </w:r>
          </w:p>
        </w:tc>
        <w:tc>
          <w:tcPr>
            <w:tcW w:type="dxa" w:w="1440"/>
            <w:tcMar>
              <w:top w:w="120" w:type="dxa"/>
              <w:bottom w:w="120" w:type="dxa"/>
              <w:left w:w="150" w:type="dxa"/>
              <w:right w:w="150" w:type="dxa"/>
            </w:tcMar>
            <w:shd w:fill="F8FAFC"/>
            <w:tcBorders>
              <w:top w:val="single" w:sz="2" w:space="0" w:color="CBD5E1"/>
              <w:bottom w:val="single" w:sz="4" w:space="0" w:color="CBD5E1"/>
            </w:tcBorders>
          </w:tcPr>
          <w:p>
            <w:r>
              <w:t>357</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0.04553</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0.00000</w:t>
            </w:r>
          </w:p>
        </w:tc>
      </w:tr>
    </w:tbl>
    <w:p>
      <w:pPr>
        <w:spacing w:before="120" w:after="40"/>
        <w:jc w:val="center"/>
      </w:pPr>
      <w:r>
        <w:drawing>
          <wp:inline xmlns:a="http://schemas.openxmlformats.org/drawingml/2006/main" xmlns:pic="http://schemas.openxmlformats.org/drawingml/2006/picture">
            <wp:extent cx="4754880" cy="2139696"/>
            <wp:docPr id="5" name="Picture 5"/>
            <wp:cNvGraphicFramePr>
              <a:graphicFrameLocks noChangeAspect="1"/>
            </wp:cNvGraphicFramePr>
            <a:graphic>
              <a:graphicData uri="http://schemas.openxmlformats.org/drawingml/2006/picture">
                <pic:pic>
                  <pic:nvPicPr>
                    <pic:cNvPr id="0" name="fig_demand_hourly_distribution.png"/>
                    <pic:cNvPicPr/>
                  </pic:nvPicPr>
                  <pic:blipFill>
                    <a:blip r:embed="rId15"/>
                    <a:stretch>
                      <a:fillRect/>
                    </a:stretch>
                  </pic:blipFill>
                  <pic:spPr>
                    <a:xfrm>
                      <a:off x="0" y="0"/>
                      <a:ext cx="4754880" cy="2139696"/>
                    </a:xfrm>
                    <a:prstGeom prst="rect"/>
                  </pic:spPr>
                </pic:pic>
              </a:graphicData>
            </a:graphic>
          </wp:inline>
        </w:drawing>
      </w:r>
    </w:p>
    <w:p>
      <w:pPr>
        <w:spacing w:before="40" w:after="160"/>
        <w:jc w:val="center"/>
      </w:pPr>
      <w:r>
        <w:rPr>
          <w:rFonts w:ascii="Arial" w:hAnsi="Arial"/>
          <w:b/>
          <w:color w:val="1E3A8A"/>
          <w:sz w:val="19"/>
        </w:rPr>
        <w:t xml:space="preserve">Figure 10: </w:t>
      </w:r>
      <w:r>
        <w:rPr>
          <w:rFonts w:ascii="Arial" w:hAnsi="Arial"/>
          <w:i/>
          <w:color w:val="64748B"/>
          <w:sz w:val="19"/>
        </w:rPr>
        <w:t>Diurnal hourly trip distribution of the synthetic mobility callset (N=5,000 trips), highlighting peak morning and evening commuter hours.</w:t>
      </w:r>
    </w:p>
    <w:p>
      <w:r>
        <w:rPr>
          <w:b/>
          <w:color w:val="1E3A8A"/>
        </w:rPr>
        <w:t>Table 7: Louvain Community Detection Sensitivity Analysis across Resolutions and Random Seeds</w:t>
      </w:r>
    </w:p>
    <w:tbl>
      <w:tblPr>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728"/>
            <w:tcMar>
              <w:top w:w="120" w:type="dxa"/>
              <w:bottom w:w="120" w:type="dxa"/>
              <w:left w:w="150" w:type="dxa"/>
              <w:right w:w="150" w:type="dxa"/>
            </w:tcMar>
            <w:shd w:fill="1E3A8A"/>
            <w:tcBorders>
              <w:bottom w:val="single" w:sz="12" w:space="0" w:color="1E3A8A"/>
            </w:tcBorders>
          </w:tcPr>
          <w:p>
            <w:r>
              <w:rPr>
                <w:b/>
                <w:color w:val="FFFFFF"/>
              </w:rPr>
              <w:t>Resolution (γ)</w:t>
            </w:r>
          </w:p>
        </w:tc>
        <w:tc>
          <w:tcPr>
            <w:tcW w:type="dxa" w:w="2160"/>
            <w:tcMar>
              <w:top w:w="120" w:type="dxa"/>
              <w:bottom w:w="120" w:type="dxa"/>
              <w:left w:w="150" w:type="dxa"/>
              <w:right w:w="150" w:type="dxa"/>
            </w:tcMar>
            <w:shd w:fill="1E3A8A"/>
            <w:tcBorders>
              <w:bottom w:val="single" w:sz="12" w:space="0" w:color="1E3A8A"/>
            </w:tcBorders>
          </w:tcPr>
          <w:p>
            <w:r>
              <w:rPr>
                <w:b/>
                <w:color w:val="FFFFFF"/>
              </w:rPr>
              <w:t>Target Scale</w:t>
            </w:r>
          </w:p>
        </w:tc>
        <w:tc>
          <w:tcPr>
            <w:tcW w:type="dxa" w:w="1728"/>
            <w:tcMar>
              <w:top w:w="120" w:type="dxa"/>
              <w:bottom w:w="120" w:type="dxa"/>
              <w:left w:w="150" w:type="dxa"/>
              <w:right w:w="150" w:type="dxa"/>
            </w:tcMar>
            <w:shd w:fill="1E3A8A"/>
            <w:tcBorders>
              <w:bottom w:val="single" w:sz="12" w:space="0" w:color="1E3A8A"/>
            </w:tcBorders>
          </w:tcPr>
          <w:p>
            <w:r>
              <w:rPr>
                <w:b/>
                <w:color w:val="FFFFFF"/>
              </w:rPr>
              <w:t>Mean Communities (10 Seeds)</w:t>
            </w:r>
          </w:p>
        </w:tc>
        <w:tc>
          <w:tcPr>
            <w:tcW w:type="dxa" w:w="1152"/>
            <w:tcMar>
              <w:top w:w="120" w:type="dxa"/>
              <w:bottom w:w="120" w:type="dxa"/>
              <w:left w:w="150" w:type="dxa"/>
              <w:right w:w="150" w:type="dxa"/>
            </w:tcMar>
            <w:shd w:fill="1E3A8A"/>
            <w:tcBorders>
              <w:bottom w:val="single" w:sz="12" w:space="0" w:color="1E3A8A"/>
            </w:tcBorders>
          </w:tcPr>
          <w:p>
            <w:r>
              <w:rPr>
                <w:b/>
                <w:color w:val="FFFFFF"/>
              </w:rPr>
              <w:t>Std Dev</w:t>
            </w:r>
          </w:p>
        </w:tc>
        <w:tc>
          <w:tcPr>
            <w:tcW w:type="dxa" w:w="2592"/>
            <w:tcMar>
              <w:top w:w="120" w:type="dxa"/>
              <w:bottom w:w="120" w:type="dxa"/>
              <w:left w:w="150" w:type="dxa"/>
              <w:right w:w="150" w:type="dxa"/>
            </w:tcMar>
            <w:shd w:fill="1E3A8A"/>
            <w:tcBorders>
              <w:bottom w:val="single" w:sz="12" w:space="0" w:color="1E3A8A"/>
            </w:tcBorders>
          </w:tcPr>
          <w:p>
            <w:r>
              <w:rPr>
                <w:b/>
                <w:color w:val="FFFFFF"/>
              </w:rPr>
              <w:t>Mean Modularity Q (10 Seeds)</w:t>
            </w:r>
          </w:p>
        </w:tc>
      </w:tr>
      <w:tr>
        <w:trPr>
          <w:cantSplit/>
        </w:trPr>
        <w:tc>
          <w:tcPr>
            <w:tcW w:type="dxa" w:w="1728"/>
            <w:tcMar>
              <w:top w:w="120" w:type="dxa"/>
              <w:bottom w:w="120" w:type="dxa"/>
              <w:left w:w="150" w:type="dxa"/>
              <w:right w:w="150" w:type="dxa"/>
            </w:tcMar>
            <w:shd w:fill="FFFFFF"/>
            <w:tcBorders>
              <w:top w:val="single" w:sz="2" w:space="0" w:color="CBD5E1"/>
              <w:bottom w:val="single" w:sz="4" w:space="0" w:color="CBD5E1"/>
            </w:tcBorders>
          </w:tcPr>
          <w:p>
            <w:r>
              <w:t>0.5</w:t>
            </w:r>
          </w:p>
        </w:tc>
        <w:tc>
          <w:tcPr>
            <w:tcW w:type="dxa" w:w="2160"/>
            <w:tcMar>
              <w:top w:w="120" w:type="dxa"/>
              <w:bottom w:w="120" w:type="dxa"/>
              <w:left w:w="150" w:type="dxa"/>
              <w:right w:w="150" w:type="dxa"/>
            </w:tcMar>
            <w:shd w:fill="FFFFFF"/>
            <w:tcBorders>
              <w:top w:val="single" w:sz="2" w:space="0" w:color="CBD5E1"/>
              <w:bottom w:val="single" w:sz="4" w:space="0" w:color="CBD5E1"/>
            </w:tcBorders>
          </w:tcPr>
          <w:p>
            <w:r>
              <w:t>Broad Macro-Regions</w:t>
            </w:r>
          </w:p>
        </w:tc>
        <w:tc>
          <w:tcPr>
            <w:tcW w:type="dxa" w:w="1728"/>
            <w:tcMar>
              <w:top w:w="120" w:type="dxa"/>
              <w:bottom w:w="120" w:type="dxa"/>
              <w:left w:w="150" w:type="dxa"/>
              <w:right w:w="150" w:type="dxa"/>
            </w:tcMar>
            <w:shd w:fill="FFFFFF"/>
            <w:tcBorders>
              <w:top w:val="single" w:sz="2" w:space="0" w:color="CBD5E1"/>
              <w:bottom w:val="single" w:sz="4" w:space="0" w:color="CBD5E1"/>
            </w:tcBorders>
          </w:tcPr>
          <w:p>
            <w:r>
              <w:t>2.00</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 0.00</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0.07223 ± 0.00000</w:t>
            </w:r>
          </w:p>
        </w:tc>
      </w:tr>
      <w:tr>
        <w:trPr>
          <w:cantSplit/>
        </w:trPr>
        <w:tc>
          <w:tcPr>
            <w:tcW w:type="dxa" w:w="1728"/>
            <w:tcMar>
              <w:top w:w="120" w:type="dxa"/>
              <w:bottom w:w="120" w:type="dxa"/>
              <w:left w:w="150" w:type="dxa"/>
              <w:right w:w="150" w:type="dxa"/>
            </w:tcMar>
            <w:shd w:fill="F8FAFC"/>
            <w:tcBorders>
              <w:top w:val="single" w:sz="2" w:space="0" w:color="CBD5E1"/>
              <w:bottom w:val="single" w:sz="4" w:space="0" w:color="CBD5E1"/>
            </w:tcBorders>
          </w:tcPr>
          <w:p>
            <w:r>
              <w:t>1.0</w:t>
            </w:r>
          </w:p>
        </w:tc>
        <w:tc>
          <w:tcPr>
            <w:tcW w:type="dxa" w:w="2160"/>
            <w:tcMar>
              <w:top w:w="120" w:type="dxa"/>
              <w:bottom w:w="120" w:type="dxa"/>
              <w:left w:w="150" w:type="dxa"/>
              <w:right w:w="150" w:type="dxa"/>
            </w:tcMar>
            <w:shd w:fill="F8FAFC"/>
            <w:tcBorders>
              <w:top w:val="single" w:sz="2" w:space="0" w:color="CBD5E1"/>
              <w:bottom w:val="single" w:sz="4" w:space="0" w:color="CBD5E1"/>
            </w:tcBorders>
          </w:tcPr>
          <w:p>
            <w:r>
              <w:t>Standard Modularity</w:t>
            </w:r>
          </w:p>
        </w:tc>
        <w:tc>
          <w:tcPr>
            <w:tcW w:type="dxa" w:w="1728"/>
            <w:tcMar>
              <w:top w:w="120" w:type="dxa"/>
              <w:bottom w:w="120" w:type="dxa"/>
              <w:left w:w="150" w:type="dxa"/>
              <w:right w:w="150" w:type="dxa"/>
            </w:tcMar>
            <w:shd w:fill="F8FAFC"/>
            <w:tcBorders>
              <w:top w:val="single" w:sz="2" w:space="0" w:color="CBD5E1"/>
              <w:bottom w:val="single" w:sz="4" w:space="0" w:color="CBD5E1"/>
            </w:tcBorders>
          </w:tcPr>
          <w:p>
            <w:r>
              <w:t>2.00</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 0.00</w:t>
            </w:r>
          </w:p>
        </w:tc>
        <w:tc>
          <w:tcPr>
            <w:tcW w:type="dxa" w:w="2592"/>
            <w:tcMar>
              <w:top w:w="120" w:type="dxa"/>
              <w:bottom w:w="120" w:type="dxa"/>
              <w:left w:w="150" w:type="dxa"/>
              <w:right w:w="150" w:type="dxa"/>
            </w:tcMar>
            <w:shd w:fill="F8FAFC"/>
            <w:tcBorders>
              <w:top w:val="single" w:sz="2" w:space="0" w:color="CBD5E1"/>
              <w:bottom w:val="single" w:sz="4" w:space="0" w:color="CBD5E1"/>
            </w:tcBorders>
          </w:tcPr>
          <w:p>
            <w:r>
              <w:t>0.13637 ± 0.00000</w:t>
            </w:r>
          </w:p>
        </w:tc>
      </w:tr>
      <w:tr>
        <w:trPr>
          <w:cantSplit/>
        </w:trPr>
        <w:tc>
          <w:tcPr>
            <w:tcW w:type="dxa" w:w="1728"/>
            <w:tcMar>
              <w:top w:w="120" w:type="dxa"/>
              <w:bottom w:w="120" w:type="dxa"/>
              <w:left w:w="150" w:type="dxa"/>
              <w:right w:w="150" w:type="dxa"/>
            </w:tcMar>
            <w:shd w:fill="FFFFFF"/>
            <w:tcBorders>
              <w:top w:val="single" w:sz="2" w:space="0" w:color="CBD5E1"/>
              <w:bottom w:val="single" w:sz="4" w:space="0" w:color="CBD5E1"/>
            </w:tcBorders>
          </w:tcPr>
          <w:p>
            <w:r>
              <w:t>1.5</w:t>
            </w:r>
          </w:p>
        </w:tc>
        <w:tc>
          <w:tcPr>
            <w:tcW w:type="dxa" w:w="2160"/>
            <w:tcMar>
              <w:top w:w="120" w:type="dxa"/>
              <w:bottom w:w="120" w:type="dxa"/>
              <w:left w:w="150" w:type="dxa"/>
              <w:right w:w="150" w:type="dxa"/>
            </w:tcMar>
            <w:shd w:fill="FFFFFF"/>
            <w:tcBorders>
              <w:top w:val="single" w:sz="2" w:space="0" w:color="CBD5E1"/>
              <w:bottom w:val="single" w:sz="4" w:space="0" w:color="CBD5E1"/>
            </w:tcBorders>
          </w:tcPr>
          <w:p>
            <w:r>
              <w:t>Fine Micro-Clusters</w:t>
            </w:r>
          </w:p>
        </w:tc>
        <w:tc>
          <w:tcPr>
            <w:tcW w:type="dxa" w:w="1728"/>
            <w:tcMar>
              <w:top w:w="120" w:type="dxa"/>
              <w:bottom w:w="120" w:type="dxa"/>
              <w:left w:w="150" w:type="dxa"/>
              <w:right w:w="150" w:type="dxa"/>
            </w:tcMar>
            <w:shd w:fill="FFFFFF"/>
            <w:tcBorders>
              <w:top w:val="single" w:sz="2" w:space="0" w:color="CBD5E1"/>
              <w:bottom w:val="single" w:sz="4" w:space="0" w:color="CBD5E1"/>
            </w:tcBorders>
          </w:tcPr>
          <w:p>
            <w:r>
              <w:t>4.00</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 0.00</w:t>
            </w:r>
          </w:p>
        </w:tc>
        <w:tc>
          <w:tcPr>
            <w:tcW w:type="dxa" w:w="2592"/>
            <w:tcMar>
              <w:top w:w="120" w:type="dxa"/>
              <w:bottom w:w="120" w:type="dxa"/>
              <w:left w:w="150" w:type="dxa"/>
              <w:right w:w="150" w:type="dxa"/>
            </w:tcMar>
            <w:shd w:fill="FFFFFF"/>
            <w:tcBorders>
              <w:top w:val="single" w:sz="2" w:space="0" w:color="CBD5E1"/>
              <w:bottom w:val="single" w:sz="4" w:space="0" w:color="CBD5E1"/>
            </w:tcBorders>
          </w:tcPr>
          <w:p>
            <w:r>
              <w:t>0.02236 ± 0.00000</w:t>
            </w:r>
          </w:p>
        </w:tc>
      </w:tr>
    </w:tbl>
    <w:p>
      <w:pPr>
        <w:spacing w:before="120" w:after="40"/>
        <w:jc w:val="center"/>
      </w:pPr>
      <w:r>
        <w:drawing>
          <wp:inline xmlns:a="http://schemas.openxmlformats.org/drawingml/2006/main" xmlns:pic="http://schemas.openxmlformats.org/drawingml/2006/picture">
            <wp:extent cx="4754880" cy="1945178"/>
            <wp:docPr id="6" name="Picture 6"/>
            <wp:cNvGraphicFramePr>
              <a:graphicFrameLocks noChangeAspect="1"/>
            </wp:cNvGraphicFramePr>
            <a:graphic>
              <a:graphicData uri="http://schemas.openxmlformats.org/drawingml/2006/picture">
                <pic:pic>
                  <pic:nvPicPr>
                    <pic:cNvPr id="0" name="fig_demand_community_structure.png"/>
                    <pic:cNvPicPr/>
                  </pic:nvPicPr>
                  <pic:blipFill>
                    <a:blip r:embed="rId16"/>
                    <a:stretch>
                      <a:fillRect/>
                    </a:stretch>
                  </pic:blipFill>
                  <pic:spPr>
                    <a:xfrm>
                      <a:off x="0" y="0"/>
                      <a:ext cx="4754880" cy="1945178"/>
                    </a:xfrm>
                    <a:prstGeom prst="rect"/>
                  </pic:spPr>
                </pic:pic>
              </a:graphicData>
            </a:graphic>
          </wp:inline>
        </w:drawing>
      </w:r>
    </w:p>
    <w:p>
      <w:pPr>
        <w:spacing w:before="40" w:after="160"/>
        <w:jc w:val="center"/>
      </w:pPr>
      <w:r>
        <w:rPr>
          <w:rFonts w:ascii="Arial" w:hAnsi="Arial"/>
          <w:b/>
          <w:color w:val="1E3A8A"/>
          <w:sz w:val="19"/>
        </w:rPr>
        <w:t xml:space="preserve">Figure 11: </w:t>
      </w:r>
      <w:r>
        <w:rPr>
          <w:rFonts w:ascii="Arial" w:hAnsi="Arial"/>
          <w:i/>
          <w:color w:val="64748B"/>
          <w:sz w:val="19"/>
        </w:rPr>
        <w:t>Louvain community stability: detected community count (left) and Newman-Girvan modularity score Q (right) across resolution scales γ in {0.5, 1.0, 1.5} over 10 random seeds.</w:t>
      </w:r>
    </w:p>
    <w:p>
      <w:pPr>
        <w:pStyle w:val="Heading2"/>
      </w:pPr>
      <w:r>
        <w:t>9.6 Interactive Web Platform Screenshots</w:t>
      </w:r>
    </w:p>
    <w:p>
      <w:r>
        <w:t>Figures 2 through 5 showcase real interface screenshots captured directly from the running RouteWise application (PORT=5050).</w:t>
      </w:r>
    </w:p>
    <w:p>
      <w:pPr>
        <w:spacing w:before="120" w:after="40"/>
        <w:jc w:val="center"/>
      </w:pPr>
      <w:r>
        <w:drawing>
          <wp:inline xmlns:a="http://schemas.openxmlformats.org/drawingml/2006/main" xmlns:pic="http://schemas.openxmlformats.org/drawingml/2006/picture">
            <wp:extent cx="4754880" cy="2392299"/>
            <wp:docPr id="7" name="Picture 7"/>
            <wp:cNvGraphicFramePr>
              <a:graphicFrameLocks noChangeAspect="1"/>
            </wp:cNvGraphicFramePr>
            <a:graphic>
              <a:graphicData uri="http://schemas.openxmlformats.org/drawingml/2006/picture">
                <pic:pic>
                  <pic:nvPicPr>
                    <pic:cNvPr id="0" name="fig2_dashboard_overview.png"/>
                    <pic:cNvPicPr/>
                  </pic:nvPicPr>
                  <pic:blipFill>
                    <a:blip r:embed="rId17"/>
                    <a:stretch>
                      <a:fillRect/>
                    </a:stretch>
                  </pic:blipFill>
                  <pic:spPr>
                    <a:xfrm>
                      <a:off x="0" y="0"/>
                      <a:ext cx="4754880" cy="2392299"/>
                    </a:xfrm>
                    <a:prstGeom prst="rect"/>
                  </pic:spPr>
                </pic:pic>
              </a:graphicData>
            </a:graphic>
          </wp:inline>
        </w:drawing>
      </w:r>
    </w:p>
    <w:p>
      <w:pPr>
        <w:spacing w:before="40" w:after="160"/>
        <w:jc w:val="center"/>
      </w:pPr>
      <w:r>
        <w:rPr>
          <w:rFonts w:ascii="Arial" w:hAnsi="Arial"/>
          <w:b/>
          <w:color w:val="1E3A8A"/>
          <w:sz w:val="19"/>
        </w:rPr>
        <w:t xml:space="preserve">Figure 2: </w:t>
      </w:r>
      <w:r>
        <w:rPr>
          <w:rFonts w:ascii="Arial" w:hAnsi="Arial"/>
          <w:i/>
          <w:color w:val="64748B"/>
          <w:sz w:val="19"/>
        </w:rPr>
        <w:t>RouteWise Main Dashboard Overview: displaying real-time KPI metrics, OpenStreetMap Leaflet canvas, and route parameter configuration panel.</w:t>
      </w:r>
    </w:p>
    <w:p>
      <w:pPr>
        <w:spacing w:before="120" w:after="40"/>
        <w:jc w:val="center"/>
      </w:pPr>
      <w:r>
        <w:drawing>
          <wp:inline xmlns:a="http://schemas.openxmlformats.org/drawingml/2006/main" xmlns:pic="http://schemas.openxmlformats.org/drawingml/2006/picture">
            <wp:extent cx="4754880" cy="2392299"/>
            <wp:docPr id="8" name="Picture 8"/>
            <wp:cNvGraphicFramePr>
              <a:graphicFrameLocks noChangeAspect="1"/>
            </wp:cNvGraphicFramePr>
            <a:graphic>
              <a:graphicData uri="http://schemas.openxmlformats.org/drawingml/2006/picture">
                <pic:pic>
                  <pic:nvPicPr>
                    <pic:cNvPr id="0" name="fig3_route_optimization.png"/>
                    <pic:cNvPicPr/>
                  </pic:nvPicPr>
                  <pic:blipFill>
                    <a:blip r:embed="rId18"/>
                    <a:stretch>
                      <a:fillRect/>
                    </a:stretch>
                  </pic:blipFill>
                  <pic:spPr>
                    <a:xfrm>
                      <a:off x="0" y="0"/>
                      <a:ext cx="4754880" cy="2392299"/>
                    </a:xfrm>
                    <a:prstGeom prst="rect"/>
                  </pic:spPr>
                </pic:pic>
              </a:graphicData>
            </a:graphic>
          </wp:inline>
        </w:drawing>
      </w:r>
    </w:p>
    <w:p>
      <w:pPr>
        <w:spacing w:before="40" w:after="160"/>
        <w:jc w:val="center"/>
      </w:pPr>
      <w:r>
        <w:rPr>
          <w:rFonts w:ascii="Arial" w:hAnsi="Arial"/>
          <w:b/>
          <w:color w:val="1E3A8A"/>
          <w:sz w:val="19"/>
        </w:rPr>
        <w:t xml:space="preserve">Figure 3: </w:t>
      </w:r>
      <w:r>
        <w:rPr>
          <w:rFonts w:ascii="Arial" w:hAnsi="Arial"/>
          <w:i/>
          <w:color w:val="64748B"/>
          <w:sz w:val="19"/>
        </w:rPr>
        <w:t>Real-Road Route Optimization Result: Dijkstra minimum-length route for Karunagappally → Chavara (8.24 km, 17.7 min, ₹220) with OSRM alternatives comparison.</w:t>
      </w:r>
    </w:p>
    <w:p>
      <w:pPr>
        <w:spacing w:before="120" w:after="40"/>
        <w:jc w:val="center"/>
      </w:pPr>
      <w:r>
        <w:drawing>
          <wp:inline xmlns:a="http://schemas.openxmlformats.org/drawingml/2006/main" xmlns:pic="http://schemas.openxmlformats.org/drawingml/2006/picture">
            <wp:extent cx="4754880" cy="2392299"/>
            <wp:docPr id="9" name="Picture 9"/>
            <wp:cNvGraphicFramePr>
              <a:graphicFrameLocks noChangeAspect="1"/>
            </wp:cNvGraphicFramePr>
            <a:graphic>
              <a:graphicData uri="http://schemas.openxmlformats.org/drawingml/2006/picture">
                <pic:pic>
                  <pic:nvPicPr>
                    <pic:cNvPr id="0" name="fig4_road_closure_simulation.png"/>
                    <pic:cNvPicPr/>
                  </pic:nvPicPr>
                  <pic:blipFill>
                    <a:blip r:embed="rId19"/>
                    <a:stretch>
                      <a:fillRect/>
                    </a:stretch>
                  </pic:blipFill>
                  <pic:spPr>
                    <a:xfrm>
                      <a:off x="0" y="0"/>
                      <a:ext cx="4754880" cy="2392299"/>
                    </a:xfrm>
                    <a:prstGeom prst="rect"/>
                  </pic:spPr>
                </pic:pic>
              </a:graphicData>
            </a:graphic>
          </wp:inline>
        </w:drawing>
      </w:r>
    </w:p>
    <w:p>
      <w:pPr>
        <w:spacing w:before="40" w:after="160"/>
        <w:jc w:val="center"/>
      </w:pPr>
      <w:r>
        <w:rPr>
          <w:rFonts w:ascii="Arial" w:hAnsi="Arial"/>
          <w:b/>
          <w:color w:val="1E3A8A"/>
          <w:sz w:val="19"/>
        </w:rPr>
        <w:t xml:space="preserve">Figure 4: </w:t>
      </w:r>
      <w:r>
        <w:rPr>
          <w:rFonts w:ascii="Arial" w:hAnsi="Arial"/>
          <w:i/>
          <w:color w:val="64748B"/>
          <w:sz w:val="19"/>
        </w:rPr>
        <w:t>OSM Road Closure What-If Simulation: temporary in-place edge removal comparing baseline distance vs forced detour penalty.</w:t>
      </w:r>
    </w:p>
    <w:p>
      <w:pPr>
        <w:spacing w:before="120" w:after="40"/>
        <w:jc w:val="center"/>
      </w:pPr>
      <w:r>
        <w:drawing>
          <wp:inline xmlns:a="http://schemas.openxmlformats.org/drawingml/2006/main" xmlns:pic="http://schemas.openxmlformats.org/drawingml/2006/picture">
            <wp:extent cx="4754880" cy="2392299"/>
            <wp:docPr id="10" name="Picture 10"/>
            <wp:cNvGraphicFramePr>
              <a:graphicFrameLocks noChangeAspect="1"/>
            </wp:cNvGraphicFramePr>
            <a:graphic>
              <a:graphicData uri="http://schemas.openxmlformats.org/drawingml/2006/picture">
                <pic:pic>
                  <pic:nvPicPr>
                    <pic:cNvPr id="0" name="fig5_network_explorer.png"/>
                    <pic:cNvPicPr/>
                  </pic:nvPicPr>
                  <pic:blipFill>
                    <a:blip r:embed="rId20"/>
                    <a:stretch>
                      <a:fillRect/>
                    </a:stretch>
                  </pic:blipFill>
                  <pic:spPr>
                    <a:xfrm>
                      <a:off x="0" y="0"/>
                      <a:ext cx="4754880" cy="2392299"/>
                    </a:xfrm>
                    <a:prstGeom prst="rect"/>
                  </pic:spPr>
                </pic:pic>
              </a:graphicData>
            </a:graphic>
          </wp:inline>
        </w:drawing>
      </w:r>
    </w:p>
    <w:p>
      <w:pPr>
        <w:spacing w:before="40" w:after="160"/>
        <w:jc w:val="center"/>
      </w:pPr>
      <w:r>
        <w:rPr>
          <w:rFonts w:ascii="Arial" w:hAnsi="Arial"/>
          <w:b/>
          <w:color w:val="1E3A8A"/>
          <w:sz w:val="19"/>
        </w:rPr>
        <w:t xml:space="preserve">Figure 5: </w:t>
      </w:r>
      <w:r>
        <w:rPr>
          <w:rFonts w:ascii="Arial" w:hAnsi="Arial"/>
          <w:i/>
          <w:color w:val="64748B"/>
          <w:sz w:val="19"/>
        </w:rPr>
        <w:t>Interactive Network Explorer: Cytoscape.js topological visualization of Louvain community clusters and synthetic taxi origin-destination trip strengths.</w:t>
      </w:r>
    </w:p>
    <w:p>
      <w:pPr>
        <w:pStyle w:val="Heading1"/>
      </w:pPr>
      <w:r>
        <w:t>10. Result Analysis and Discussion</w:t>
      </w:r>
    </w:p>
    <w:p>
      <w:r>
        <w:t>Synthesis of Road Hierarchy and Betweenness: The edge betweenness distribution reveals profound structural disparity in Karunagappally's transportation grid. The top betweenness edges belong exclusively to National Highway 66 (NH 66) trunk segments, which function as the sole multi-lane north-south spinal corridor connecting Thiruvananthapuram and Kochi. Secondary feeder roads exhibit betweenness values orders of magnitude lower, demonstrating heavy traffic consolidation along the highway spine.</w:t>
      </w:r>
    </w:p>
    <w:p>
      <w:r>
        <w:t>Algorithmic Routing Performance: The runtime benchmark across 30 repeated runs demonstrates that geodesic A* achieves an average execution time of 0.88 ms compared to 1.34 ms for Dijkstra—representing a 34.3% reduction in computational latency. Because straight-line Haversine distance is strictly smaller than real winding road distance (h(u, t) &lt;= d_road(u, t)), the heuristic is provably admissible and consistent, guaranteeing identical shortest paths while eliminating over 40% of vertex expansions.</w:t>
      </w:r>
    </w:p>
    <w:p>
      <w:r>
        <w:t>Topological Vulnerability and Canal Bottlenecks: The road closure resilience study revealed that the most vulnerable road segments in Karunagappally are not highway segments, but rural and peri-urban bridge crossings over coastal waterways. Specifically, severed segments along the KSRTC Bus Stand to Vallikavu corridor force a catastrophic +105.56% (+8.92 km) detour around National Waterway 3. This highlights a critical municipal planning vulnerability: single bridge disruptions force vehicular traffic onto circuitous inland bypasses.</w:t>
      </w:r>
    </w:p>
    <w:p>
      <w:r>
        <w:t>Demand Community Structure: Across 10 random seeds at standard resolution (γ=1.0), the Louvain algorithm converged deterministically to exactly 2 communities with zero variance (std = 0.00, Modularity Q = 0.13637). Community 1 isolates the dense municipal commercial core (Karunagappally, KSRTC Bus Stand, Railway Station), while Community 2 groups the coastal and inland educational/suburban perimeter (Amritapuri, Vallikavu, Clappana, Oachira, Chavara, Sasthamkotta). When resolution is increased to γ=1.5, the network splits cleanly into 4 sub-clusters, isolating Amritapuri-Vallikavu as a dedicated academic transit micro-community.</w:t>
      </w:r>
    </w:p>
    <w:p>
      <w:pPr>
        <w:pStyle w:val="Heading1"/>
      </w:pPr>
      <w:r>
        <w:t>11. Complexity Analysis</w:t>
      </w:r>
    </w:p>
    <w:p>
      <w:r>
        <w:t>Table 8 provides a concrete comparison between theoretical asymptotic complexity and empirical runtimes measured on the Karunagappally graph datasets.</w:t>
      </w:r>
    </w:p>
    <w:p>
      <w:r>
        <w:rPr>
          <w:b/>
          <w:color w:val="1E3A8A"/>
        </w:rPr>
        <w:t>Table 8: Concrete Graph Size and Empirical Runtime Complexity Benchmark</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2016"/>
            <w:tcMar>
              <w:top w:w="120" w:type="dxa"/>
              <w:bottom w:w="120" w:type="dxa"/>
              <w:left w:w="150" w:type="dxa"/>
              <w:right w:w="150" w:type="dxa"/>
            </w:tcMar>
            <w:shd w:fill="1E3A8A"/>
            <w:tcBorders>
              <w:bottom w:val="single" w:sz="12" w:space="0" w:color="1E3A8A"/>
            </w:tcBorders>
          </w:tcPr>
          <w:p>
            <w:r>
              <w:rPr>
                <w:b/>
                <w:color w:val="FFFFFF"/>
              </w:rPr>
              <w:t>Algorithm / Module</w:t>
            </w:r>
          </w:p>
        </w:tc>
        <w:tc>
          <w:tcPr>
            <w:tcW w:type="dxa" w:w="1584"/>
            <w:tcMar>
              <w:top w:w="120" w:type="dxa"/>
              <w:bottom w:w="120" w:type="dxa"/>
              <w:left w:w="150" w:type="dxa"/>
              <w:right w:w="150" w:type="dxa"/>
            </w:tcMar>
            <w:shd w:fill="1E3A8A"/>
            <w:tcBorders>
              <w:bottom w:val="single" w:sz="12" w:space="0" w:color="1E3A8A"/>
            </w:tcBorders>
          </w:tcPr>
          <w:p>
            <w:r>
              <w:rPr>
                <w:b/>
                <w:color w:val="FFFFFF"/>
              </w:rPr>
              <w:t>Target Graph</w:t>
            </w:r>
          </w:p>
        </w:tc>
        <w:tc>
          <w:tcPr>
            <w:tcW w:type="dxa" w:w="1728"/>
            <w:tcMar>
              <w:top w:w="120" w:type="dxa"/>
              <w:bottom w:w="120" w:type="dxa"/>
              <w:left w:w="150" w:type="dxa"/>
              <w:right w:w="150" w:type="dxa"/>
            </w:tcMar>
            <w:shd w:fill="1E3A8A"/>
            <w:tcBorders>
              <w:bottom w:val="single" w:sz="12" w:space="0" w:color="1E3A8A"/>
            </w:tcBorders>
          </w:tcPr>
          <w:p>
            <w:r>
              <w:rPr>
                <w:b/>
                <w:color w:val="FFFFFF"/>
              </w:rPr>
              <w:t>Graph Size (V, E)</w:t>
            </w:r>
          </w:p>
        </w:tc>
        <w:tc>
          <w:tcPr>
            <w:tcW w:type="dxa" w:w="1584"/>
            <w:tcMar>
              <w:top w:w="120" w:type="dxa"/>
              <w:bottom w:w="120" w:type="dxa"/>
              <w:left w:w="150" w:type="dxa"/>
              <w:right w:w="150" w:type="dxa"/>
            </w:tcMar>
            <w:shd w:fill="1E3A8A"/>
            <w:tcBorders>
              <w:bottom w:val="single" w:sz="12" w:space="0" w:color="1E3A8A"/>
            </w:tcBorders>
          </w:tcPr>
          <w:p>
            <w:r>
              <w:rPr>
                <w:b/>
                <w:color w:val="FFFFFF"/>
              </w:rPr>
              <w:t>Time Complexity</w:t>
            </w:r>
          </w:p>
        </w:tc>
        <w:tc>
          <w:tcPr>
            <w:tcW w:type="dxa" w:w="1296"/>
            <w:tcMar>
              <w:top w:w="120" w:type="dxa"/>
              <w:bottom w:w="120" w:type="dxa"/>
              <w:left w:w="150" w:type="dxa"/>
              <w:right w:w="150" w:type="dxa"/>
            </w:tcMar>
            <w:shd w:fill="1E3A8A"/>
            <w:tcBorders>
              <w:bottom w:val="single" w:sz="12" w:space="0" w:color="1E3A8A"/>
            </w:tcBorders>
          </w:tcPr>
          <w:p>
            <w:r>
              <w:rPr>
                <w:b/>
                <w:color w:val="FFFFFF"/>
              </w:rPr>
              <w:t>Space Complexity</w:t>
            </w:r>
          </w:p>
        </w:tc>
        <w:tc>
          <w:tcPr>
            <w:tcW w:type="dxa" w:w="1152"/>
            <w:tcMar>
              <w:top w:w="120" w:type="dxa"/>
              <w:bottom w:w="120" w:type="dxa"/>
              <w:left w:w="150" w:type="dxa"/>
              <w:right w:w="150" w:type="dxa"/>
            </w:tcMar>
            <w:shd w:fill="1E3A8A"/>
            <w:tcBorders>
              <w:bottom w:val="single" w:sz="12" w:space="0" w:color="1E3A8A"/>
            </w:tcBorders>
          </w:tcPr>
          <w:p>
            <w:r>
              <w:rPr>
                <w:b/>
                <w:color w:val="FFFFFF"/>
              </w:rPr>
              <w:t>Empirical Runtime</w:t>
            </w:r>
          </w:p>
        </w:tc>
      </w:tr>
      <w:tr>
        <w:trPr>
          <w:cantSplit/>
        </w:trPr>
        <w:tc>
          <w:tcPr>
            <w:tcW w:type="dxa" w:w="2016"/>
            <w:tcMar>
              <w:top w:w="120" w:type="dxa"/>
              <w:bottom w:w="120" w:type="dxa"/>
              <w:left w:w="150" w:type="dxa"/>
              <w:right w:w="150" w:type="dxa"/>
            </w:tcMar>
            <w:shd w:fill="FFFFFF"/>
            <w:tcBorders>
              <w:top w:val="single" w:sz="2" w:space="0" w:color="CBD5E1"/>
              <w:bottom w:val="single" w:sz="4" w:space="0" w:color="CBD5E1"/>
            </w:tcBorders>
          </w:tcPr>
          <w:p>
            <w:r>
              <w:t>MultiDiGraph Dijkstra</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OSM Road Graph</w:t>
            </w:r>
          </w:p>
        </w:tc>
        <w:tc>
          <w:tcPr>
            <w:tcW w:type="dxa" w:w="1728"/>
            <w:tcMar>
              <w:top w:w="120" w:type="dxa"/>
              <w:bottom w:w="120" w:type="dxa"/>
              <w:left w:w="150" w:type="dxa"/>
              <w:right w:w="150" w:type="dxa"/>
            </w:tcMar>
            <w:shd w:fill="FFFFFF"/>
            <w:tcBorders>
              <w:top w:val="single" w:sz="2" w:space="0" w:color="CBD5E1"/>
              <w:bottom w:val="single" w:sz="4" w:space="0" w:color="CBD5E1"/>
            </w:tcBorders>
          </w:tcPr>
          <w:p>
            <w:r>
              <w:t>V=9,634, E=24,899</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O((V + E) log V)</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O(V + E)</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1.34 ms (mean)</w:t>
            </w:r>
          </w:p>
        </w:tc>
      </w:tr>
      <w:tr>
        <w:trPr>
          <w:cantSplit/>
        </w:trPr>
        <w:tc>
          <w:tcPr>
            <w:tcW w:type="dxa" w:w="2016"/>
            <w:tcMar>
              <w:top w:w="120" w:type="dxa"/>
              <w:bottom w:w="120" w:type="dxa"/>
              <w:left w:w="150" w:type="dxa"/>
              <w:right w:w="150" w:type="dxa"/>
            </w:tcMar>
            <w:shd w:fill="F8FAFC"/>
            <w:tcBorders>
              <w:top w:val="single" w:sz="2" w:space="0" w:color="CBD5E1"/>
              <w:bottom w:val="single" w:sz="4" w:space="0" w:color="CBD5E1"/>
            </w:tcBorders>
          </w:tcPr>
          <w:p>
            <w:r>
              <w:t>Geodesic A* (Haversine)</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OSM Road Graph</w:t>
            </w:r>
          </w:p>
        </w:tc>
        <w:tc>
          <w:tcPr>
            <w:tcW w:type="dxa" w:w="1728"/>
            <w:tcMar>
              <w:top w:w="120" w:type="dxa"/>
              <w:bottom w:w="120" w:type="dxa"/>
              <w:left w:w="150" w:type="dxa"/>
              <w:right w:w="150" w:type="dxa"/>
            </w:tcMar>
            <w:shd w:fill="F8FAFC"/>
            <w:tcBorders>
              <w:top w:val="single" w:sz="2" w:space="0" w:color="CBD5E1"/>
              <w:bottom w:val="single" w:sz="4" w:space="0" w:color="CBD5E1"/>
            </w:tcBorders>
          </w:tcPr>
          <w:p>
            <w:r>
              <w:t>V=9,634, E=24,899</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O((V + E) log V)</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O(V + E)</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0.88 ms (mean)</w:t>
            </w:r>
          </w:p>
        </w:tc>
      </w:tr>
      <w:tr>
        <w:trPr>
          <w:cantSplit/>
        </w:trPr>
        <w:tc>
          <w:tcPr>
            <w:tcW w:type="dxa" w:w="2016"/>
            <w:tcMar>
              <w:top w:w="120" w:type="dxa"/>
              <w:bottom w:w="120" w:type="dxa"/>
              <w:left w:w="150" w:type="dxa"/>
              <w:right w:w="150" w:type="dxa"/>
            </w:tcMar>
            <w:shd w:fill="FFFFFF"/>
            <w:tcBorders>
              <w:top w:val="single" w:sz="2" w:space="0" w:color="CBD5E1"/>
              <w:bottom w:val="single" w:sz="4" w:space="0" w:color="CBD5E1"/>
            </w:tcBorders>
          </w:tcPr>
          <w:p>
            <w:r>
              <w:t>Brandes Edge Betweenness</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OSM Road Graph</w:t>
            </w:r>
          </w:p>
        </w:tc>
        <w:tc>
          <w:tcPr>
            <w:tcW w:type="dxa" w:w="1728"/>
            <w:tcMar>
              <w:top w:w="120" w:type="dxa"/>
              <w:bottom w:w="120" w:type="dxa"/>
              <w:left w:w="150" w:type="dxa"/>
              <w:right w:w="150" w:type="dxa"/>
            </w:tcMar>
            <w:shd w:fill="FFFFFF"/>
            <w:tcBorders>
              <w:top w:val="single" w:sz="2" w:space="0" w:color="CBD5E1"/>
              <w:bottom w:val="single" w:sz="4" w:space="0" w:color="CBD5E1"/>
            </w:tcBorders>
          </w:tcPr>
          <w:p>
            <w:r>
              <w:t>V=9,634, E=24,899</w:t>
            </w:r>
          </w:p>
        </w:tc>
        <w:tc>
          <w:tcPr>
            <w:tcW w:type="dxa" w:w="1584"/>
            <w:tcMar>
              <w:top w:w="120" w:type="dxa"/>
              <w:bottom w:w="120" w:type="dxa"/>
              <w:left w:w="150" w:type="dxa"/>
              <w:right w:w="150" w:type="dxa"/>
            </w:tcMar>
            <w:shd w:fill="FFFFFF"/>
            <w:tcBorders>
              <w:top w:val="single" w:sz="2" w:space="0" w:color="CBD5E1"/>
              <w:bottom w:val="single" w:sz="4" w:space="0" w:color="CBD5E1"/>
            </w:tcBorders>
          </w:tcPr>
          <w:p>
            <w:r>
              <w:t>O(k · (V + E))</w:t>
            </w:r>
          </w:p>
        </w:tc>
        <w:tc>
          <w:tcPr>
            <w:tcW w:type="dxa" w:w="1296"/>
            <w:tcMar>
              <w:top w:w="120" w:type="dxa"/>
              <w:bottom w:w="120" w:type="dxa"/>
              <w:left w:w="150" w:type="dxa"/>
              <w:right w:w="150" w:type="dxa"/>
            </w:tcMar>
            <w:shd w:fill="FFFFFF"/>
            <w:tcBorders>
              <w:top w:val="single" w:sz="2" w:space="0" w:color="CBD5E1"/>
              <w:bottom w:val="single" w:sz="4" w:space="0" w:color="CBD5E1"/>
            </w:tcBorders>
          </w:tcPr>
          <w:p>
            <w:r>
              <w:t>O(V + E)</w:t>
            </w:r>
          </w:p>
        </w:tc>
        <w:tc>
          <w:tcPr>
            <w:tcW w:type="dxa" w:w="1152"/>
            <w:tcMar>
              <w:top w:w="120" w:type="dxa"/>
              <w:bottom w:w="120" w:type="dxa"/>
              <w:left w:w="150" w:type="dxa"/>
              <w:right w:w="150" w:type="dxa"/>
            </w:tcMar>
            <w:shd w:fill="FFFFFF"/>
            <w:tcBorders>
              <w:top w:val="single" w:sz="2" w:space="0" w:color="CBD5E1"/>
              <w:bottom w:val="single" w:sz="4" w:space="0" w:color="CBD5E1"/>
            </w:tcBorders>
          </w:tcPr>
          <w:p>
            <w:r>
              <w:t>15.42 s (k=500)</w:t>
            </w:r>
          </w:p>
        </w:tc>
      </w:tr>
      <w:tr>
        <w:trPr>
          <w:cantSplit/>
        </w:trPr>
        <w:tc>
          <w:tcPr>
            <w:tcW w:type="dxa" w:w="2016"/>
            <w:tcMar>
              <w:top w:w="120" w:type="dxa"/>
              <w:bottom w:w="120" w:type="dxa"/>
              <w:left w:w="150" w:type="dxa"/>
              <w:right w:w="150" w:type="dxa"/>
            </w:tcMar>
            <w:shd w:fill="F8FAFC"/>
            <w:tcBorders>
              <w:top w:val="single" w:sz="2" w:space="0" w:color="CBD5E1"/>
              <w:bottom w:val="single" w:sz="4" w:space="0" w:color="CBD5E1"/>
            </w:tcBorders>
          </w:tcPr>
          <w:p>
            <w:r>
              <w:t>Louvain Modularity (γ=1.0)</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Taxi Demand Graph</w:t>
            </w:r>
          </w:p>
        </w:tc>
        <w:tc>
          <w:tcPr>
            <w:tcW w:type="dxa" w:w="1728"/>
            <w:tcMar>
              <w:top w:w="120" w:type="dxa"/>
              <w:bottom w:w="120" w:type="dxa"/>
              <w:left w:w="150" w:type="dxa"/>
              <w:right w:w="150" w:type="dxa"/>
            </w:tcMar>
            <w:shd w:fill="F8FAFC"/>
            <w:tcBorders>
              <w:top w:val="single" w:sz="2" w:space="0" w:color="CBD5E1"/>
              <w:bottom w:val="single" w:sz="4" w:space="0" w:color="CBD5E1"/>
            </w:tcBorders>
          </w:tcPr>
          <w:p>
            <w:r>
              <w:t>V=12, E=126</w:t>
            </w:r>
          </w:p>
        </w:tc>
        <w:tc>
          <w:tcPr>
            <w:tcW w:type="dxa" w:w="1584"/>
            <w:tcMar>
              <w:top w:w="120" w:type="dxa"/>
              <w:bottom w:w="120" w:type="dxa"/>
              <w:left w:w="150" w:type="dxa"/>
              <w:right w:w="150" w:type="dxa"/>
            </w:tcMar>
            <w:shd w:fill="F8FAFC"/>
            <w:tcBorders>
              <w:top w:val="single" w:sz="2" w:space="0" w:color="CBD5E1"/>
              <w:bottom w:val="single" w:sz="4" w:space="0" w:color="CBD5E1"/>
            </w:tcBorders>
          </w:tcPr>
          <w:p>
            <w:r>
              <w:t>O(V · E) per pass</w:t>
            </w:r>
          </w:p>
        </w:tc>
        <w:tc>
          <w:tcPr>
            <w:tcW w:type="dxa" w:w="1296"/>
            <w:tcMar>
              <w:top w:w="120" w:type="dxa"/>
              <w:bottom w:w="120" w:type="dxa"/>
              <w:left w:w="150" w:type="dxa"/>
              <w:right w:w="150" w:type="dxa"/>
            </w:tcMar>
            <w:shd w:fill="F8FAFC"/>
            <w:tcBorders>
              <w:top w:val="single" w:sz="2" w:space="0" w:color="CBD5E1"/>
              <w:bottom w:val="single" w:sz="4" w:space="0" w:color="CBD5E1"/>
            </w:tcBorders>
          </w:tcPr>
          <w:p>
            <w:r>
              <w:t>O(V + E)</w:t>
            </w:r>
          </w:p>
        </w:tc>
        <w:tc>
          <w:tcPr>
            <w:tcW w:type="dxa" w:w="1152"/>
            <w:tcMar>
              <w:top w:w="120" w:type="dxa"/>
              <w:bottom w:w="120" w:type="dxa"/>
              <w:left w:w="150" w:type="dxa"/>
              <w:right w:w="150" w:type="dxa"/>
            </w:tcMar>
            <w:shd w:fill="F8FAFC"/>
            <w:tcBorders>
              <w:top w:val="single" w:sz="2" w:space="0" w:color="CBD5E1"/>
              <w:bottom w:val="single" w:sz="4" w:space="0" w:color="CBD5E1"/>
            </w:tcBorders>
          </w:tcPr>
          <w:p>
            <w:r>
              <w:t>1.62 ms (converged)</w:t>
            </w:r>
          </w:p>
        </w:tc>
      </w:tr>
    </w:tbl>
    <w:p>
      <w:pPr>
        <w:pStyle w:val="Heading1"/>
      </w:pPr>
      <w:r>
        <w:t>12. Scope and Limitations</w:t>
      </w:r>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180" w:type="dxa"/>
            </w:tcMar>
            <w:shd w:fill="FFF1F2"/>
            <w:tcBorders>
              <w:top w:val="single" w:sz="4" w:space="0" w:color="CBD5E1"/>
              <w:left w:val="single" w:sz="24" w:space="0" w:color="E11D48"/>
              <w:bottom w:val="single" w:sz="4" w:space="0" w:color="CBD5E1"/>
              <w:right w:val="single" w:sz="4" w:space="0" w:color="CBD5E1"/>
            </w:tcBorders>
          </w:tcPr>
          <w:p>
            <w:pPr>
              <w:spacing w:before="0" w:after="40" w:line="276" w:lineRule="auto"/>
            </w:pPr>
            <w:r>
              <w:rPr>
                <w:rFonts w:ascii="Arial" w:hAnsi="Arial"/>
                <w:b/>
                <w:color w:val="1E3A8A"/>
                <w:sz w:val="21"/>
              </w:rPr>
              <w:t>📌 Unified Scope and Methodological Limitations</w:t>
              <w:br/>
            </w:r>
            <w:r>
              <w:rPr>
                <w:rFonts w:ascii="Arial" w:hAnsi="Arial"/>
                <w:i/>
                <w:color w:val="0F172A"/>
                <w:sz w:val="19"/>
              </w:rPr>
              <w:t>1. Real Roads vs. Synthetic Demand Separation: The OpenStreetMap road graph represents real physical geography, whereas taxi trip records are deterministically simulated using a spatial gravity model. They are never combined into a single dataset.</w:t>
              <w:br/>
              <w:t>2. Absence of Live Traffic Telemetry: RouteWise relies on topological road lengths and free-flow speed assumptions (28 km/h). OSRM durations reflect historical profile heuristics rather than live sensor telemetry or congestion incidents.</w:t>
              <w:br/>
              <w:t>3. Boundary Effects &amp; Spatial Truncation: Road networks outside the bounding box [9.16°N, 8.96°N, 76.66°E, 76.46°W] are truncated. Routes traversing beyond municipal borders are redirected to peripheral border nodes.</w:t>
              <w:br/>
              <w:t>4. Academic Fare Formula: The fare estimation equation represents an academic approximation of Kerala MVD taxi tariffs and should not be used as commercial or legal tariff advice.</w:t>
            </w:r>
          </w:p>
        </w:tc>
      </w:tr>
    </w:tbl>
    <w:p>
      <w:pPr>
        <w:spacing w:before="0" w:after="80"/>
      </w:pPr>
    </w:p>
    <w:p>
      <w:pPr>
        <w:pStyle w:val="Heading1"/>
      </w:pPr>
      <w:r>
        <w:t>13. Conclusion and Reflection</w:t>
      </w:r>
    </w:p>
    <w:p>
      <w:r>
        <w:t>In this case study, urban transportation and passenger mobility in Karunagappally were modeled using dual spatial graphs. The physical infrastructure was modeled as a directed OpenStreetMap MultiDiGraph, while commuter demand was modeled as a synthetic gravity interaction network. The implementation established that: (1) geodesic A* reduces shortest-path latency by 34.3% over Dijkstra while maintaining perfect optimality; (2) network resilience is acutely vulnerable at bridge crossings over coastal waterways, where closures double travel distances (+105.56%); and (3) Louvain community detection across resolutions reliably identifies functional urban partitions with zero seed instability. This case study demonstrates the immense practical utility of graph mining algorithms for urban planning, traffic management, and transport network hardening.</w:t>
      </w:r>
    </w:p>
    <w:p>
      <w:r>
        <w:t>Educational Reflection &amp; Learning Outcomes: Through this project, we acquired hands-on expertise in spatial graph data structures, multigraph parallel edge resolution, coordinate snapping constraints, and computational trade-offs between exact and sampled centrality approximations. Crucially, we learned the importance of scientific transparency: clearly documenting synthetic versus empirical data sources and avoiding over-generalized claims about complex urban systems.</w:t>
      </w:r>
    </w:p>
    <w:p>
      <w:pPr>
        <w:pStyle w:val="Heading1"/>
      </w:pPr>
      <w:r>
        <w:t>14. Project Contribution and Task Attribution</w:t>
      </w:r>
    </w:p>
    <w:p>
      <w:r>
        <w:rPr>
          <w:b/>
          <w:color w:val="1E3A8A"/>
        </w:rPr>
        <w:t>Table 9: Project Contribution and Task Attribution Table</w:t>
      </w:r>
    </w:p>
    <w:tbl>
      <w:tblPr>
        <w:tblW w:type="auto" w:w="0"/>
        <w:jc w:val="center"/>
        <w:tblLook w:firstColumn="1" w:firstRow="1" w:lastColumn="0" w:lastRow="0" w:noHBand="0" w:noVBand="1" w:val="04A0"/>
      </w:tblPr>
      <w:tblGrid>
        <w:gridCol w:w="3120"/>
        <w:gridCol w:w="3120"/>
        <w:gridCol w:w="3120"/>
      </w:tblGrid>
      <w:tr>
        <w:trPr>
          <w:tblHeader/>
          <w:cantSplit/>
        </w:trPr>
        <w:tc>
          <w:tcPr>
            <w:tcW w:type="dxa" w:w="2592"/>
            <w:tcMar>
              <w:top w:w="120" w:type="dxa"/>
              <w:bottom w:w="120" w:type="dxa"/>
              <w:left w:w="150" w:type="dxa"/>
              <w:right w:w="150" w:type="dxa"/>
            </w:tcMar>
            <w:shd w:fill="1E3A8A"/>
            <w:tcBorders>
              <w:bottom w:val="single" w:sz="12" w:space="0" w:color="1E3A8A"/>
            </w:tcBorders>
          </w:tcPr>
          <w:p>
            <w:r>
              <w:rPr>
                <w:b/>
                <w:color w:val="FFFFFF"/>
              </w:rPr>
              <w:t>Phase / Module</w:t>
            </w:r>
          </w:p>
        </w:tc>
        <w:tc>
          <w:tcPr>
            <w:tcW w:type="dxa" w:w="4608"/>
            <w:tcMar>
              <w:top w:w="120" w:type="dxa"/>
              <w:bottom w:w="120" w:type="dxa"/>
              <w:left w:w="150" w:type="dxa"/>
              <w:right w:w="150" w:type="dxa"/>
            </w:tcMar>
            <w:shd w:fill="1E3A8A"/>
            <w:tcBorders>
              <w:bottom w:val="single" w:sz="12" w:space="0" w:color="1E3A8A"/>
            </w:tcBorders>
          </w:tcPr>
          <w:p>
            <w:r>
              <w:rPr>
                <w:b/>
                <w:color w:val="FFFFFF"/>
              </w:rPr>
              <w:t>Technical Tasks Completed</w:t>
            </w:r>
          </w:p>
        </w:tc>
        <w:tc>
          <w:tcPr>
            <w:tcW w:type="dxa" w:w="2160"/>
            <w:tcMar>
              <w:top w:w="120" w:type="dxa"/>
              <w:bottom w:w="120" w:type="dxa"/>
              <w:left w:w="150" w:type="dxa"/>
              <w:right w:w="150" w:type="dxa"/>
            </w:tcMar>
            <w:shd w:fill="1E3A8A"/>
            <w:tcBorders>
              <w:bottom w:val="single" w:sz="12" w:space="0" w:color="1E3A8A"/>
            </w:tcBorders>
          </w:tcPr>
          <w:p>
            <w:r>
              <w:rPr>
                <w:b/>
                <w:color w:val="FFFFFF"/>
              </w:rPr>
              <w:t>Contributor Attribution</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Phase 1: Verification &amp; Auditing</w:t>
            </w:r>
          </w:p>
        </w:tc>
        <w:tc>
          <w:tcPr>
            <w:tcW w:type="dxa" w:w="4608"/>
            <w:tcMar>
              <w:top w:w="120" w:type="dxa"/>
              <w:bottom w:w="120" w:type="dxa"/>
              <w:left w:w="150" w:type="dxa"/>
              <w:right w:w="150" w:type="dxa"/>
            </w:tcMar>
            <w:shd w:fill="FFFFFF"/>
            <w:tcBorders>
              <w:top w:val="single" w:sz="2" w:space="0" w:color="CBD5E1"/>
              <w:bottom w:val="single" w:sz="4" w:space="0" w:color="CBD5E1"/>
            </w:tcBorders>
          </w:tcPr>
          <w:p>
            <w:r>
              <w:t>Offline smoke checks, graph compilation, SCC reachability validation, multigraph parallel edge resolution.</w:t>
            </w:r>
          </w:p>
        </w:tc>
        <w:tc>
          <w:tcPr>
            <w:tcW w:type="dxa" w:w="2160"/>
            <w:tcMar>
              <w:top w:w="120" w:type="dxa"/>
              <w:bottom w:w="120" w:type="dxa"/>
              <w:left w:w="150" w:type="dxa"/>
              <w:right w:w="150" w:type="dxa"/>
            </w:tcMar>
            <w:shd w:fill="FFFFFF"/>
            <w:tcBorders>
              <w:top w:val="single" w:sz="2" w:space="0" w:color="CBD5E1"/>
              <w:bottom w:val="single" w:sz="4" w:space="0" w:color="CBD5E1"/>
            </w:tcBorders>
          </w:tcPr>
          <w:p>
            <w:r>
              <w:t>Arjun A. (AM.SC.U4CSE23011)</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Phase 2: Experimental Graph Mining</w:t>
            </w:r>
          </w:p>
        </w:tc>
        <w:tc>
          <w:tcPr>
            <w:tcW w:type="dxa" w:w="4608"/>
            <w:tcMar>
              <w:top w:w="120" w:type="dxa"/>
              <w:bottom w:w="120" w:type="dxa"/>
              <w:left w:w="150" w:type="dxa"/>
              <w:right w:w="150" w:type="dxa"/>
            </w:tcMar>
            <w:shd w:fill="F8FAFC"/>
            <w:tcBorders>
              <w:top w:val="single" w:sz="2" w:space="0" w:color="CBD5E1"/>
              <w:bottom w:val="single" w:sz="4" w:space="0" w:color="CBD5E1"/>
            </w:tcBorders>
          </w:tcPr>
          <w:p>
            <w:r>
              <w:t>Implemented run_experiments.py; computed sampled betweenness, Dijkstra vs A* benchmarks, 665 edge closures, Louvain sensitivity.</w:t>
            </w:r>
          </w:p>
        </w:tc>
        <w:tc>
          <w:tcPr>
            <w:tcW w:type="dxa" w:w="2160"/>
            <w:tcMar>
              <w:top w:w="120" w:type="dxa"/>
              <w:bottom w:w="120" w:type="dxa"/>
              <w:left w:w="150" w:type="dxa"/>
              <w:right w:w="150" w:type="dxa"/>
            </w:tcMar>
            <w:shd w:fill="F8FAFC"/>
            <w:tcBorders>
              <w:top w:val="single" w:sz="2" w:space="0" w:color="CBD5E1"/>
              <w:bottom w:val="single" w:sz="4" w:space="0" w:color="CBD5E1"/>
            </w:tcBorders>
          </w:tcPr>
          <w:p>
            <w:r>
              <w:t>Arjun A. (AM.SC.U4CSE23011)</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Phase 3: System Architecture &amp; Web UI</w:t>
            </w:r>
          </w:p>
        </w:tc>
        <w:tc>
          <w:tcPr>
            <w:tcW w:type="dxa" w:w="4608"/>
            <w:tcMar>
              <w:top w:w="120" w:type="dxa"/>
              <w:bottom w:w="120" w:type="dxa"/>
              <w:left w:w="150" w:type="dxa"/>
              <w:right w:w="150" w:type="dxa"/>
            </w:tcMar>
            <w:shd w:fill="FFFFFF"/>
            <w:tcBorders>
              <w:top w:val="single" w:sz="2" w:space="0" w:color="CBD5E1"/>
              <w:bottom w:val="single" w:sz="4" w:space="0" w:color="CBD5E1"/>
            </w:tcBorders>
          </w:tcPr>
          <w:p>
            <w:r>
              <w:t>Flask API endpoints, Leaflet road map integration, Cytoscape network explorer, responsive CSS styling.</w:t>
            </w:r>
          </w:p>
        </w:tc>
        <w:tc>
          <w:tcPr>
            <w:tcW w:type="dxa" w:w="2160"/>
            <w:tcMar>
              <w:top w:w="120" w:type="dxa"/>
              <w:bottom w:w="120" w:type="dxa"/>
              <w:left w:w="150" w:type="dxa"/>
              <w:right w:w="150" w:type="dxa"/>
            </w:tcMar>
            <w:shd w:fill="FFFFFF"/>
            <w:tcBorders>
              <w:top w:val="single" w:sz="2" w:space="0" w:color="CBD5E1"/>
              <w:bottom w:val="single" w:sz="4" w:space="0" w:color="CBD5E1"/>
            </w:tcBorders>
          </w:tcPr>
          <w:p>
            <w:r>
              <w:t>Arjun A. (AM.SC.U4CSE23011)</w:t>
            </w:r>
          </w:p>
        </w:tc>
      </w:tr>
      <w:tr>
        <w:trPr>
          <w:cantSplit/>
        </w:trPr>
        <w:tc>
          <w:tcPr>
            <w:tcW w:type="dxa" w:w="2592"/>
            <w:tcMar>
              <w:top w:w="120" w:type="dxa"/>
              <w:bottom w:w="120" w:type="dxa"/>
              <w:left w:w="150" w:type="dxa"/>
              <w:right w:w="150" w:type="dxa"/>
            </w:tcMar>
            <w:shd w:fill="F8FAFC"/>
            <w:tcBorders>
              <w:top w:val="single" w:sz="2" w:space="0" w:color="CBD5E1"/>
              <w:bottom w:val="single" w:sz="4" w:space="0" w:color="CBD5E1"/>
            </w:tcBorders>
          </w:tcPr>
          <w:p>
            <w:r>
              <w:t>Phase 4: Dockerization &amp; Deployment</w:t>
            </w:r>
          </w:p>
        </w:tc>
        <w:tc>
          <w:tcPr>
            <w:tcW w:type="dxa" w:w="4608"/>
            <w:tcMar>
              <w:top w:w="120" w:type="dxa"/>
              <w:bottom w:w="120" w:type="dxa"/>
              <w:left w:w="150" w:type="dxa"/>
              <w:right w:w="150" w:type="dxa"/>
            </w:tcMar>
            <w:shd w:fill="F8FAFC"/>
            <w:tcBorders>
              <w:top w:val="single" w:sz="2" w:space="0" w:color="CBD5E1"/>
              <w:bottom w:val="single" w:sz="4" w:space="0" w:color="CBD5E1"/>
            </w:tcBorders>
          </w:tcPr>
          <w:p>
            <w:r>
              <w:t>Authored Dockerfile, .dockerignore, docker-compose.yml; tested container build and verified live healthchecks.</w:t>
            </w:r>
          </w:p>
        </w:tc>
        <w:tc>
          <w:tcPr>
            <w:tcW w:type="dxa" w:w="2160"/>
            <w:tcMar>
              <w:top w:w="120" w:type="dxa"/>
              <w:bottom w:w="120" w:type="dxa"/>
              <w:left w:w="150" w:type="dxa"/>
              <w:right w:w="150" w:type="dxa"/>
            </w:tcMar>
            <w:shd w:fill="F8FAFC"/>
            <w:tcBorders>
              <w:top w:val="single" w:sz="2" w:space="0" w:color="CBD5E1"/>
              <w:bottom w:val="single" w:sz="4" w:space="0" w:color="CBD5E1"/>
            </w:tcBorders>
          </w:tcPr>
          <w:p>
            <w:r>
              <w:t>Arjun A. (AM.SC.U4CSE23011)</w:t>
            </w:r>
          </w:p>
        </w:tc>
      </w:tr>
      <w:tr>
        <w:trPr>
          <w:cantSplit/>
        </w:trPr>
        <w:tc>
          <w:tcPr>
            <w:tcW w:type="dxa" w:w="2592"/>
            <w:tcMar>
              <w:top w:w="120" w:type="dxa"/>
              <w:bottom w:w="120" w:type="dxa"/>
              <w:left w:w="150" w:type="dxa"/>
              <w:right w:w="150" w:type="dxa"/>
            </w:tcMar>
            <w:shd w:fill="FFFFFF"/>
            <w:tcBorders>
              <w:top w:val="single" w:sz="2" w:space="0" w:color="CBD5E1"/>
              <w:bottom w:val="single" w:sz="4" w:space="0" w:color="CBD5E1"/>
            </w:tcBorders>
          </w:tcPr>
          <w:p>
            <w:r>
              <w:t>Phase 5: Technical Report Authoring</w:t>
            </w:r>
          </w:p>
        </w:tc>
        <w:tc>
          <w:tcPr>
            <w:tcW w:type="dxa" w:w="4608"/>
            <w:tcMar>
              <w:top w:w="120" w:type="dxa"/>
              <w:bottom w:w="120" w:type="dxa"/>
              <w:left w:w="150" w:type="dxa"/>
              <w:right w:w="150" w:type="dxa"/>
            </w:tcMar>
            <w:shd w:fill="FFFFFF"/>
            <w:tcBorders>
              <w:top w:val="single" w:sz="2" w:space="0" w:color="CBD5E1"/>
              <w:bottom w:val="single" w:sz="4" w:space="0" w:color="CBD5E1"/>
            </w:tcBorders>
          </w:tcPr>
          <w:p>
            <w:r>
              <w:t>Authored comprehensive 18-page academic report, formatted tables, generated charts, verified numerical consistency.</w:t>
            </w:r>
          </w:p>
        </w:tc>
        <w:tc>
          <w:tcPr>
            <w:tcW w:type="dxa" w:w="2160"/>
            <w:tcMar>
              <w:top w:w="120" w:type="dxa"/>
              <w:bottom w:w="120" w:type="dxa"/>
              <w:left w:w="150" w:type="dxa"/>
              <w:right w:w="150" w:type="dxa"/>
            </w:tcMar>
            <w:shd w:fill="FFFFFF"/>
            <w:tcBorders>
              <w:top w:val="single" w:sz="2" w:space="0" w:color="CBD5E1"/>
              <w:bottom w:val="single" w:sz="4" w:space="0" w:color="CBD5E1"/>
            </w:tcBorders>
          </w:tcPr>
          <w:p>
            <w:r>
              <w:t>Arjun A. (AM.SC.U4CSE23011)</w:t>
            </w:r>
          </w:p>
        </w:tc>
      </w:tr>
    </w:tbl>
    <w:p>
      <w:pPr>
        <w:pStyle w:val="Heading1"/>
      </w:pPr>
      <w:r>
        <w:t>15. References &amp; Formal Declarations</w:t>
      </w:r>
    </w:p>
    <w:p>
      <w:pPr>
        <w:spacing w:line="276" w:lineRule="auto" w:after="60"/>
      </w:pPr>
      <w:r>
        <w:t>[1] G. Boeing, 'OSMnx: New methods for acquiring, constructing, analyzing, and visualizing complex street networks,' Computers, Environment and Urban Systems, vol. 65, pp. 126-139, 2017.</w:t>
      </w:r>
    </w:p>
    <w:p>
      <w:pPr>
        <w:spacing w:line="276" w:lineRule="auto" w:after="60"/>
      </w:pPr>
      <w:r>
        <w:t>[2] D. Luxen and C. Vetter, 'Real-time routing with OpenStreetMap data,' in Proc. 19th ACM SIGSPATIAL Int. Conf. on Advances in Geographic Information Systems (GIS '11), pp. 513-516, 2011.</w:t>
      </w:r>
    </w:p>
    <w:p>
      <w:pPr>
        <w:spacing w:line="276" w:lineRule="auto" w:after="60"/>
      </w:pPr>
      <w:r>
        <w:t>[3] E. W. Dijkstra, 'A note on two problems in connexion with graphs,' Numerische Mathematik, vol. 1, no. 1, pp. 269-271, 1959.</w:t>
      </w:r>
    </w:p>
    <w:p>
      <w:pPr>
        <w:spacing w:line="276" w:lineRule="auto" w:after="60"/>
      </w:pPr>
      <w:r>
        <w:t>[4] P. E. Hart, N. J. Nilsson, and B. Raphael, 'A formal basis for the heuristic determination of minimum cost paths,' IEEE Transactions on Systems Science and Cybernetics, vol. 4, no. 2, pp. 100-107, 1968.</w:t>
      </w:r>
    </w:p>
    <w:p>
      <w:pPr>
        <w:spacing w:line="276" w:lineRule="auto" w:after="60"/>
      </w:pPr>
      <w:r>
        <w:t>[5] U. Brandes, 'A faster algorithm for betweenness centrality,' Journal of Mathematical Sociology, vol. 25, no. 2, pp. 163-177, 2001.</w:t>
      </w:r>
    </w:p>
    <w:p>
      <w:pPr>
        <w:spacing w:line="276" w:lineRule="auto" w:after="60"/>
      </w:pPr>
      <w:r>
        <w:t>[6] E. Jenelius, T. Petersen, and L.-G. Mattsson, 'Importance and exposure in road network vulnerability analysis,' Transportation Research Part A: Policy and Practice, vol. 40, no. 7, pp. 537-560, 2006.</w:t>
      </w:r>
    </w:p>
    <w:p>
      <w:pPr>
        <w:spacing w:line="276" w:lineRule="auto" w:after="60"/>
      </w:pPr>
      <w:r>
        <w:t>[7] L.-G. Mattsson and E. Jenelius, 'Vulnerability and resilience in transport networks—A review,' Transport Policy, vol. 38, pp. 16-28, 2015.</w:t>
      </w:r>
    </w:p>
    <w:p>
      <w:pPr>
        <w:spacing w:line="276" w:lineRule="auto" w:after="60"/>
      </w:pPr>
      <w:r>
        <w:t>[8] V. D. Blondel, J.-L. Guillaume, R. Lambiotte, and E. Lefebvre, 'Fast unfolding of communities in large networks,' Journal of Statistical Mechanics: Theory and Experiment, vol. 2008, no. 10, P10008, 2008.</w:t>
      </w:r>
    </w:p>
    <w:p>
      <w:pPr>
        <w:spacing w:line="276" w:lineRule="auto" w:after="60"/>
      </w:pPr>
      <w:r>
        <w:t>[9] M. E. J. Newman, 'Modularity and community structure in networks,' Proceedings of the National Academy of Sciences (PNAS), vol. 103, no. 23, pp. 8577-8582, 2006.</w:t>
      </w:r>
    </w:p>
    <w:p>
      <w:pPr>
        <w:spacing w:line="276" w:lineRule="auto" w:after="60"/>
      </w:pPr>
      <w:r>
        <w:t>[10] P. S. Castro, D. Zhang, C. Chen, S. Li, and G. Pan, 'From taxi GPS traces to social and structural knowledge of the city: A survey,' IEEE Communications Surveys &amp; Tutorials, vol. 15, no. 2, pp. 802-824, 2013.</w:t>
      </w:r>
    </w:p>
    <w:p>
      <w:pPr>
        <w:spacing w:line="276" w:lineRule="auto" w:after="60"/>
      </w:pPr>
      <w:r>
        <w:t>[11] Y. Zheng, L. Capra, O. Wolfson, and H. Yang, 'Urban computing: concepts, methodologies, and applications,' ACM Transactions on Intelligent Systems and Technology (TIST), vol. 5, no. 3, pp. 1-55, 2014.</w:t>
      </w:r>
    </w:p>
    <w:p>
      <w:pPr>
        <w:spacing w:line="276" w:lineRule="auto" w:after="60"/>
      </w:pPr>
      <w:r>
        <w:t>[12] A. A. Hagberg, D. A. Schult, and P. J. Swart, 'Exploring network structure, dynamics, and function using NetworkX,' in Proc. 7th Python in Science Conf. (SciPy 2008), pp. 11-15, 2008.</w:t>
      </w:r>
    </w:p>
    <w:p>
      <w:pPr>
        <w:spacing w:line="276" w:lineRule="auto" w:after="60"/>
      </w:pPr>
      <w:r>
        <w:t>[13] X. Liu, L. Gong, Y. Gong, and Y. Liu, 'Revealing travel patterns and city structure with taxi trip data,' Journal of Transport Geography, vol. 43, pp. 78-90, 2015.</w:t>
      </w:r>
    </w:p>
    <w:p/>
    <w:tbl>
      <w:tblPr>
        <w:tblW w:type="auto" w:w="0"/>
        <w:jc w:val="center"/>
        <w:tblLook w:firstColumn="1" w:firstRow="1" w:lastColumn="0" w:lastRow="0" w:noHBand="0" w:noVBand="1" w:val="04A0"/>
      </w:tblPr>
      <w:tblGrid>
        <w:gridCol w:w="9360"/>
      </w:tblGrid>
      <w:tr>
        <w:tc>
          <w:tcPr>
            <w:tcW w:type="dxa" w:w="9360"/>
            <w:tcMar>
              <w:top w:w="140" w:type="dxa"/>
              <w:bottom w:w="140" w:type="dxa"/>
              <w:left w:w="200" w:type="dxa"/>
              <w:right w:w="180" w:type="dxa"/>
            </w:tcMar>
            <w:shd w:fill="F8FAFC"/>
            <w:tcBorders>
              <w:top w:val="single" w:sz="4" w:space="0" w:color="CBD5E1"/>
              <w:left w:val="single" w:sz="24" w:space="0" w:color="2563EB"/>
              <w:bottom w:val="single" w:sz="4" w:space="0" w:color="CBD5E1"/>
              <w:right w:val="single" w:sz="4" w:space="0" w:color="CBD5E1"/>
            </w:tcBorders>
          </w:tcPr>
          <w:p>
            <w:pPr>
              <w:spacing w:before="0" w:after="40" w:line="276" w:lineRule="auto"/>
            </w:pPr>
            <w:r>
              <w:rPr>
                <w:rFonts w:ascii="Arial" w:hAnsi="Arial"/>
                <w:b/>
                <w:color w:val="1E3A8A"/>
                <w:sz w:val="21"/>
              </w:rPr>
              <w:t>📌 Formal AI-Use Declaration</w:t>
              <w:br/>
            </w:r>
            <w:r>
              <w:rPr>
                <w:rFonts w:ascii="Arial" w:hAnsi="Arial"/>
                <w:i/>
                <w:color w:val="0F172A"/>
                <w:sz w:val="19"/>
              </w:rPr>
              <w:t>In accordance with academic honor codes, generative AI coding assistants (Google Antigravity / Gemini) were utilized as technical pair-programming tools for code generation, type checking, Docker configuration, and document typesetting. All theoretical modeling, algorithmic selection, empirical data pipelines, experimental executions, and analytical conclusions were designed, verified, and validated by the author.</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 xml:space="preserve">Amrita Vishwa Vidyapeetham · Department of Computer Science &amp; Engineering · Page </w:t>
    </w:r>
    <w:fldSimple w:instr="PAGE"/>
    <w:r>
      <w:rPr>
        <w:rFonts w:ascii="Arial" w:hAnsi="Arial"/>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RouteWise: Graph Mining Case Study Report  |  23CSE451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