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Proposal: Community Sensor Network</w:t>
      </w:r>
    </w:p>
    <w:p>
      <w:pPr>
        <w:pStyle w:val="Heading1"/>
      </w:pPr>
      <w:r>
        <w:t>Background</w:t>
      </w:r>
    </w:p>
    <w:p>
      <w:r>
        <w:t>Local growers lose crops every summer because they cannot see when soil dries out. This proposal extends the water sensor pilot into a permanent community network.</w:t>
      </w:r>
    </w:p>
    <w:p>
      <w:pPr>
        <w:pStyle w:val="Heading1"/>
      </w:pPr>
      <w:r>
        <w:t>Goals</w:t>
      </w:r>
    </w:p>
    <w:p>
      <w:pPr>
        <w:pStyle w:val="ListBullet"/>
      </w:pPr>
      <w:r>
        <w:t>Keep at least 90% of sensors online through the year.</w:t>
      </w:r>
    </w:p>
    <w:p>
      <w:pPr>
        <w:pStyle w:val="ListBullet"/>
      </w:pPr>
      <w:r>
        <w:t>Send growers a text message when soil moisture drops below 20%.</w:t>
      </w:r>
    </w:p>
    <w:p>
      <w:pPr>
        <w:pStyle w:val="ListBullet"/>
      </w:pPr>
      <w:r>
        <w:t>Share anonymised readings with the regional water authority.</w:t>
      </w:r>
    </w:p>
    <w:p>
      <w:pPr>
        <w:pStyle w:val="Heading1"/>
      </w:pPr>
      <w: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 (EUR)</w:t>
            </w:r>
          </w:p>
        </w:tc>
      </w:tr>
      <w:tr>
        <w:tc>
          <w:tcPr>
            <w:tcW w:type="dxa" w:w="4320"/>
          </w:tcPr>
          <w:p>
            <w:r>
              <w:t>40 soil moisture sensors</w:t>
            </w:r>
          </w:p>
        </w:tc>
        <w:tc>
          <w:tcPr>
            <w:tcW w:type="dxa" w:w="4320"/>
          </w:tcPr>
          <w:p>
            <w:r>
              <w:t>740</w:t>
            </w:r>
          </w:p>
        </w:tc>
      </w:tr>
      <w:tr>
        <w:tc>
          <w:tcPr>
            <w:tcW w:type="dxa" w:w="4320"/>
          </w:tcPr>
          <w:p>
            <w:r>
              <w:t>Gateway and SIM plan</w:t>
            </w:r>
          </w:p>
        </w:tc>
        <w:tc>
          <w:tcPr>
            <w:tcW w:type="dxa" w:w="4320"/>
          </w:tcPr>
          <w:p>
            <w:r>
              <w:t>380</w:t>
            </w:r>
          </w:p>
        </w:tc>
      </w:tr>
      <w:tr>
        <w:tc>
          <w:tcPr>
            <w:tcW w:type="dxa" w:w="4320"/>
          </w:tcPr>
          <w:p>
            <w:r>
              <w:t>Training sessions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1,570</w:t>
            </w:r>
          </w:p>
        </w:tc>
      </w:tr>
    </w:tbl>
    <w:p>
      <w:pPr>
        <w:pStyle w:val="Heading1"/>
      </w:pPr>
      <w:r>
        <w:t>Expected impact</w:t>
      </w:r>
    </w:p>
    <w:p>
      <w:r>
        <w:t>The pilot already showed steady growth in three of four regions:</w:t>
      </w:r>
    </w:p>
    <w:p>
      <w:r>
        <w:drawing>
          <wp:inline xmlns:a="http://schemas.openxmlformats.org/drawingml/2006/main" xmlns:pic="http://schemas.openxmlformats.org/drawingml/2006/picture">
            <wp:extent cx="5029200" cy="3118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Sensors online per region during the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