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C6A7E"/>
          <w:sz w:val="24"/>
        </w:rPr>
        <w:t>TRACK A</w:t>
      </w:r>
    </w:p>
    <w:p>
      <w:pPr>
        <w:pStyle w:val="Title"/>
        <w:jc w:val="center"/>
      </w:pPr>
      <w:r>
        <w:t>Cardiovascular Risk Prediction and\n3D Coronary Artery Visualization</w:t>
      </w:r>
    </w:p>
    <w:p>
      <w:pPr>
        <w:spacing w:after="80"/>
        <w:jc w:val="center"/>
      </w:pPr>
      <w:r>
        <w:t>Dataset analysis, feature investigation, model training and visualization blueprint</w:t>
      </w:r>
    </w:p>
    <w:p>
      <w:pPr>
        <w:pStyle w:val="Heading1"/>
      </w:pPr>
      <w:r>
        <w:t>Track A — Cardiovascular Risk Prediction and 3D Coronary Artery Visualization</w:t>
      </w:r>
    </w:p>
    <w:p>
      <w:pPr>
        <w:spacing w:after="80"/>
      </w:pPr>
      <w:r>
        <w:t>Your project should not be just a model that predicts CAD = Yes or No. The strongest implementation is a clinically interpretable, multi-output prediction system that estimates the probability of disease in individual coronary arteries, explains which patient measurements influenced each prediction, and visualizes those predictions on a 3D heart model.</w:t>
      </w:r>
    </w:p>
    <w:p>
      <w:pPr>
        <w:spacing w:after="80"/>
      </w:pPr>
      <w:r>
        <w:t>I analysed your uploaded Track A.pdf and extention of Z-Alizadeh Sani dataset.xlsx. The analysis below distinguishes actual findings from provisional feature rankings, and the experiments you still need to run before claiming model performance.</w:t>
      </w:r>
    </w:p>
    <w:p>
      <w:pPr>
        <w:pStyle w:val="Heading1"/>
      </w:pPr>
      <w:r>
        <w:t>1. The refined project idea</w:t>
      </w:r>
    </w:p>
    <w:p>
      <w:pPr>
        <w:pStyle w:val="Heading2"/>
      </w:pPr>
      <w:r>
        <w:t>CardioVision 3D — Explainable Multi-Vessel CAD Prediction</w:t>
      </w:r>
    </w:p>
    <w:p>
      <w:pPr>
        <w:spacing w:after="80"/>
      </w:pPr>
      <w:r>
        <w:t>Build a web application in which a clinician or evaluator enters patient physiological and clinical measurements. Your trained models predict overall CAD status and stenosis probabilities for three coronary arteries. An interactive 3D heart then highlights the predicted vessel-specific risk, while an explanation dashboard shows the features driving each prediction.</w:t>
      </w:r>
    </w:p>
    <w:p>
      <w:pPr>
        <w:pStyle w:val="ListBullet"/>
        <w:spacing w:after="80"/>
      </w:pPr>
      <w:r>
        <w:t>Predictive intelligence — CAD classification and three vessel-specific predictions.</w:t>
      </w:r>
    </w:p>
    <w:p>
      <w:pPr>
        <w:pStyle w:val="ListBullet"/>
        <w:spacing w:after="80"/>
      </w:pPr>
      <w:r>
        <w:t>Clinical interpretability — SHAP explanations and patient-specific contributing factors.</w:t>
      </w:r>
    </w:p>
    <w:p>
      <w:pPr>
        <w:pStyle w:val="ListBullet"/>
        <w:spacing w:after="80"/>
      </w:pPr>
      <w:r>
        <w:t>3D anatomical mapping — Separate LAD, LCX and RCA probability indicators.</w:t>
      </w:r>
    </w:p>
    <w:p>
      <w:pPr>
        <w:pStyle w:val="ListBullet"/>
        <w:spacing w:after="80"/>
      </w:pPr>
      <w:r>
        <w:t>Evidence-based validation — Cross-validation, per-target metrics and feature analysis.</w:t>
      </w:r>
    </w:p>
    <w:p>
      <w:pPr>
        <w:spacing w:after="80"/>
      </w:pPr>
      <w:r>
        <w:t>The important distinction is that the dataset contains clinical measurements and disease labels, not 3D coronary images, anatomical coordinates or lesion segmentation masks. Therefore, your model predicts disease probabilities; the 3D component visualizes those predictions on an anatomical model. It cannot learn the exact physical location, length or geometry of a blockage from these tabular records.</w:t>
      </w:r>
    </w:p>
    <w:p>
      <w:pPr>
        <w:pStyle w:val="Heading1"/>
      </w:pPr>
      <w:r>
        <w:t>2. What your actual dataset contains</w:t>
      </w:r>
    </w:p>
    <w:tbl>
      <w:tblPr>
        <w:tblStyle w:val="TableGrid"/>
        <w:tblW w:type="auto" w:w="0"/>
        <w:tblLook w:firstColumn="1" w:firstRow="1" w:lastColumn="0" w:lastRow="0" w:noHBand="0" w:noVBand="1" w:val="04A0"/>
      </w:tblPr>
      <w:tblGrid>
        <w:gridCol w:w="3408"/>
        <w:gridCol w:w="3408"/>
        <w:gridCol w:w="3408"/>
      </w:tblGrid>
      <w:tr>
        <w:tc>
          <w:tcPr>
            <w:tcW w:type="dxa" w:w="3408"/>
            <w:shd w:fill="165669"/>
          </w:tcPr>
          <w:p>
            <w:r>
              <w:rPr>
                <w:b/>
                <w:color w:val="FFFFFF"/>
                <w:sz w:val="16"/>
              </w:rPr>
              <w:t>Dataset item</w:t>
            </w:r>
          </w:p>
        </w:tc>
        <w:tc>
          <w:tcPr>
            <w:tcW w:type="dxa" w:w="3408"/>
            <w:shd w:fill="165669"/>
          </w:tcPr>
          <w:p>
            <w:r>
              <w:rPr>
                <w:b/>
                <w:color w:val="FFFFFF"/>
                <w:sz w:val="16"/>
              </w:rPr>
              <w:t>Observed value</w:t>
            </w:r>
          </w:p>
        </w:tc>
        <w:tc>
          <w:tcPr>
            <w:tcW w:type="dxa" w:w="3408"/>
            <w:shd w:fill="165669"/>
          </w:tcPr>
          <w:p>
            <w:r>
              <w:rPr>
                <w:b/>
                <w:color w:val="FFFFFF"/>
                <w:sz w:val="16"/>
              </w:rPr>
              <w:t>Notes</w:t>
            </w:r>
          </w:p>
        </w:tc>
      </w:tr>
      <w:tr>
        <w:tc>
          <w:tcPr>
            <w:tcW w:type="dxa" w:w="3408"/>
          </w:tcPr>
          <w:p>
            <w:pPr>
              <w:spacing w:after="20"/>
            </w:pPr>
            <w:r>
              <w:rPr>
                <w:sz w:val="16"/>
              </w:rPr>
              <w:t>Patient records</w:t>
            </w:r>
          </w:p>
        </w:tc>
        <w:tc>
          <w:tcPr>
            <w:tcW w:type="dxa" w:w="3408"/>
          </w:tcPr>
          <w:p>
            <w:pPr>
              <w:spacing w:after="20"/>
            </w:pPr>
            <w:r>
              <w:rPr>
                <w:sz w:val="16"/>
              </w:rPr>
              <w:t>303</w:t>
            </w:r>
          </w:p>
        </w:tc>
        <w:tc>
          <w:tcPr>
            <w:tcW w:type="dxa" w:w="3408"/>
          </w:tcPr>
          <w:p>
            <w:pPr>
              <w:spacing w:after="20"/>
            </w:pPr>
            <w:r>
              <w:rPr>
                <w:sz w:val="16"/>
              </w:rPr>
              <w:t>Main worksheet</w:t>
            </w:r>
          </w:p>
        </w:tc>
      </w:tr>
      <w:tr>
        <w:tc>
          <w:tcPr>
            <w:tcW w:type="dxa" w:w="3408"/>
            <w:shd w:fill="F1F6F7"/>
          </w:tcPr>
          <w:p>
            <w:pPr>
              <w:spacing w:after="20"/>
            </w:pPr>
            <w:r>
              <w:rPr>
                <w:sz w:val="16"/>
              </w:rPr>
              <w:t>Columns in main sheet</w:t>
            </w:r>
          </w:p>
        </w:tc>
        <w:tc>
          <w:tcPr>
            <w:tcW w:type="dxa" w:w="3408"/>
            <w:shd w:fill="F1F6F7"/>
          </w:tcPr>
          <w:p>
            <w:pPr>
              <w:spacing w:after="20"/>
            </w:pPr>
            <w:r>
              <w:rPr>
                <w:sz w:val="16"/>
              </w:rPr>
              <w:t>59</w:t>
            </w:r>
          </w:p>
        </w:tc>
        <w:tc>
          <w:tcPr>
            <w:tcW w:type="dxa" w:w="3408"/>
            <w:shd w:fill="F1F6F7"/>
          </w:tcPr>
          <w:p>
            <w:pPr>
              <w:spacing w:after="20"/>
            </w:pPr>
            <w:r>
              <w:rPr>
                <w:sz w:val="16"/>
              </w:rPr>
              <w:t>55 candidate inputs + 4 target columns</w:t>
            </w:r>
          </w:p>
        </w:tc>
      </w:tr>
      <w:tr>
        <w:tc>
          <w:tcPr>
            <w:tcW w:type="dxa" w:w="3408"/>
          </w:tcPr>
          <w:p>
            <w:pPr>
              <w:spacing w:after="20"/>
            </w:pPr>
            <w:r>
              <w:rPr>
                <w:sz w:val="16"/>
              </w:rPr>
              <w:t>Input candidates</w:t>
            </w:r>
          </w:p>
        </w:tc>
        <w:tc>
          <w:tcPr>
            <w:tcW w:type="dxa" w:w="3408"/>
          </w:tcPr>
          <w:p>
            <w:pPr>
              <w:spacing w:after="20"/>
            </w:pPr>
            <w:r>
              <w:rPr>
                <w:sz w:val="16"/>
              </w:rPr>
              <w:t>55</w:t>
            </w:r>
          </w:p>
        </w:tc>
        <w:tc>
          <w:tcPr>
            <w:tcW w:type="dxa" w:w="3408"/>
          </w:tcPr>
          <w:p>
            <w:pPr>
              <w:spacing w:after="20"/>
            </w:pPr>
            <w:r>
              <w:rPr>
                <w:sz w:val="16"/>
              </w:rPr>
              <w:t>Before removing redundant or uninformative fields</w:t>
            </w:r>
          </w:p>
        </w:tc>
      </w:tr>
      <w:tr>
        <w:tc>
          <w:tcPr>
            <w:tcW w:type="dxa" w:w="3408"/>
            <w:shd w:fill="F1F6F7"/>
          </w:tcPr>
          <w:p>
            <w:pPr>
              <w:spacing w:after="20"/>
            </w:pPr>
            <w:r>
              <w:rPr>
                <w:sz w:val="16"/>
              </w:rPr>
              <w:t>Prediction targets</w:t>
            </w:r>
          </w:p>
        </w:tc>
        <w:tc>
          <w:tcPr>
            <w:tcW w:type="dxa" w:w="3408"/>
            <w:shd w:fill="F1F6F7"/>
          </w:tcPr>
          <w:p>
            <w:pPr>
              <w:spacing w:after="20"/>
            </w:pPr>
            <w:r>
              <w:rPr>
                <w:sz w:val="16"/>
              </w:rPr>
              <w:t>4</w:t>
            </w:r>
          </w:p>
        </w:tc>
        <w:tc>
          <w:tcPr>
            <w:tcW w:type="dxa" w:w="3408"/>
            <w:shd w:fill="F1F6F7"/>
          </w:tcPr>
          <w:p>
            <w:pPr>
              <w:spacing w:after="20"/>
            </w:pPr>
            <w:r>
              <w:rPr>
                <w:sz w:val="16"/>
              </w:rPr>
              <w:t>CAD + 3 coronary vessels</w:t>
            </w:r>
          </w:p>
        </w:tc>
      </w:tr>
      <w:tr>
        <w:tc>
          <w:tcPr>
            <w:tcW w:type="dxa" w:w="3408"/>
          </w:tcPr>
          <w:p>
            <w:pPr>
              <w:spacing w:after="20"/>
            </w:pPr>
            <w:r>
              <w:rPr>
                <w:sz w:val="16"/>
              </w:rPr>
              <w:t>Second worksheet</w:t>
            </w:r>
          </w:p>
        </w:tc>
        <w:tc>
          <w:tcPr>
            <w:tcW w:type="dxa" w:w="3408"/>
          </w:tcPr>
          <w:p>
            <w:pPr>
              <w:spacing w:after="20"/>
            </w:pPr>
            <w:r>
              <w:rPr>
                <w:sz w:val="16"/>
              </w:rPr>
              <w:t>100 columns</w:t>
            </w:r>
          </w:p>
        </w:tc>
        <w:tc>
          <w:tcPr>
            <w:tcW w:type="dxa" w:w="3408"/>
          </w:tcPr>
          <w:p>
            <w:pPr>
              <w:spacing w:after="20"/>
            </w:pPr>
            <w:r>
              <w:rPr>
                <w:sz w:val="16"/>
              </w:rPr>
              <w:t>Different schema; profile independently before merging</w:t>
            </w:r>
          </w:p>
        </w:tc>
      </w:tr>
    </w:tbl>
    <w:p>
      <w:pPr>
        <w:spacing w:after="80"/>
      </w:pPr>
      <w:r/>
    </w:p>
    <w:p>
      <w:pPr>
        <w:spacing w:after="80"/>
      </w:pPr>
      <w:r>
        <w:t>The main sheet has 59 columns: 55 candidate inputs and 4 target columns. The second sheet is a different, 100-column schema; do not merge it into the main sheet until you verify its patient records, label definitions and feature meanings.</w:t>
      </w:r>
    </w:p>
    <w:p>
      <w:pPr>
        <w:pStyle w:val="Heading2"/>
      </w:pPr>
      <w:r>
        <w:t>2.1 Target distribution observed in the main sheet</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165669"/>
          </w:tcPr>
          <w:p>
            <w:r>
              <w:rPr>
                <w:b/>
                <w:color w:val="FFFFFF"/>
                <w:sz w:val="16"/>
              </w:rPr>
              <w:t>Target</w:t>
            </w:r>
          </w:p>
        </w:tc>
        <w:tc>
          <w:tcPr>
            <w:tcW w:type="dxa" w:w="2556"/>
            <w:shd w:fill="165669"/>
          </w:tcPr>
          <w:p>
            <w:r>
              <w:rPr>
                <w:b/>
                <w:color w:val="FFFFFF"/>
                <w:sz w:val="16"/>
              </w:rPr>
              <w:t>Positive / stenotic</w:t>
            </w:r>
          </w:p>
        </w:tc>
        <w:tc>
          <w:tcPr>
            <w:tcW w:type="dxa" w:w="2556"/>
            <w:shd w:fill="165669"/>
          </w:tcPr>
          <w:p>
            <w:r>
              <w:rPr>
                <w:b/>
                <w:color w:val="FFFFFF"/>
                <w:sz w:val="16"/>
              </w:rPr>
              <w:t>Negative / normal</w:t>
            </w:r>
          </w:p>
        </w:tc>
        <w:tc>
          <w:tcPr>
            <w:tcW w:type="dxa" w:w="2556"/>
            <w:shd w:fill="165669"/>
          </w:tcPr>
          <w:p>
            <w:r>
              <w:rPr>
                <w:b/>
                <w:color w:val="FFFFFF"/>
                <w:sz w:val="16"/>
              </w:rPr>
              <w:t>Positive prevalence</w:t>
            </w:r>
          </w:p>
        </w:tc>
      </w:tr>
      <w:tr>
        <w:tc>
          <w:tcPr>
            <w:tcW w:type="dxa" w:w="2556"/>
          </w:tcPr>
          <w:p>
            <w:pPr>
              <w:spacing w:after="20"/>
            </w:pPr>
            <w:r>
              <w:rPr>
                <w:sz w:val="16"/>
              </w:rPr>
              <w:t>Overall CAD — Cath</w:t>
            </w:r>
          </w:p>
        </w:tc>
        <w:tc>
          <w:tcPr>
            <w:tcW w:type="dxa" w:w="2556"/>
          </w:tcPr>
          <w:p>
            <w:pPr>
              <w:spacing w:after="20"/>
            </w:pPr>
            <w:r>
              <w:rPr>
                <w:sz w:val="16"/>
              </w:rPr>
              <w:t>216</w:t>
            </w:r>
          </w:p>
        </w:tc>
        <w:tc>
          <w:tcPr>
            <w:tcW w:type="dxa" w:w="2556"/>
          </w:tcPr>
          <w:p>
            <w:pPr>
              <w:spacing w:after="20"/>
            </w:pPr>
            <w:r>
              <w:rPr>
                <w:sz w:val="16"/>
              </w:rPr>
              <w:t>87</w:t>
            </w:r>
          </w:p>
        </w:tc>
        <w:tc>
          <w:tcPr>
            <w:tcW w:type="dxa" w:w="2556"/>
          </w:tcPr>
          <w:p>
            <w:pPr>
              <w:spacing w:after="20"/>
            </w:pPr>
            <w:r>
              <w:rPr>
                <w:sz w:val="16"/>
              </w:rPr>
              <w:t>71.3%</w:t>
            </w:r>
          </w:p>
        </w:tc>
      </w:tr>
      <w:tr>
        <w:tc>
          <w:tcPr>
            <w:tcW w:type="dxa" w:w="2556"/>
            <w:shd w:fill="F1F6F7"/>
          </w:tcPr>
          <w:p>
            <w:pPr>
              <w:spacing w:after="20"/>
            </w:pPr>
            <w:r>
              <w:rPr>
                <w:sz w:val="16"/>
              </w:rPr>
              <w:t>LAD</w:t>
            </w:r>
          </w:p>
        </w:tc>
        <w:tc>
          <w:tcPr>
            <w:tcW w:type="dxa" w:w="2556"/>
            <w:shd w:fill="F1F6F7"/>
          </w:tcPr>
          <w:p>
            <w:pPr>
              <w:spacing w:after="20"/>
            </w:pPr>
            <w:r>
              <w:rPr>
                <w:sz w:val="16"/>
              </w:rPr>
              <w:t>177</w:t>
            </w:r>
          </w:p>
        </w:tc>
        <w:tc>
          <w:tcPr>
            <w:tcW w:type="dxa" w:w="2556"/>
            <w:shd w:fill="F1F6F7"/>
          </w:tcPr>
          <w:p>
            <w:pPr>
              <w:spacing w:after="20"/>
            </w:pPr>
            <w:r>
              <w:rPr>
                <w:sz w:val="16"/>
              </w:rPr>
              <w:t>126</w:t>
            </w:r>
          </w:p>
        </w:tc>
        <w:tc>
          <w:tcPr>
            <w:tcW w:type="dxa" w:w="2556"/>
            <w:shd w:fill="F1F6F7"/>
          </w:tcPr>
          <w:p>
            <w:pPr>
              <w:spacing w:after="20"/>
            </w:pPr>
            <w:r>
              <w:rPr>
                <w:sz w:val="16"/>
              </w:rPr>
              <w:t>58.4%</w:t>
            </w:r>
          </w:p>
        </w:tc>
      </w:tr>
      <w:tr>
        <w:tc>
          <w:tcPr>
            <w:tcW w:type="dxa" w:w="2556"/>
          </w:tcPr>
          <w:p>
            <w:pPr>
              <w:spacing w:after="20"/>
            </w:pPr>
            <w:r>
              <w:rPr>
                <w:sz w:val="16"/>
              </w:rPr>
              <w:t>LCX</w:t>
            </w:r>
          </w:p>
        </w:tc>
        <w:tc>
          <w:tcPr>
            <w:tcW w:type="dxa" w:w="2556"/>
          </w:tcPr>
          <w:p>
            <w:pPr>
              <w:spacing w:after="20"/>
            </w:pPr>
            <w:r>
              <w:rPr>
                <w:sz w:val="16"/>
              </w:rPr>
              <w:t>119</w:t>
            </w:r>
          </w:p>
        </w:tc>
        <w:tc>
          <w:tcPr>
            <w:tcW w:type="dxa" w:w="2556"/>
          </w:tcPr>
          <w:p>
            <w:pPr>
              <w:spacing w:after="20"/>
            </w:pPr>
            <w:r>
              <w:rPr>
                <w:sz w:val="16"/>
              </w:rPr>
              <w:t>184</w:t>
            </w:r>
          </w:p>
        </w:tc>
        <w:tc>
          <w:tcPr>
            <w:tcW w:type="dxa" w:w="2556"/>
          </w:tcPr>
          <w:p>
            <w:pPr>
              <w:spacing w:after="20"/>
            </w:pPr>
            <w:r>
              <w:rPr>
                <w:sz w:val="16"/>
              </w:rPr>
              <w:t>39.3%</w:t>
            </w:r>
          </w:p>
        </w:tc>
      </w:tr>
      <w:tr>
        <w:tc>
          <w:tcPr>
            <w:tcW w:type="dxa" w:w="2556"/>
            <w:shd w:fill="F1F6F7"/>
          </w:tcPr>
          <w:p>
            <w:pPr>
              <w:spacing w:after="20"/>
            </w:pPr>
            <w:r>
              <w:rPr>
                <w:sz w:val="16"/>
              </w:rPr>
              <w:t>RCA</w:t>
            </w:r>
          </w:p>
        </w:tc>
        <w:tc>
          <w:tcPr>
            <w:tcW w:type="dxa" w:w="2556"/>
            <w:shd w:fill="F1F6F7"/>
          </w:tcPr>
          <w:p>
            <w:pPr>
              <w:spacing w:after="20"/>
            </w:pPr>
            <w:r>
              <w:rPr>
                <w:sz w:val="16"/>
              </w:rPr>
              <w:t>114</w:t>
            </w:r>
          </w:p>
        </w:tc>
        <w:tc>
          <w:tcPr>
            <w:tcW w:type="dxa" w:w="2556"/>
            <w:shd w:fill="F1F6F7"/>
          </w:tcPr>
          <w:p>
            <w:pPr>
              <w:spacing w:after="20"/>
            </w:pPr>
            <w:r>
              <w:rPr>
                <w:sz w:val="16"/>
              </w:rPr>
              <w:t>189</w:t>
            </w:r>
          </w:p>
        </w:tc>
        <w:tc>
          <w:tcPr>
            <w:tcW w:type="dxa" w:w="2556"/>
            <w:shd w:fill="F1F6F7"/>
          </w:tcPr>
          <w:p>
            <w:pPr>
              <w:spacing w:after="20"/>
            </w:pPr>
            <w:r>
              <w:rPr>
                <w:sz w:val="16"/>
              </w:rPr>
              <w:t>37.6%</w:t>
            </w:r>
          </w:p>
        </w:tc>
      </w:tr>
    </w:tbl>
    <w:p>
      <w:pPr>
        <w:spacing w:after="80"/>
      </w:pPr>
      <w:r/>
    </w:p>
    <w:p>
      <w:pPr>
        <w:spacing w:after="80"/>
      </w:pPr>
      <w:r>
        <w:t>Interpretation: this is a small dataset, but not an unusable one. It can support a carefully validated prototype with a limited number of effective predictors. It cannot, by itself, establish that the model generalizes to different hospitals, populations or clinical settings.</w:t>
      </w:r>
    </w:p>
    <w:p>
      <w:pPr>
        <w:spacing w:after="80"/>
      </w:pPr>
      <w:r>
        <w:t>The challenge defines CAD in relation to significant coronary narrowing, specified in the primer as at least 50% narrowing of one or more major vessels. The three vessel labels and the overall Cath label are your supervised-learning targets.</w:t>
      </w:r>
    </w:p>
    <w:p>
      <w:pPr>
        <w:pStyle w:val="Heading1"/>
      </w:pPr>
      <w:r>
        <w:t>3. Complete EDA: what you need to discover before training</w:t>
      </w:r>
    </w:p>
    <w:p>
      <w:pPr>
        <w:pStyle w:val="Heading2"/>
      </w:pPr>
      <w:r>
        <w:t>3.1 Actual data-quality findings</w:t>
      </w:r>
    </w:p>
    <w:tbl>
      <w:tblPr>
        <w:tblStyle w:val="TableGrid"/>
        <w:tblW w:type="auto" w:w="0"/>
        <w:tblLook w:firstColumn="1" w:firstRow="1" w:lastColumn="0" w:lastRow="0" w:noHBand="0" w:noVBand="1" w:val="04A0"/>
      </w:tblPr>
      <w:tblGrid>
        <w:gridCol w:w="3408"/>
        <w:gridCol w:w="3408"/>
        <w:gridCol w:w="3408"/>
      </w:tblGrid>
      <w:tr>
        <w:tc>
          <w:tcPr>
            <w:tcW w:type="dxa" w:w="3408"/>
            <w:shd w:fill="165669"/>
          </w:tcPr>
          <w:p>
            <w:r>
              <w:rPr>
                <w:b/>
                <w:color w:val="FFFFFF"/>
                <w:sz w:val="16"/>
              </w:rPr>
              <w:t>EDA check</w:t>
            </w:r>
          </w:p>
        </w:tc>
        <w:tc>
          <w:tcPr>
            <w:tcW w:type="dxa" w:w="3408"/>
            <w:shd w:fill="165669"/>
          </w:tcPr>
          <w:p>
            <w:r>
              <w:rPr>
                <w:b/>
                <w:color w:val="FFFFFF"/>
                <w:sz w:val="16"/>
              </w:rPr>
              <w:t>Observed result</w:t>
            </w:r>
          </w:p>
        </w:tc>
        <w:tc>
          <w:tcPr>
            <w:tcW w:type="dxa" w:w="3408"/>
            <w:shd w:fill="165669"/>
          </w:tcPr>
          <w:p>
            <w:r>
              <w:rPr>
                <w:b/>
                <w:color w:val="FFFFFF"/>
                <w:sz w:val="16"/>
              </w:rPr>
              <w:t>What you should do</w:t>
            </w:r>
          </w:p>
        </w:tc>
      </w:tr>
      <w:tr>
        <w:tc>
          <w:tcPr>
            <w:tcW w:type="dxa" w:w="3408"/>
          </w:tcPr>
          <w:p>
            <w:pPr>
              <w:spacing w:after="20"/>
            </w:pPr>
            <w:r>
              <w:rPr>
                <w:sz w:val="16"/>
              </w:rPr>
              <w:t>Rows</w:t>
            </w:r>
          </w:p>
        </w:tc>
        <w:tc>
          <w:tcPr>
            <w:tcW w:type="dxa" w:w="3408"/>
          </w:tcPr>
          <w:p>
            <w:pPr>
              <w:spacing w:after="20"/>
            </w:pPr>
            <w:r>
              <w:rPr>
                <w:sz w:val="16"/>
              </w:rPr>
              <w:t>303</w:t>
            </w:r>
          </w:p>
        </w:tc>
        <w:tc>
          <w:tcPr>
            <w:tcW w:type="dxa" w:w="3408"/>
          </w:tcPr>
          <w:p>
            <w:pPr>
              <w:spacing w:after="20"/>
            </w:pPr>
            <w:r>
              <w:rPr>
                <w:sz w:val="16"/>
              </w:rPr>
              <w:t>Use cross-validation; small-sample evaluation is essential.</w:t>
            </w:r>
          </w:p>
        </w:tc>
      </w:tr>
      <w:tr>
        <w:tc>
          <w:tcPr>
            <w:tcW w:type="dxa" w:w="3408"/>
            <w:shd w:fill="F1F6F7"/>
          </w:tcPr>
          <w:p>
            <w:pPr>
              <w:spacing w:after="20"/>
            </w:pPr>
            <w:r>
              <w:rPr>
                <w:sz w:val="16"/>
              </w:rPr>
              <w:t>Missing values</w:t>
            </w:r>
          </w:p>
        </w:tc>
        <w:tc>
          <w:tcPr>
            <w:tcW w:type="dxa" w:w="3408"/>
            <w:shd w:fill="F1F6F7"/>
          </w:tcPr>
          <w:p>
            <w:pPr>
              <w:spacing w:after="20"/>
            </w:pPr>
            <w:r>
              <w:rPr>
                <w:sz w:val="16"/>
              </w:rPr>
              <w:t>0 in the main sheet</w:t>
            </w:r>
          </w:p>
        </w:tc>
        <w:tc>
          <w:tcPr>
            <w:tcW w:type="dxa" w:w="3408"/>
            <w:shd w:fill="F1F6F7"/>
          </w:tcPr>
          <w:p>
            <w:pPr>
              <w:spacing w:after="20"/>
            </w:pPr>
            <w:r>
              <w:rPr>
                <w:sz w:val="16"/>
              </w:rPr>
              <w:t>Confirm data types and invalid values; don’t add unnecessary imputation.</w:t>
            </w:r>
          </w:p>
        </w:tc>
      </w:tr>
      <w:tr>
        <w:tc>
          <w:tcPr>
            <w:tcW w:type="dxa" w:w="3408"/>
          </w:tcPr>
          <w:p>
            <w:pPr>
              <w:spacing w:after="20"/>
            </w:pPr>
            <w:r>
              <w:rPr>
                <w:sz w:val="16"/>
              </w:rPr>
              <w:t>Exact duplicate rows</w:t>
            </w:r>
          </w:p>
        </w:tc>
        <w:tc>
          <w:tcPr>
            <w:tcW w:type="dxa" w:w="3408"/>
          </w:tcPr>
          <w:p>
            <w:pPr>
              <w:spacing w:after="20"/>
            </w:pPr>
            <w:r>
              <w:rPr>
                <w:sz w:val="16"/>
              </w:rPr>
              <w:t>0</w:t>
            </w:r>
          </w:p>
        </w:tc>
        <w:tc>
          <w:tcPr>
            <w:tcW w:type="dxa" w:w="3408"/>
          </w:tcPr>
          <w:p>
            <w:pPr>
              <w:spacing w:after="20"/>
            </w:pPr>
            <w:r>
              <w:rPr>
                <w:sz w:val="16"/>
              </w:rPr>
              <w:t>Check for repeated patients if patient identifiers are available.</w:t>
            </w:r>
          </w:p>
        </w:tc>
      </w:tr>
      <w:tr>
        <w:tc>
          <w:tcPr>
            <w:tcW w:type="dxa" w:w="3408"/>
            <w:shd w:fill="F1F6F7"/>
          </w:tcPr>
          <w:p>
            <w:pPr>
              <w:spacing w:after="20"/>
            </w:pPr>
            <w:r>
              <w:rPr>
                <w:sz w:val="16"/>
              </w:rPr>
              <w:t>Constant feature</w:t>
            </w:r>
          </w:p>
        </w:tc>
        <w:tc>
          <w:tcPr>
            <w:tcW w:type="dxa" w:w="3408"/>
            <w:shd w:fill="F1F6F7"/>
          </w:tcPr>
          <w:p>
            <w:pPr>
              <w:spacing w:after="20"/>
            </w:pPr>
            <w:r>
              <w:rPr>
                <w:sz w:val="16"/>
              </w:rPr>
              <w:t>Exertional CP has only N</w:t>
            </w:r>
          </w:p>
        </w:tc>
        <w:tc>
          <w:tcPr>
            <w:tcW w:type="dxa" w:w="3408"/>
            <w:shd w:fill="F1F6F7"/>
          </w:tcPr>
          <w:p>
            <w:pPr>
              <w:spacing w:after="20"/>
            </w:pPr>
            <w:r>
              <w:rPr>
                <w:sz w:val="16"/>
              </w:rPr>
              <w:t>Remove it; it provides no predictive information.</w:t>
            </w:r>
          </w:p>
        </w:tc>
      </w:tr>
      <w:tr>
        <w:tc>
          <w:tcPr>
            <w:tcW w:type="dxa" w:w="3408"/>
          </w:tcPr>
          <w:p>
            <w:pPr>
              <w:spacing w:after="20"/>
            </w:pPr>
            <w:r>
              <w:rPr>
                <w:sz w:val="16"/>
              </w:rPr>
              <w:t>Sex encoding</w:t>
            </w:r>
          </w:p>
        </w:tc>
        <w:tc>
          <w:tcPr>
            <w:tcW w:type="dxa" w:w="3408"/>
          </w:tcPr>
          <w:p>
            <w:pPr>
              <w:spacing w:after="20"/>
            </w:pPr>
            <w:r>
              <w:rPr>
                <w:sz w:val="16"/>
              </w:rPr>
              <w:t>Male and Fmale</w:t>
            </w:r>
          </w:p>
        </w:tc>
        <w:tc>
          <w:tcPr>
            <w:tcW w:type="dxa" w:w="3408"/>
          </w:tcPr>
          <w:p>
            <w:pPr>
              <w:spacing w:after="20"/>
            </w:pPr>
            <w:r>
              <w:rPr>
                <w:sz w:val="16"/>
              </w:rPr>
              <w:t>Verify that Fmale means female, then normalize the category.</w:t>
            </w:r>
          </w:p>
        </w:tc>
      </w:tr>
      <w:tr>
        <w:tc>
          <w:tcPr>
            <w:tcW w:type="dxa" w:w="3408"/>
            <w:shd w:fill="F1F6F7"/>
          </w:tcPr>
          <w:p>
            <w:pPr>
              <w:spacing w:after="20"/>
            </w:pPr>
            <w:r>
              <w:rPr>
                <w:sz w:val="16"/>
              </w:rPr>
              <w:t>CAD class distribution</w:t>
            </w:r>
          </w:p>
        </w:tc>
        <w:tc>
          <w:tcPr>
            <w:tcW w:type="dxa" w:w="3408"/>
            <w:shd w:fill="F1F6F7"/>
          </w:tcPr>
          <w:p>
            <w:pPr>
              <w:spacing w:after="20"/>
            </w:pPr>
            <w:r>
              <w:rPr>
                <w:sz w:val="16"/>
              </w:rPr>
              <w:t>216 CAD, 87 Normal</w:t>
            </w:r>
          </w:p>
        </w:tc>
        <w:tc>
          <w:tcPr>
            <w:tcW w:type="dxa" w:w="3408"/>
            <w:shd w:fill="F1F6F7"/>
          </w:tcPr>
          <w:p>
            <w:pPr>
              <w:spacing w:after="20"/>
            </w:pPr>
            <w:r>
              <w:rPr>
                <w:sz w:val="16"/>
              </w:rPr>
              <w:t>Use stratified evaluation and report minority-class recall.</w:t>
            </w:r>
          </w:p>
        </w:tc>
      </w:tr>
      <w:tr>
        <w:tc>
          <w:tcPr>
            <w:tcW w:type="dxa" w:w="3408"/>
          </w:tcPr>
          <w:p>
            <w:pPr>
              <w:spacing w:after="20"/>
            </w:pPr>
            <w:r>
              <w:rPr>
                <w:sz w:val="16"/>
              </w:rPr>
              <w:t>Feature types</w:t>
            </w:r>
          </w:p>
        </w:tc>
        <w:tc>
          <w:tcPr>
            <w:tcW w:type="dxa" w:w="3408"/>
          </w:tcPr>
          <w:p>
            <w:pPr>
              <w:spacing w:after="20"/>
            </w:pPr>
            <w:r>
              <w:rPr>
                <w:sz w:val="16"/>
              </w:rPr>
              <w:t>Numeric, binary and categorical</w:t>
            </w:r>
          </w:p>
        </w:tc>
        <w:tc>
          <w:tcPr>
            <w:tcW w:type="dxa" w:w="3408"/>
          </w:tcPr>
          <w:p>
            <w:pPr>
              <w:spacing w:after="20"/>
            </w:pPr>
            <w:r>
              <w:rPr>
                <w:sz w:val="16"/>
              </w:rPr>
              <w:t>Encode by meaning, not simply by converting every column to a number.</w:t>
            </w:r>
          </w:p>
        </w:tc>
      </w:tr>
      <w:tr>
        <w:tc>
          <w:tcPr>
            <w:tcW w:type="dxa" w:w="3408"/>
            <w:shd w:fill="F1F6F7"/>
          </w:tcPr>
          <w:p>
            <w:pPr>
              <w:spacing w:after="20"/>
            </w:pPr>
            <w:r>
              <w:rPr>
                <w:sz w:val="16"/>
              </w:rPr>
              <w:t>Second worksheet</w:t>
            </w:r>
          </w:p>
        </w:tc>
        <w:tc>
          <w:tcPr>
            <w:tcW w:type="dxa" w:w="3408"/>
            <w:shd w:fill="F1F6F7"/>
          </w:tcPr>
          <w:p>
            <w:pPr>
              <w:spacing w:after="20"/>
            </w:pPr>
            <w:r>
              <w:rPr>
                <w:sz w:val="16"/>
              </w:rPr>
              <w:t>100-column schema</w:t>
            </w:r>
          </w:p>
        </w:tc>
        <w:tc>
          <w:tcPr>
            <w:tcW w:type="dxa" w:w="3408"/>
            <w:shd w:fill="F1F6F7"/>
          </w:tcPr>
          <w:p>
            <w:pPr>
              <w:spacing w:after="20"/>
            </w:pPr>
            <w:r>
              <w:rPr>
                <w:sz w:val="16"/>
              </w:rPr>
              <w:t>Profile it independently before considering any combination.</w:t>
            </w:r>
          </w:p>
        </w:tc>
      </w:tr>
    </w:tbl>
    <w:p>
      <w:pPr>
        <w:spacing w:after="80"/>
      </w:pPr>
      <w:r/>
    </w:p>
    <w:p>
      <w:pPr>
        <w:spacing w:after="80"/>
      </w:pPr>
      <w:r>
        <w:t>The absence of missing values is useful, but it doesn’t mean the dataset is error-free. You still need to examine unusual values, measurement units, inconsistent categories and clinically implausible combinations.</w:t>
      </w:r>
    </w:p>
    <w:p>
      <w:pPr>
        <w:pStyle w:val="Heading2"/>
      </w:pPr>
      <w:r>
        <w:t>3.2 The exact EDA sequence</w:t>
      </w:r>
    </w:p>
    <w:p>
      <w:pPr>
        <w:pStyle w:val="ListNumber"/>
        <w:spacing w:after="80"/>
      </w:pPr>
      <w:r>
        <w:t>Dataset audit — Shape, data types, unique values, missingness, duplicates, label definitions, and possible patient overlap. Deliverable: data-quality report.</w:t>
      </w:r>
    </w:p>
    <w:p>
      <w:pPr>
        <w:pStyle w:val="ListNumber"/>
        <w:spacing w:after="80"/>
      </w:pPr>
      <w:r>
        <w:t>Univariate analysis — Histograms and boxplots for age, BMI, BP, glucose, lipids, renal markers, blood counts and EF-TTE. Frequency plots for binary and categorical findings. Deliverable: distribution and outlier report.</w:t>
      </w:r>
    </w:p>
    <w:p>
      <w:pPr>
        <w:pStyle w:val="ListNumber"/>
        <w:spacing w:after="80"/>
      </w:pPr>
      <w:r>
        <w:t>Bivariate analysis — Compare CAD versus Normal and, separately, stenotic versus Normal for LAD, LCX and RCA. Deliverable: effect sizes, confidence intervals and statistical tests.</w:t>
      </w:r>
    </w:p>
    <w:p>
      <w:pPr>
        <w:pStyle w:val="ListNumber"/>
        <w:spacing w:after="80"/>
      </w:pPr>
      <w:r>
        <w:t>Relationships and redundancy — Correlation heatmap, feature redundancy, categorical associations and target-label consistency checks. Deliverable: candidate feature set and leakage audit.</w:t>
      </w:r>
    </w:p>
    <w:p>
      <w:pPr>
        <w:pStyle w:val="ListNumber"/>
        <w:spacing w:after="80"/>
      </w:pPr>
      <w:r>
        <w:t>Predictive analysis — Compare baselines, train candidate models, validate on held-out folds, and calculate feature attribution separately for every target. Deliverable: validated model and interpretation report.</w:t>
      </w:r>
    </w:p>
    <w:p>
      <w:pPr>
        <w:pStyle w:val="Heading2"/>
      </w:pPr>
      <w:r>
        <w:t>3.3 The visualizations you should actually produce</w:t>
      </w:r>
    </w:p>
    <w:p>
      <w:pPr>
        <w:pStyle w:val="Heading3"/>
      </w:pPr>
      <w:r>
        <w:t>A. Numerical distributions</w:t>
      </w:r>
    </w:p>
    <w:p>
      <w:pPr>
        <w:pStyle w:val="ListBullet"/>
        <w:spacing w:after="80"/>
      </w:pPr>
      <w:r>
        <w:t>Age, BP, PR, FBS, TG, LDL, HDL and EF-TTE histograms.</w:t>
      </w:r>
    </w:p>
    <w:p>
      <w:pPr>
        <w:pStyle w:val="ListBullet"/>
        <w:spacing w:after="80"/>
      </w:pPr>
      <w:r>
        <w:t>CAD-versus-Normal boxplots.</w:t>
      </w:r>
    </w:p>
    <w:p>
      <w:pPr>
        <w:pStyle w:val="ListBullet"/>
        <w:spacing w:after="80"/>
      </w:pPr>
      <w:r>
        <w:t>Outlier plots and skewness analysis.</w:t>
      </w:r>
    </w:p>
    <w:p>
      <w:pPr>
        <w:pStyle w:val="ListBullet"/>
        <w:spacing w:after="80"/>
      </w:pPr>
      <w:r>
        <w:t>Scatterplots of age against EF-TTE and FBS against BMI.</w:t>
      </w:r>
    </w:p>
    <w:p>
      <w:pPr>
        <w:pStyle w:val="Heading3"/>
      </w:pPr>
      <w:r>
        <w:t>B. Feature relationship heatmap</w:t>
      </w:r>
    </w:p>
    <w:p>
      <w:pPr>
        <w:pStyle w:val="ListBullet"/>
        <w:spacing w:after="80"/>
      </w:pPr>
      <w:r>
        <w:t>Spearman correlation for numeric measurements.</w:t>
      </w:r>
    </w:p>
    <w:p>
      <w:pPr>
        <w:pStyle w:val="ListBullet"/>
        <w:spacing w:after="80"/>
      </w:pPr>
      <w:r>
        <w:t>Cramér’s V for categorical variables.</w:t>
      </w:r>
    </w:p>
    <w:p>
      <w:pPr>
        <w:pStyle w:val="ListBullet"/>
        <w:spacing w:after="80"/>
      </w:pPr>
      <w:r>
        <w:t>Point-biserial or equivalent associations for binary and numeric combinations.</w:t>
      </w:r>
    </w:p>
    <w:p>
      <w:pPr>
        <w:pStyle w:val="ListBullet"/>
        <w:spacing w:after="80"/>
      </w:pPr>
      <w:r>
        <w:t>Explicitly flag BMI versus Weight/Length redundancy.</w:t>
      </w:r>
    </w:p>
    <w:p>
      <w:pPr>
        <w:pStyle w:val="Heading3"/>
      </w:pPr>
      <w:r>
        <w:t>C. Four target analyses</w:t>
      </w:r>
    </w:p>
    <w:p>
      <w:pPr>
        <w:pStyle w:val="ListBullet"/>
        <w:spacing w:after="80"/>
      </w:pPr>
      <w:r>
        <w:t>CAD: 216 versus 87.</w:t>
      </w:r>
    </w:p>
    <w:p>
      <w:pPr>
        <w:pStyle w:val="ListBullet"/>
        <w:spacing w:after="80"/>
      </w:pPr>
      <w:r>
        <w:t>LAD: 177 versus 126.</w:t>
      </w:r>
    </w:p>
    <w:p>
      <w:pPr>
        <w:pStyle w:val="ListBullet"/>
        <w:spacing w:after="80"/>
      </w:pPr>
      <w:r>
        <w:t>LCX: 119 versus 184.</w:t>
      </w:r>
    </w:p>
    <w:p>
      <w:pPr>
        <w:pStyle w:val="ListBullet"/>
        <w:spacing w:after="80"/>
      </w:pPr>
      <w:r>
        <w:t>RCA: 114 versus 189.</w:t>
      </w:r>
    </w:p>
    <w:p>
      <w:pPr>
        <w:pStyle w:val="ListBullet"/>
        <w:spacing w:after="80"/>
      </w:pPr>
      <w:r>
        <w:t>Compare the same feature against each target independently.</w:t>
      </w:r>
    </w:p>
    <w:p>
      <w:pPr>
        <w:pStyle w:val="Heading2"/>
      </w:pPr>
      <w:r>
        <w:t>3.4 Important label-consistency finding</w:t>
      </w:r>
    </w:p>
    <w:p>
      <w:pPr>
        <w:pStyle w:val="ListBullet"/>
        <w:spacing w:after="80"/>
      </w:pPr>
      <w:r>
        <w:t>Of 216 patients labelled CAD, 176 are LAD-stenotic and 40 are LAD-normal.</w:t>
      </w:r>
    </w:p>
    <w:p>
      <w:pPr>
        <w:pStyle w:val="ListBullet"/>
        <w:spacing w:after="80"/>
      </w:pPr>
      <w:r>
        <w:t>Of 87 patients labelled Normal, 86 are LAD-normal and one is LAD-stenotic.</w:t>
      </w:r>
    </w:p>
    <w:p>
      <w:pPr>
        <w:spacing w:after="80"/>
      </w:pPr>
      <w:r>
        <w:t>The 40 CAD patients with a normal LAD are not automatically errors: their disease may involve LCX or RCA. However, the one Normal patient with a stenotic LAD deserves verification against the dataset’s original label definitions.</w:t>
      </w:r>
    </w:p>
    <w:p>
      <w:pPr>
        <w:spacing w:after="80"/>
      </w:pPr>
      <w:r>
        <w:t>Do not silently relabel that record. Check the source documentation and preserve the supplied ground truth unless a documented correction is justified.</w:t>
      </w:r>
    </w:p>
    <w:p>
      <w:pPr>
        <w:spacing w:after="80"/>
      </w:pPr>
      <w:r>
        <w:t>Also, do not use the strong relationship between vessel labels and CAD as a predictive shortcut. The challenge explicitly prohibits using LAD, LCX, RCA or Cath as input features.</w:t>
      </w:r>
    </w:p>
    <w:p>
      <w:pPr>
        <w:pStyle w:val="Heading1"/>
      </w:pPr>
      <w:r>
        <w:t>4. Feature-wise contribution: provisional high-to-low ranking</w:t>
      </w:r>
    </w:p>
    <w:p>
      <w:pPr>
        <w:spacing w:after="80"/>
      </w:pPr>
      <w:r>
        <w:t>I performed an initial single-feature association screen against the overall CAD label. The table below uses standardized differences for numeric features and Cramér’s V for categorical features.</w:t>
      </w:r>
    </w:p>
    <w:p>
      <w:pPr>
        <w:spacing w:after="80"/>
      </w:pPr>
      <w:r>
        <w:t>These are exploratory association measures, not percentages of model contribution, causal effects, or final SHAP rankings. The numeric and categorical measures are also not directly comparable, so the order is a screening priority rather than a definitive feature-importance leaderboard.</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165669"/>
          </w:tcPr>
          <w:p>
            <w:r>
              <w:rPr>
                <w:b/>
                <w:color w:val="FFFFFF"/>
                <w:sz w:val="16"/>
              </w:rPr>
              <w:t>Priority</w:t>
            </w:r>
          </w:p>
        </w:tc>
        <w:tc>
          <w:tcPr>
            <w:tcW w:type="dxa" w:w="2556"/>
            <w:shd w:fill="165669"/>
          </w:tcPr>
          <w:p>
            <w:r>
              <w:rPr>
                <w:b/>
                <w:color w:val="FFFFFF"/>
                <w:sz w:val="16"/>
              </w:rPr>
              <w:t>Feature</w:t>
            </w:r>
          </w:p>
        </w:tc>
        <w:tc>
          <w:tcPr>
            <w:tcW w:type="dxa" w:w="2556"/>
            <w:shd w:fill="165669"/>
          </w:tcPr>
          <w:p>
            <w:r>
              <w:rPr>
                <w:b/>
                <w:color w:val="FFFFFF"/>
                <w:sz w:val="16"/>
              </w:rPr>
              <w:t>Preliminary signal</w:t>
            </w:r>
          </w:p>
        </w:tc>
        <w:tc>
          <w:tcPr>
            <w:tcW w:type="dxa" w:w="2556"/>
            <w:shd w:fill="165669"/>
          </w:tcPr>
          <w:p>
            <w:r>
              <w:rPr>
                <w:b/>
                <w:color w:val="FFFFFF"/>
                <w:sz w:val="16"/>
              </w:rPr>
              <w:t>Interpretation to investigate</w:t>
            </w:r>
          </w:p>
        </w:tc>
      </w:tr>
      <w:tr>
        <w:tc>
          <w:tcPr>
            <w:tcW w:type="dxa" w:w="2556"/>
          </w:tcPr>
          <w:p>
            <w:pPr>
              <w:spacing w:after="20"/>
            </w:pPr>
            <w:r>
              <w:rPr>
                <w:sz w:val="16"/>
              </w:rPr>
              <w:t>1</w:t>
            </w:r>
          </w:p>
        </w:tc>
        <w:tc>
          <w:tcPr>
            <w:tcW w:type="dxa" w:w="2556"/>
          </w:tcPr>
          <w:p>
            <w:pPr>
              <w:spacing w:after="20"/>
            </w:pPr>
            <w:r>
              <w:rPr>
                <w:sz w:val="16"/>
              </w:rPr>
              <w:t>Age</w:t>
            </w:r>
          </w:p>
        </w:tc>
        <w:tc>
          <w:tcPr>
            <w:tcW w:type="dxa" w:w="2556"/>
          </w:tcPr>
          <w:p>
            <w:pPr>
              <w:spacing w:after="20"/>
            </w:pPr>
            <w:r>
              <w:rPr>
                <w:sz w:val="16"/>
              </w:rPr>
              <w:t>Strongest numeric signal</w:t>
            </w:r>
          </w:p>
        </w:tc>
        <w:tc>
          <w:tcPr>
            <w:tcW w:type="dxa" w:w="2556"/>
          </w:tcPr>
          <w:p>
            <w:pPr>
              <w:spacing w:after="20"/>
            </w:pPr>
            <w:r>
              <w:rPr>
                <w:sz w:val="16"/>
              </w:rPr>
              <w:t>Compare age distributions and possible nonlinear relationships.</w:t>
            </w:r>
          </w:p>
        </w:tc>
      </w:tr>
      <w:tr>
        <w:tc>
          <w:tcPr>
            <w:tcW w:type="dxa" w:w="2556"/>
            <w:shd w:fill="F1F6F7"/>
          </w:tcPr>
          <w:p>
            <w:pPr>
              <w:spacing w:after="20"/>
            </w:pPr>
            <w:r>
              <w:rPr>
                <w:sz w:val="16"/>
              </w:rPr>
              <w:t>2</w:t>
            </w:r>
          </w:p>
        </w:tc>
        <w:tc>
          <w:tcPr>
            <w:tcW w:type="dxa" w:w="2556"/>
            <w:shd w:fill="F1F6F7"/>
          </w:tcPr>
          <w:p>
            <w:pPr>
              <w:spacing w:after="20"/>
            </w:pPr>
            <w:r>
              <w:rPr>
                <w:sz w:val="16"/>
              </w:rPr>
              <w:t>EF-TTE</w:t>
            </w:r>
          </w:p>
        </w:tc>
        <w:tc>
          <w:tcPr>
            <w:tcW w:type="dxa" w:w="2556"/>
            <w:shd w:fill="F1F6F7"/>
          </w:tcPr>
          <w:p>
            <w:pPr>
              <w:spacing w:after="20"/>
            </w:pPr>
            <w:r>
              <w:rPr>
                <w:sz w:val="16"/>
              </w:rPr>
              <w:t>Strong</w:t>
            </w:r>
          </w:p>
        </w:tc>
        <w:tc>
          <w:tcPr>
            <w:tcW w:type="dxa" w:w="2556"/>
            <w:shd w:fill="F1F6F7"/>
          </w:tcPr>
          <w:p>
            <w:pPr>
              <w:spacing w:after="20"/>
            </w:pPr>
            <w:r>
              <w:rPr>
                <w:sz w:val="16"/>
              </w:rPr>
              <w:t>Examine differences in echocardiographic ejection fraction.</w:t>
            </w:r>
          </w:p>
        </w:tc>
      </w:tr>
      <w:tr>
        <w:tc>
          <w:tcPr>
            <w:tcW w:type="dxa" w:w="2556"/>
          </w:tcPr>
          <w:p>
            <w:pPr>
              <w:spacing w:after="20"/>
            </w:pPr>
            <w:r>
              <w:rPr>
                <w:sz w:val="16"/>
              </w:rPr>
              <w:t>3</w:t>
            </w:r>
          </w:p>
        </w:tc>
        <w:tc>
          <w:tcPr>
            <w:tcW w:type="dxa" w:w="2556"/>
          </w:tcPr>
          <w:p>
            <w:pPr>
              <w:spacing w:after="20"/>
            </w:pPr>
            <w:r>
              <w:rPr>
                <w:sz w:val="16"/>
              </w:rPr>
              <w:t>BP</w:t>
            </w:r>
          </w:p>
        </w:tc>
        <w:tc>
          <w:tcPr>
            <w:tcW w:type="dxa" w:w="2556"/>
          </w:tcPr>
          <w:p>
            <w:pPr>
              <w:spacing w:after="20"/>
            </w:pPr>
            <w:r>
              <w:rPr>
                <w:sz w:val="16"/>
              </w:rPr>
              <w:t>Strong</w:t>
            </w:r>
          </w:p>
        </w:tc>
        <w:tc>
          <w:tcPr>
            <w:tcW w:type="dxa" w:w="2556"/>
          </w:tcPr>
          <w:p>
            <w:pPr>
              <w:spacing w:after="20"/>
            </w:pPr>
            <w:r>
              <w:rPr>
                <w:sz w:val="16"/>
              </w:rPr>
              <w:t>Establish what the dataset’s BP field represents and its units.</w:t>
            </w:r>
          </w:p>
        </w:tc>
      </w:tr>
      <w:tr>
        <w:tc>
          <w:tcPr>
            <w:tcW w:type="dxa" w:w="2556"/>
            <w:shd w:fill="F1F6F7"/>
          </w:tcPr>
          <w:p>
            <w:pPr>
              <w:spacing w:after="20"/>
            </w:pPr>
            <w:r>
              <w:rPr>
                <w:sz w:val="16"/>
              </w:rPr>
              <w:t>4</w:t>
            </w:r>
          </w:p>
        </w:tc>
        <w:tc>
          <w:tcPr>
            <w:tcW w:type="dxa" w:w="2556"/>
            <w:shd w:fill="F1F6F7"/>
          </w:tcPr>
          <w:p>
            <w:pPr>
              <w:spacing w:after="20"/>
            </w:pPr>
            <w:r>
              <w:rPr>
                <w:sz w:val="16"/>
              </w:rPr>
              <w:t>Typical Chest Pain</w:t>
            </w:r>
          </w:p>
        </w:tc>
        <w:tc>
          <w:tcPr>
            <w:tcW w:type="dxa" w:w="2556"/>
            <w:shd w:fill="F1F6F7"/>
          </w:tcPr>
          <w:p>
            <w:pPr>
              <w:spacing w:after="20"/>
            </w:pPr>
            <w:r>
              <w:rPr>
                <w:sz w:val="16"/>
              </w:rPr>
              <w:t>Strong</w:t>
            </w:r>
          </w:p>
        </w:tc>
        <w:tc>
          <w:tcPr>
            <w:tcW w:type="dxa" w:w="2556"/>
            <w:shd w:fill="F1F6F7"/>
          </w:tcPr>
          <w:p>
            <w:pPr>
              <w:spacing w:after="20"/>
            </w:pPr>
            <w:r>
              <w:rPr>
                <w:sz w:val="16"/>
              </w:rPr>
              <w:t>Compare CAD prevalence across its encoded groups.</w:t>
            </w:r>
          </w:p>
        </w:tc>
      </w:tr>
      <w:tr>
        <w:tc>
          <w:tcPr>
            <w:tcW w:type="dxa" w:w="2556"/>
          </w:tcPr>
          <w:p>
            <w:pPr>
              <w:spacing w:after="20"/>
            </w:pPr>
            <w:r>
              <w:rPr>
                <w:sz w:val="16"/>
              </w:rPr>
              <w:t>5</w:t>
            </w:r>
          </w:p>
        </w:tc>
        <w:tc>
          <w:tcPr>
            <w:tcW w:type="dxa" w:w="2556"/>
          </w:tcPr>
          <w:p>
            <w:pPr>
              <w:spacing w:after="20"/>
            </w:pPr>
            <w:r>
              <w:rPr>
                <w:sz w:val="16"/>
              </w:rPr>
              <w:t>FBS</w:t>
            </w:r>
          </w:p>
        </w:tc>
        <w:tc>
          <w:tcPr>
            <w:tcW w:type="dxa" w:w="2556"/>
          </w:tcPr>
          <w:p>
            <w:pPr>
              <w:spacing w:after="20"/>
            </w:pPr>
            <w:r>
              <w:rPr>
                <w:sz w:val="16"/>
              </w:rPr>
              <w:t>Strong</w:t>
            </w:r>
          </w:p>
        </w:tc>
        <w:tc>
          <w:tcPr>
            <w:tcW w:type="dxa" w:w="2556"/>
          </w:tcPr>
          <w:p>
            <w:pPr>
              <w:spacing w:after="20"/>
            </w:pPr>
            <w:r>
              <w:rPr>
                <w:sz w:val="16"/>
              </w:rPr>
              <w:t>Investigate fasting blood sugar distributions and extreme values.</w:t>
            </w:r>
          </w:p>
        </w:tc>
      </w:tr>
      <w:tr>
        <w:tc>
          <w:tcPr>
            <w:tcW w:type="dxa" w:w="2556"/>
            <w:shd w:fill="F1F6F7"/>
          </w:tcPr>
          <w:p>
            <w:pPr>
              <w:spacing w:after="20"/>
            </w:pPr>
            <w:r>
              <w:rPr>
                <w:sz w:val="16"/>
              </w:rPr>
              <w:t>6</w:t>
            </w:r>
          </w:p>
        </w:tc>
        <w:tc>
          <w:tcPr>
            <w:tcW w:type="dxa" w:w="2556"/>
            <w:shd w:fill="F1F6F7"/>
          </w:tcPr>
          <w:p>
            <w:pPr>
              <w:spacing w:after="20"/>
            </w:pPr>
            <w:r>
              <w:rPr>
                <w:sz w:val="16"/>
              </w:rPr>
              <w:t>K</w:t>
            </w:r>
          </w:p>
        </w:tc>
        <w:tc>
          <w:tcPr>
            <w:tcW w:type="dxa" w:w="2556"/>
            <w:shd w:fill="F1F6F7"/>
          </w:tcPr>
          <w:p>
            <w:pPr>
              <w:spacing w:after="20"/>
            </w:pPr>
            <w:r>
              <w:rPr>
                <w:sz w:val="16"/>
              </w:rPr>
              <w:t>Moderate–strong</w:t>
            </w:r>
          </w:p>
        </w:tc>
        <w:tc>
          <w:tcPr>
            <w:tcW w:type="dxa" w:w="2556"/>
            <w:shd w:fill="F1F6F7"/>
          </w:tcPr>
          <w:p>
            <w:pPr>
              <w:spacing w:after="20"/>
            </w:pPr>
            <w:r>
              <w:rPr>
                <w:sz w:val="16"/>
              </w:rPr>
              <w:t>Examine potassium measurements and possible measurement effects.</w:t>
            </w:r>
          </w:p>
        </w:tc>
      </w:tr>
      <w:tr>
        <w:tc>
          <w:tcPr>
            <w:tcW w:type="dxa" w:w="2556"/>
          </w:tcPr>
          <w:p>
            <w:pPr>
              <w:spacing w:after="20"/>
            </w:pPr>
            <w:r>
              <w:rPr>
                <w:sz w:val="16"/>
              </w:rPr>
              <w:t>7</w:t>
            </w:r>
          </w:p>
        </w:tc>
        <w:tc>
          <w:tcPr>
            <w:tcW w:type="dxa" w:w="2556"/>
          </w:tcPr>
          <w:p>
            <w:pPr>
              <w:spacing w:after="20"/>
            </w:pPr>
            <w:r>
              <w:rPr>
                <w:sz w:val="16"/>
              </w:rPr>
              <w:t>ESR</w:t>
            </w:r>
          </w:p>
        </w:tc>
        <w:tc>
          <w:tcPr>
            <w:tcW w:type="dxa" w:w="2556"/>
          </w:tcPr>
          <w:p>
            <w:pPr>
              <w:spacing w:after="20"/>
            </w:pPr>
            <w:r>
              <w:rPr>
                <w:sz w:val="16"/>
              </w:rPr>
              <w:t>Moderate–strong</w:t>
            </w:r>
          </w:p>
        </w:tc>
        <w:tc>
          <w:tcPr>
            <w:tcW w:type="dxa" w:w="2556"/>
          </w:tcPr>
          <w:p>
            <w:pPr>
              <w:spacing w:after="20"/>
            </w:pPr>
            <w:r>
              <w:rPr>
                <w:sz w:val="16"/>
              </w:rPr>
              <w:t>Investigate inflammatory-marker distributions.</w:t>
            </w:r>
          </w:p>
        </w:tc>
      </w:tr>
      <w:tr>
        <w:tc>
          <w:tcPr>
            <w:tcW w:type="dxa" w:w="2556"/>
            <w:shd w:fill="F1F6F7"/>
          </w:tcPr>
          <w:p>
            <w:pPr>
              <w:spacing w:after="20"/>
            </w:pPr>
            <w:r>
              <w:rPr>
                <w:sz w:val="16"/>
              </w:rPr>
              <w:t>8</w:t>
            </w:r>
          </w:p>
        </w:tc>
        <w:tc>
          <w:tcPr>
            <w:tcW w:type="dxa" w:w="2556"/>
            <w:shd w:fill="F1F6F7"/>
          </w:tcPr>
          <w:p>
            <w:pPr>
              <w:spacing w:after="20"/>
            </w:pPr>
            <w:r>
              <w:rPr>
                <w:sz w:val="16"/>
              </w:rPr>
              <w:t>Atypical</w:t>
            </w:r>
          </w:p>
        </w:tc>
        <w:tc>
          <w:tcPr>
            <w:tcW w:type="dxa" w:w="2556"/>
            <w:shd w:fill="F1F6F7"/>
          </w:tcPr>
          <w:p>
            <w:pPr>
              <w:spacing w:after="20"/>
            </w:pPr>
            <w:r>
              <w:rPr>
                <w:sz w:val="16"/>
              </w:rPr>
              <w:t>Moderate–strong</w:t>
            </w:r>
          </w:p>
        </w:tc>
        <w:tc>
          <w:tcPr>
            <w:tcW w:type="dxa" w:w="2556"/>
            <w:shd w:fill="F1F6F7"/>
          </w:tcPr>
          <w:p>
            <w:pPr>
              <w:spacing w:after="20"/>
            </w:pPr>
            <w:r>
              <w:rPr>
                <w:sz w:val="16"/>
              </w:rPr>
              <w:t>Check its relationship with other chest-pain categories.</w:t>
            </w:r>
          </w:p>
        </w:tc>
      </w:tr>
      <w:tr>
        <w:tc>
          <w:tcPr>
            <w:tcW w:type="dxa" w:w="2556"/>
          </w:tcPr>
          <w:p>
            <w:pPr>
              <w:spacing w:after="20"/>
            </w:pPr>
            <w:r>
              <w:rPr>
                <w:sz w:val="16"/>
              </w:rPr>
              <w:t>9</w:t>
            </w:r>
          </w:p>
        </w:tc>
        <w:tc>
          <w:tcPr>
            <w:tcW w:type="dxa" w:w="2556"/>
          </w:tcPr>
          <w:p>
            <w:pPr>
              <w:spacing w:after="20"/>
            </w:pPr>
            <w:r>
              <w:rPr>
                <w:sz w:val="16"/>
              </w:rPr>
              <w:t>PR</w:t>
            </w:r>
          </w:p>
        </w:tc>
        <w:tc>
          <w:tcPr>
            <w:tcW w:type="dxa" w:w="2556"/>
          </w:tcPr>
          <w:p>
            <w:pPr>
              <w:spacing w:after="20"/>
            </w:pPr>
            <w:r>
              <w:rPr>
                <w:sz w:val="16"/>
              </w:rPr>
              <w:t>Moderate</w:t>
            </w:r>
          </w:p>
        </w:tc>
        <w:tc>
          <w:tcPr>
            <w:tcW w:type="dxa" w:w="2556"/>
          </w:tcPr>
          <w:p>
            <w:pPr>
              <w:spacing w:after="20"/>
            </w:pPr>
            <w:r>
              <w:rPr>
                <w:sz w:val="16"/>
              </w:rPr>
              <w:t>Compare pulse-rate distributions across target groups.</w:t>
            </w:r>
          </w:p>
        </w:tc>
      </w:tr>
      <w:tr>
        <w:tc>
          <w:tcPr>
            <w:tcW w:type="dxa" w:w="2556"/>
            <w:shd w:fill="F1F6F7"/>
          </w:tcPr>
          <w:p>
            <w:pPr>
              <w:spacing w:after="20"/>
            </w:pPr>
            <w:r>
              <w:rPr>
                <w:sz w:val="16"/>
              </w:rPr>
              <w:t>10</w:t>
            </w:r>
          </w:p>
        </w:tc>
        <w:tc>
          <w:tcPr>
            <w:tcW w:type="dxa" w:w="2556"/>
            <w:shd w:fill="F1F6F7"/>
          </w:tcPr>
          <w:p>
            <w:pPr>
              <w:spacing w:after="20"/>
            </w:pPr>
            <w:r>
              <w:rPr>
                <w:sz w:val="16"/>
              </w:rPr>
              <w:t>Region RWMA</w:t>
            </w:r>
          </w:p>
        </w:tc>
        <w:tc>
          <w:tcPr>
            <w:tcW w:type="dxa" w:w="2556"/>
            <w:shd w:fill="F1F6F7"/>
          </w:tcPr>
          <w:p>
            <w:pPr>
              <w:spacing w:after="20"/>
            </w:pPr>
            <w:r>
              <w:rPr>
                <w:sz w:val="16"/>
              </w:rPr>
              <w:t>Moderate</w:t>
            </w:r>
          </w:p>
        </w:tc>
        <w:tc>
          <w:tcPr>
            <w:tcW w:type="dxa" w:w="2556"/>
            <w:shd w:fill="F1F6F7"/>
          </w:tcPr>
          <w:p>
            <w:pPr>
              <w:spacing w:after="20"/>
            </w:pPr>
            <w:r>
              <w:rPr>
                <w:sz w:val="16"/>
              </w:rPr>
              <w:t>Examine echocardiographic regional wall-motion findings.</w:t>
            </w:r>
          </w:p>
        </w:tc>
      </w:tr>
      <w:tr>
        <w:tc>
          <w:tcPr>
            <w:tcW w:type="dxa" w:w="2556"/>
          </w:tcPr>
          <w:p>
            <w:pPr>
              <w:spacing w:after="20"/>
            </w:pPr>
            <w:r>
              <w:rPr>
                <w:sz w:val="16"/>
              </w:rPr>
              <w:t>11</w:t>
            </w:r>
          </w:p>
        </w:tc>
        <w:tc>
          <w:tcPr>
            <w:tcW w:type="dxa" w:w="2556"/>
          </w:tcPr>
          <w:p>
            <w:pPr>
              <w:spacing w:after="20"/>
            </w:pPr>
            <w:r>
              <w:rPr>
                <w:sz w:val="16"/>
              </w:rPr>
              <w:t>TG</w:t>
            </w:r>
          </w:p>
        </w:tc>
        <w:tc>
          <w:tcPr>
            <w:tcW w:type="dxa" w:w="2556"/>
          </w:tcPr>
          <w:p>
            <w:pPr>
              <w:spacing w:after="20"/>
            </w:pPr>
            <w:r>
              <w:rPr>
                <w:sz w:val="16"/>
              </w:rPr>
              <w:t>Moderate</w:t>
            </w:r>
          </w:p>
        </w:tc>
        <w:tc>
          <w:tcPr>
            <w:tcW w:type="dxa" w:w="2556"/>
          </w:tcPr>
          <w:p>
            <w:pPr>
              <w:spacing w:after="20"/>
            </w:pPr>
            <w:r>
              <w:rPr>
                <w:sz w:val="16"/>
              </w:rPr>
              <w:t>Investigate triglyceride distributions and skewness.</w:t>
            </w:r>
          </w:p>
        </w:tc>
      </w:tr>
      <w:tr>
        <w:tc>
          <w:tcPr>
            <w:tcW w:type="dxa" w:w="2556"/>
            <w:shd w:fill="F1F6F7"/>
          </w:tcPr>
          <w:p>
            <w:pPr>
              <w:spacing w:after="20"/>
            </w:pPr>
            <w:r>
              <w:rPr>
                <w:sz w:val="16"/>
              </w:rPr>
              <w:t>12</w:t>
            </w:r>
          </w:p>
        </w:tc>
        <w:tc>
          <w:tcPr>
            <w:tcW w:type="dxa" w:w="2556"/>
            <w:shd w:fill="F1F6F7"/>
          </w:tcPr>
          <w:p>
            <w:pPr>
              <w:spacing w:after="20"/>
            </w:pPr>
            <w:r>
              <w:rPr>
                <w:sz w:val="16"/>
              </w:rPr>
              <w:t>Lymph</w:t>
            </w:r>
          </w:p>
        </w:tc>
        <w:tc>
          <w:tcPr>
            <w:tcW w:type="dxa" w:w="2556"/>
            <w:shd w:fill="F1F6F7"/>
          </w:tcPr>
          <w:p>
            <w:pPr>
              <w:spacing w:after="20"/>
            </w:pPr>
            <w:r>
              <w:rPr>
                <w:sz w:val="16"/>
              </w:rPr>
              <w:t>Moderate</w:t>
            </w:r>
          </w:p>
        </w:tc>
        <w:tc>
          <w:tcPr>
            <w:tcW w:type="dxa" w:w="2556"/>
            <w:shd w:fill="F1F6F7"/>
          </w:tcPr>
          <w:p>
            <w:pPr>
              <w:spacing w:after="20"/>
            </w:pPr>
            <w:r>
              <w:rPr>
                <w:sz w:val="16"/>
              </w:rPr>
              <w:t>Examine lymphocyte measurements and their correlation with Neut/WBC.</w:t>
            </w:r>
          </w:p>
        </w:tc>
      </w:tr>
      <w:tr>
        <w:tc>
          <w:tcPr>
            <w:tcW w:type="dxa" w:w="2556"/>
          </w:tcPr>
          <w:p>
            <w:pPr>
              <w:spacing w:after="20"/>
            </w:pPr>
            <w:r>
              <w:rPr>
                <w:sz w:val="16"/>
              </w:rPr>
              <w:t>13</w:t>
            </w:r>
          </w:p>
        </w:tc>
        <w:tc>
          <w:tcPr>
            <w:tcW w:type="dxa" w:w="2556"/>
          </w:tcPr>
          <w:p>
            <w:pPr>
              <w:spacing w:after="20"/>
            </w:pPr>
            <w:r>
              <w:rPr>
                <w:sz w:val="16"/>
              </w:rPr>
              <w:t>HTN</w:t>
            </w:r>
          </w:p>
        </w:tc>
        <w:tc>
          <w:tcPr>
            <w:tcW w:type="dxa" w:w="2556"/>
          </w:tcPr>
          <w:p>
            <w:pPr>
              <w:spacing w:after="20"/>
            </w:pPr>
            <w:r>
              <w:rPr>
                <w:sz w:val="16"/>
              </w:rPr>
              <w:t>Moderate</w:t>
            </w:r>
          </w:p>
        </w:tc>
        <w:tc>
          <w:tcPr>
            <w:tcW w:type="dxa" w:w="2556"/>
          </w:tcPr>
          <w:p>
            <w:pPr>
              <w:spacing w:after="20"/>
            </w:pPr>
            <w:r>
              <w:rPr>
                <w:sz w:val="16"/>
              </w:rPr>
              <w:t>Compare CAD prevalence for hypertension status.</w:t>
            </w:r>
          </w:p>
        </w:tc>
      </w:tr>
      <w:tr>
        <w:tc>
          <w:tcPr>
            <w:tcW w:type="dxa" w:w="2556"/>
            <w:shd w:fill="F1F6F7"/>
          </w:tcPr>
          <w:p>
            <w:pPr>
              <w:spacing w:after="20"/>
            </w:pPr>
            <w:r>
              <w:rPr>
                <w:sz w:val="16"/>
              </w:rPr>
              <w:t>14</w:t>
            </w:r>
          </w:p>
        </w:tc>
        <w:tc>
          <w:tcPr>
            <w:tcW w:type="dxa" w:w="2556"/>
            <w:shd w:fill="F1F6F7"/>
          </w:tcPr>
          <w:p>
            <w:pPr>
              <w:spacing w:after="20"/>
            </w:pPr>
            <w:r>
              <w:rPr>
                <w:sz w:val="16"/>
              </w:rPr>
              <w:t>Neut</w:t>
            </w:r>
          </w:p>
        </w:tc>
        <w:tc>
          <w:tcPr>
            <w:tcW w:type="dxa" w:w="2556"/>
            <w:shd w:fill="F1F6F7"/>
          </w:tcPr>
          <w:p>
            <w:pPr>
              <w:spacing w:after="20"/>
            </w:pPr>
            <w:r>
              <w:rPr>
                <w:sz w:val="16"/>
              </w:rPr>
              <w:t>Moderate</w:t>
            </w:r>
          </w:p>
        </w:tc>
        <w:tc>
          <w:tcPr>
            <w:tcW w:type="dxa" w:w="2556"/>
            <w:shd w:fill="F1F6F7"/>
          </w:tcPr>
          <w:p>
            <w:pPr>
              <w:spacing w:after="20"/>
            </w:pPr>
            <w:r>
              <w:rPr>
                <w:sz w:val="16"/>
              </w:rPr>
              <w:t>Examine neutrophil counts and blood-count redundancy.</w:t>
            </w:r>
          </w:p>
        </w:tc>
      </w:tr>
      <w:tr>
        <w:tc>
          <w:tcPr>
            <w:tcW w:type="dxa" w:w="2556"/>
          </w:tcPr>
          <w:p>
            <w:pPr>
              <w:spacing w:after="20"/>
            </w:pPr>
            <w:r>
              <w:rPr>
                <w:sz w:val="16"/>
              </w:rPr>
              <w:t>15</w:t>
            </w:r>
          </w:p>
        </w:tc>
        <w:tc>
          <w:tcPr>
            <w:tcW w:type="dxa" w:w="2556"/>
          </w:tcPr>
          <w:p>
            <w:pPr>
              <w:spacing w:after="20"/>
            </w:pPr>
            <w:r>
              <w:rPr>
                <w:sz w:val="16"/>
              </w:rPr>
              <w:t>Nonanginal</w:t>
            </w:r>
          </w:p>
        </w:tc>
        <w:tc>
          <w:tcPr>
            <w:tcW w:type="dxa" w:w="2556"/>
          </w:tcPr>
          <w:p>
            <w:pPr>
              <w:spacing w:after="20"/>
            </w:pPr>
            <w:r>
              <w:rPr>
                <w:sz w:val="16"/>
              </w:rPr>
              <w:t>Moderate</w:t>
            </w:r>
          </w:p>
        </w:tc>
        <w:tc>
          <w:tcPr>
            <w:tcW w:type="dxa" w:w="2556"/>
          </w:tcPr>
          <w:p>
            <w:pPr>
              <w:spacing w:after="20"/>
            </w:pPr>
            <w:r>
              <w:rPr>
                <w:sz w:val="16"/>
              </w:rPr>
              <w:t>Investigate its relationship with the other chest-pain indicators.</w:t>
            </w:r>
          </w:p>
        </w:tc>
      </w:tr>
      <w:tr>
        <w:tc>
          <w:tcPr>
            <w:tcW w:type="dxa" w:w="2556"/>
            <w:shd w:fill="F1F6F7"/>
          </w:tcPr>
          <w:p>
            <w:pPr>
              <w:spacing w:after="20"/>
            </w:pPr>
            <w:r>
              <w:rPr>
                <w:sz w:val="16"/>
              </w:rPr>
              <w:t>16</w:t>
            </w:r>
          </w:p>
        </w:tc>
        <w:tc>
          <w:tcPr>
            <w:tcW w:type="dxa" w:w="2556"/>
            <w:shd w:fill="F1F6F7"/>
          </w:tcPr>
          <w:p>
            <w:pPr>
              <w:spacing w:after="20"/>
            </w:pPr>
            <w:r>
              <w:rPr>
                <w:sz w:val="16"/>
              </w:rPr>
              <w:t>DM</w:t>
            </w:r>
          </w:p>
        </w:tc>
        <w:tc>
          <w:tcPr>
            <w:tcW w:type="dxa" w:w="2556"/>
            <w:shd w:fill="F1F6F7"/>
          </w:tcPr>
          <w:p>
            <w:pPr>
              <w:spacing w:after="20"/>
            </w:pPr>
            <w:r>
              <w:rPr>
                <w:sz w:val="16"/>
              </w:rPr>
              <w:t>Moderate</w:t>
            </w:r>
          </w:p>
        </w:tc>
        <w:tc>
          <w:tcPr>
            <w:tcW w:type="dxa" w:w="2556"/>
            <w:shd w:fill="F1F6F7"/>
          </w:tcPr>
          <w:p>
            <w:pPr>
              <w:spacing w:after="20"/>
            </w:pPr>
            <w:r>
              <w:rPr>
                <w:sz w:val="16"/>
              </w:rPr>
              <w:t>Compare diabetes status across CAD groups.</w:t>
            </w:r>
          </w:p>
        </w:tc>
      </w:tr>
      <w:tr>
        <w:tc>
          <w:tcPr>
            <w:tcW w:type="dxa" w:w="2556"/>
          </w:tcPr>
          <w:p>
            <w:pPr>
              <w:spacing w:after="20"/>
            </w:pPr>
            <w:r>
              <w:rPr>
                <w:sz w:val="16"/>
              </w:rPr>
              <w:t>17</w:t>
            </w:r>
          </w:p>
        </w:tc>
        <w:tc>
          <w:tcPr>
            <w:tcW w:type="dxa" w:w="2556"/>
          </w:tcPr>
          <w:p>
            <w:pPr>
              <w:spacing w:after="20"/>
            </w:pPr>
            <w:r>
              <w:rPr>
                <w:sz w:val="16"/>
              </w:rPr>
              <w:t>VHD</w:t>
            </w:r>
          </w:p>
        </w:tc>
        <w:tc>
          <w:tcPr>
            <w:tcW w:type="dxa" w:w="2556"/>
          </w:tcPr>
          <w:p>
            <w:pPr>
              <w:spacing w:after="20"/>
            </w:pPr>
            <w:r>
              <w:rPr>
                <w:sz w:val="16"/>
              </w:rPr>
              <w:t>Moderate</w:t>
            </w:r>
          </w:p>
        </w:tc>
        <w:tc>
          <w:tcPr>
            <w:tcW w:type="dxa" w:w="2556"/>
          </w:tcPr>
          <w:p>
            <w:pPr>
              <w:spacing w:after="20"/>
            </w:pPr>
            <w:r>
              <w:rPr>
                <w:sz w:val="16"/>
              </w:rPr>
              <w:t>Examine the recorded valvular-heart-disease categories.</w:t>
            </w:r>
          </w:p>
        </w:tc>
      </w:tr>
      <w:tr>
        <w:tc>
          <w:tcPr>
            <w:tcW w:type="dxa" w:w="2556"/>
            <w:shd w:fill="F1F6F7"/>
          </w:tcPr>
          <w:p>
            <w:pPr>
              <w:spacing w:after="20"/>
            </w:pPr>
            <w:r>
              <w:rPr>
                <w:sz w:val="16"/>
              </w:rPr>
              <w:t>18</w:t>
            </w:r>
          </w:p>
        </w:tc>
        <w:tc>
          <w:tcPr>
            <w:tcW w:type="dxa" w:w="2556"/>
            <w:shd w:fill="F1F6F7"/>
          </w:tcPr>
          <w:p>
            <w:pPr>
              <w:spacing w:after="20"/>
            </w:pPr>
            <w:r>
              <w:rPr>
                <w:sz w:val="16"/>
              </w:rPr>
              <w:t>Tinversion</w:t>
            </w:r>
          </w:p>
        </w:tc>
        <w:tc>
          <w:tcPr>
            <w:tcW w:type="dxa" w:w="2556"/>
            <w:shd w:fill="F1F6F7"/>
          </w:tcPr>
          <w:p>
            <w:pPr>
              <w:spacing w:after="20"/>
            </w:pPr>
            <w:r>
              <w:rPr>
                <w:sz w:val="16"/>
              </w:rPr>
              <w:t>Moderate</w:t>
            </w:r>
          </w:p>
        </w:tc>
        <w:tc>
          <w:tcPr>
            <w:tcW w:type="dxa" w:w="2556"/>
            <w:shd w:fill="F1F6F7"/>
          </w:tcPr>
          <w:p>
            <w:pPr>
              <w:spacing w:after="20"/>
            </w:pPr>
            <w:r>
              <w:rPr>
                <w:sz w:val="16"/>
              </w:rPr>
              <w:t>Assess the ECG finding’s predictive contribution.</w:t>
            </w:r>
          </w:p>
        </w:tc>
      </w:tr>
    </w:tbl>
    <w:p>
      <w:pPr>
        <w:spacing w:after="80"/>
      </w:pPr>
      <w:r/>
    </w:p>
    <w:p>
      <w:pPr>
        <w:spacing w:after="80"/>
      </w:pPr>
      <w:r>
        <w:t>These priorities come from the observed dataset associations, not from a trained and validated predictive model. A feature may rank differently for LAD, LCX or RCA than it does for overall CAD.</w:t>
      </w:r>
    </w:p>
    <w:p>
      <w:pPr>
        <w:pStyle w:val="Heading2"/>
      </w:pPr>
      <w:r>
        <w:t>My recommendation for the first feature subset</w:t>
      </w:r>
    </w:p>
    <w:p>
      <w:pPr>
        <w:spacing w:after="80"/>
      </w:pPr>
      <w:r>
        <w:t>Start with the 18 features above, but do not permanently discard the remaining features yet. Train two feature-set variants:</w:t>
      </w:r>
    </w:p>
    <w:p>
      <w:pPr>
        <w:pStyle w:val="ListNumber"/>
        <w:spacing w:after="80"/>
      </w:pPr>
      <w:r>
        <w:t>A compact subset based on the screening analysis.</w:t>
      </w:r>
    </w:p>
    <w:p>
      <w:pPr>
        <w:pStyle w:val="ListNumber"/>
        <w:spacing w:after="80"/>
      </w:pPr>
      <w:r>
        <w:t>A full eligible feature set with the constant field removed and encodings corrected.</w:t>
      </w:r>
    </w:p>
    <w:p>
      <w:pPr>
        <w:spacing w:after="80"/>
      </w:pPr>
      <w:r>
        <w:t>Compare both under identical cross-validation folds. Feature selection must occur inside the training folds, not on the entire dataset before evaluation, to avoid optimistic performance estimates.</w:t>
      </w:r>
    </w:p>
    <w:p>
      <w:pPr>
        <w:pStyle w:val="Heading1"/>
      </w:pPr>
      <w:r>
        <w:t>5. Complete feature dictionary: abbreviations and extraction scope</w:t>
      </w:r>
    </w:p>
    <w:p>
      <w:pPr>
        <w:spacing w:after="80"/>
      </w:pPr>
      <w:r>
        <w:t>Your 55 candidate inputs fall into five groups. This is the feature inventory I would use for the preprocessing and EDA pipeline.</w:t>
      </w:r>
    </w:p>
    <w:p>
      <w:pPr>
        <w:pStyle w:val="Heading2"/>
      </w:pPr>
      <w:r>
        <w:t>A. Demographics and anthropometry</w:t>
      </w:r>
    </w:p>
    <w:tbl>
      <w:tblPr>
        <w:tblStyle w:val="TableGrid"/>
        <w:tblW w:type="auto" w:w="0"/>
        <w:tblLook w:firstColumn="1" w:firstRow="1" w:lastColumn="0" w:lastRow="0" w:noHBand="0" w:noVBand="1" w:val="04A0"/>
      </w:tblPr>
      <w:tblGrid>
        <w:gridCol w:w="5112"/>
        <w:gridCol w:w="5112"/>
      </w:tblGrid>
      <w:tr>
        <w:tc>
          <w:tcPr>
            <w:tcW w:type="dxa" w:w="5112"/>
            <w:shd w:fill="165669"/>
          </w:tcPr>
          <w:p>
            <w:r>
              <w:rPr>
                <w:b/>
                <w:color w:val="FFFFFF"/>
                <w:sz w:val="16"/>
              </w:rPr>
              <w:t>Feature</w:t>
            </w:r>
          </w:p>
        </w:tc>
        <w:tc>
          <w:tcPr>
            <w:tcW w:type="dxa" w:w="5112"/>
            <w:shd w:fill="165669"/>
          </w:tcPr>
          <w:p>
            <w:r>
              <w:rPr>
                <w:b/>
                <w:color w:val="FFFFFF"/>
                <w:sz w:val="16"/>
              </w:rPr>
              <w:t>Meaning / analysis</w:t>
            </w:r>
          </w:p>
        </w:tc>
      </w:tr>
      <w:tr>
        <w:tc>
          <w:tcPr>
            <w:tcW w:type="dxa" w:w="5112"/>
          </w:tcPr>
          <w:p>
            <w:pPr>
              <w:spacing w:after="20"/>
            </w:pPr>
            <w:r>
              <w:rPr>
                <w:sz w:val="16"/>
              </w:rPr>
              <w:t>Age</w:t>
            </w:r>
          </w:p>
        </w:tc>
        <w:tc>
          <w:tcPr>
            <w:tcW w:type="dxa" w:w="5112"/>
          </w:tcPr>
          <w:p>
            <w:pPr>
              <w:spacing w:after="20"/>
            </w:pPr>
            <w:r>
              <w:rPr>
                <w:sz w:val="16"/>
              </w:rPr>
              <w:t>Patient age; assess distribution and nonlinear effects.</w:t>
            </w:r>
          </w:p>
        </w:tc>
      </w:tr>
      <w:tr>
        <w:tc>
          <w:tcPr>
            <w:tcW w:type="dxa" w:w="5112"/>
            <w:shd w:fill="F1F6F7"/>
          </w:tcPr>
          <w:p>
            <w:pPr>
              <w:spacing w:after="20"/>
            </w:pPr>
            <w:r>
              <w:rPr>
                <w:sz w:val="16"/>
              </w:rPr>
              <w:t>Sex</w:t>
            </w:r>
          </w:p>
        </w:tc>
        <w:tc>
          <w:tcPr>
            <w:tcW w:type="dxa" w:w="5112"/>
            <w:shd w:fill="F1F6F7"/>
          </w:tcPr>
          <w:p>
            <w:pPr>
              <w:spacing w:after="20"/>
            </w:pPr>
            <w:r>
              <w:rPr>
                <w:sz w:val="16"/>
              </w:rPr>
              <w:t>Sex category; standardize Fmale only after verification.</w:t>
            </w:r>
          </w:p>
        </w:tc>
      </w:tr>
      <w:tr>
        <w:tc>
          <w:tcPr>
            <w:tcW w:type="dxa" w:w="5112"/>
          </w:tcPr>
          <w:p>
            <w:pPr>
              <w:spacing w:after="20"/>
            </w:pPr>
            <w:r>
              <w:rPr>
                <w:sz w:val="16"/>
              </w:rPr>
              <w:t>Weight</w:t>
            </w:r>
          </w:p>
        </w:tc>
        <w:tc>
          <w:tcPr>
            <w:tcW w:type="dxa" w:w="5112"/>
          </w:tcPr>
          <w:p>
            <w:pPr>
              <w:spacing w:after="20"/>
            </w:pPr>
            <w:r>
              <w:rPr>
                <w:sz w:val="16"/>
              </w:rPr>
              <w:t>Body weight; verify units.</w:t>
            </w:r>
          </w:p>
        </w:tc>
      </w:tr>
      <w:tr>
        <w:tc>
          <w:tcPr>
            <w:tcW w:type="dxa" w:w="5112"/>
            <w:shd w:fill="F1F6F7"/>
          </w:tcPr>
          <w:p>
            <w:pPr>
              <w:spacing w:after="20"/>
            </w:pPr>
            <w:r>
              <w:rPr>
                <w:sz w:val="16"/>
              </w:rPr>
              <w:t>Length</w:t>
            </w:r>
          </w:p>
        </w:tc>
        <w:tc>
          <w:tcPr>
            <w:tcW w:type="dxa" w:w="5112"/>
            <w:shd w:fill="F1F6F7"/>
          </w:tcPr>
          <w:p>
            <w:pPr>
              <w:spacing w:after="20"/>
            </w:pPr>
            <w:r>
              <w:rPr>
                <w:sz w:val="16"/>
              </w:rPr>
              <w:t>Recorded body length/height; verify units.</w:t>
            </w:r>
          </w:p>
        </w:tc>
      </w:tr>
      <w:tr>
        <w:tc>
          <w:tcPr>
            <w:tcW w:type="dxa" w:w="5112"/>
          </w:tcPr>
          <w:p>
            <w:pPr>
              <w:spacing w:after="20"/>
            </w:pPr>
            <w:r>
              <w:rPr>
                <w:sz w:val="16"/>
              </w:rPr>
              <w:t>BMI</w:t>
            </w:r>
          </w:p>
        </w:tc>
        <w:tc>
          <w:tcPr>
            <w:tcW w:type="dxa" w:w="5112"/>
          </w:tcPr>
          <w:p>
            <w:pPr>
              <w:spacing w:after="20"/>
            </w:pPr>
            <w:r>
              <w:rPr>
                <w:sz w:val="16"/>
              </w:rPr>
              <w:t>Body mass index; check whether it matches Weight and Length.</w:t>
            </w:r>
          </w:p>
        </w:tc>
      </w:tr>
    </w:tbl>
    <w:p>
      <w:pPr>
        <w:spacing w:after="80"/>
      </w:pPr>
      <w:r/>
    </w:p>
    <w:p>
      <w:pPr>
        <w:spacing w:after="80"/>
      </w:pPr>
      <w:r>
        <w:t>Feature engineering: validate BMI against the recorded weight and height. If BMI is calculated from those two fields, compare models using BMI versus Weight and Length to test whether the redundant representation helps. Do not automatically include all three.</w:t>
      </w:r>
    </w:p>
    <w:p>
      <w:pPr>
        <w:pStyle w:val="Heading2"/>
      </w:pPr>
      <w:r>
        <w:t>B. Medical history and clinical examination</w:t>
      </w:r>
    </w:p>
    <w:tbl>
      <w:tblPr>
        <w:tblStyle w:val="TableGrid"/>
        <w:tblW w:type="auto" w:w="0"/>
        <w:tblLook w:firstColumn="1" w:firstRow="1" w:lastColumn="0" w:lastRow="0" w:noHBand="0" w:noVBand="1" w:val="04A0"/>
      </w:tblPr>
      <w:tblGrid>
        <w:gridCol w:w="5112"/>
        <w:gridCol w:w="5112"/>
      </w:tblGrid>
      <w:tr>
        <w:tc>
          <w:tcPr>
            <w:tcW w:type="dxa" w:w="5112"/>
            <w:shd w:fill="165669"/>
          </w:tcPr>
          <w:p>
            <w:r>
              <w:rPr>
                <w:b/>
                <w:color w:val="FFFFFF"/>
                <w:sz w:val="16"/>
              </w:rPr>
              <w:t>Feature</w:t>
            </w:r>
          </w:p>
        </w:tc>
        <w:tc>
          <w:tcPr>
            <w:tcW w:type="dxa" w:w="5112"/>
            <w:shd w:fill="165669"/>
          </w:tcPr>
          <w:p>
            <w:r>
              <w:rPr>
                <w:b/>
                <w:color w:val="FFFFFF"/>
                <w:sz w:val="16"/>
              </w:rPr>
              <w:t>Meaning</w:t>
            </w:r>
          </w:p>
        </w:tc>
      </w:tr>
      <w:tr>
        <w:tc>
          <w:tcPr>
            <w:tcW w:type="dxa" w:w="5112"/>
          </w:tcPr>
          <w:p>
            <w:pPr>
              <w:spacing w:after="20"/>
            </w:pPr>
            <w:r>
              <w:rPr>
                <w:sz w:val="16"/>
              </w:rPr>
              <w:t>DM</w:t>
            </w:r>
          </w:p>
        </w:tc>
        <w:tc>
          <w:tcPr>
            <w:tcW w:type="dxa" w:w="5112"/>
          </w:tcPr>
          <w:p>
            <w:pPr>
              <w:spacing w:after="20"/>
            </w:pPr>
            <w:r>
              <w:rPr>
                <w:sz w:val="16"/>
              </w:rPr>
              <w:t>Diabetes mellitus</w:t>
            </w:r>
          </w:p>
        </w:tc>
      </w:tr>
      <w:tr>
        <w:tc>
          <w:tcPr>
            <w:tcW w:type="dxa" w:w="5112"/>
            <w:shd w:fill="F1F6F7"/>
          </w:tcPr>
          <w:p>
            <w:pPr>
              <w:spacing w:after="20"/>
            </w:pPr>
            <w:r>
              <w:rPr>
                <w:sz w:val="16"/>
              </w:rPr>
              <w:t>HTN</w:t>
            </w:r>
          </w:p>
        </w:tc>
        <w:tc>
          <w:tcPr>
            <w:tcW w:type="dxa" w:w="5112"/>
            <w:shd w:fill="F1F6F7"/>
          </w:tcPr>
          <w:p>
            <w:pPr>
              <w:spacing w:after="20"/>
            </w:pPr>
            <w:r>
              <w:rPr>
                <w:sz w:val="16"/>
              </w:rPr>
              <w:t>Hypertension</w:t>
            </w:r>
          </w:p>
        </w:tc>
      </w:tr>
      <w:tr>
        <w:tc>
          <w:tcPr>
            <w:tcW w:type="dxa" w:w="5112"/>
          </w:tcPr>
          <w:p>
            <w:pPr>
              <w:spacing w:after="20"/>
            </w:pPr>
            <w:r>
              <w:rPr>
                <w:sz w:val="16"/>
              </w:rPr>
              <w:t>Current Smoker</w:t>
            </w:r>
          </w:p>
        </w:tc>
        <w:tc>
          <w:tcPr>
            <w:tcW w:type="dxa" w:w="5112"/>
          </w:tcPr>
          <w:p>
            <w:pPr>
              <w:spacing w:after="20"/>
            </w:pPr>
            <w:r>
              <w:rPr>
                <w:sz w:val="16"/>
              </w:rPr>
              <w:t>Current smoking status</w:t>
            </w:r>
          </w:p>
        </w:tc>
      </w:tr>
      <w:tr>
        <w:tc>
          <w:tcPr>
            <w:tcW w:type="dxa" w:w="5112"/>
            <w:shd w:fill="F1F6F7"/>
          </w:tcPr>
          <w:p>
            <w:pPr>
              <w:spacing w:after="20"/>
            </w:pPr>
            <w:r>
              <w:rPr>
                <w:sz w:val="16"/>
              </w:rPr>
              <w:t>EX-Smoker</w:t>
            </w:r>
          </w:p>
        </w:tc>
        <w:tc>
          <w:tcPr>
            <w:tcW w:type="dxa" w:w="5112"/>
            <w:shd w:fill="F1F6F7"/>
          </w:tcPr>
          <w:p>
            <w:pPr>
              <w:spacing w:after="20"/>
            </w:pPr>
            <w:r>
              <w:rPr>
                <w:sz w:val="16"/>
              </w:rPr>
              <w:t>Former smoking status</w:t>
            </w:r>
          </w:p>
        </w:tc>
      </w:tr>
      <w:tr>
        <w:tc>
          <w:tcPr>
            <w:tcW w:type="dxa" w:w="5112"/>
          </w:tcPr>
          <w:p>
            <w:pPr>
              <w:spacing w:after="20"/>
            </w:pPr>
            <w:r>
              <w:rPr>
                <w:sz w:val="16"/>
              </w:rPr>
              <w:t>FH</w:t>
            </w:r>
          </w:p>
        </w:tc>
        <w:tc>
          <w:tcPr>
            <w:tcW w:type="dxa" w:w="5112"/>
          </w:tcPr>
          <w:p>
            <w:pPr>
              <w:spacing w:after="20"/>
            </w:pPr>
            <w:r>
              <w:rPr>
                <w:sz w:val="16"/>
              </w:rPr>
              <w:t>Family history; verify the dataset’s exact definition</w:t>
            </w:r>
          </w:p>
        </w:tc>
      </w:tr>
      <w:tr>
        <w:tc>
          <w:tcPr>
            <w:tcW w:type="dxa" w:w="5112"/>
            <w:shd w:fill="F1F6F7"/>
          </w:tcPr>
          <w:p>
            <w:pPr>
              <w:spacing w:after="20"/>
            </w:pPr>
            <w:r>
              <w:rPr>
                <w:sz w:val="16"/>
              </w:rPr>
              <w:t>Obesity</w:t>
            </w:r>
          </w:p>
        </w:tc>
        <w:tc>
          <w:tcPr>
            <w:tcW w:type="dxa" w:w="5112"/>
            <w:shd w:fill="F1F6F7"/>
          </w:tcPr>
          <w:p>
            <w:pPr>
              <w:spacing w:after="20"/>
            </w:pPr>
            <w:r>
              <w:rPr>
                <w:sz w:val="16"/>
              </w:rPr>
              <w:t>Obesity indicator</w:t>
            </w:r>
          </w:p>
        </w:tc>
      </w:tr>
      <w:tr>
        <w:tc>
          <w:tcPr>
            <w:tcW w:type="dxa" w:w="5112"/>
          </w:tcPr>
          <w:p>
            <w:pPr>
              <w:spacing w:after="20"/>
            </w:pPr>
            <w:r>
              <w:rPr>
                <w:sz w:val="16"/>
              </w:rPr>
              <w:t>CRF</w:t>
            </w:r>
          </w:p>
        </w:tc>
        <w:tc>
          <w:tcPr>
            <w:tcW w:type="dxa" w:w="5112"/>
          </w:tcPr>
          <w:p>
            <w:pPr>
              <w:spacing w:after="20"/>
            </w:pPr>
            <w:r>
              <w:rPr>
                <w:sz w:val="16"/>
              </w:rPr>
              <w:t>Chronic renal failure</w:t>
            </w:r>
          </w:p>
        </w:tc>
      </w:tr>
      <w:tr>
        <w:tc>
          <w:tcPr>
            <w:tcW w:type="dxa" w:w="5112"/>
            <w:shd w:fill="F1F6F7"/>
          </w:tcPr>
          <w:p>
            <w:pPr>
              <w:spacing w:after="20"/>
            </w:pPr>
            <w:r>
              <w:rPr>
                <w:sz w:val="16"/>
              </w:rPr>
              <w:t>CVA</w:t>
            </w:r>
          </w:p>
        </w:tc>
        <w:tc>
          <w:tcPr>
            <w:tcW w:type="dxa" w:w="5112"/>
            <w:shd w:fill="F1F6F7"/>
          </w:tcPr>
          <w:p>
            <w:pPr>
              <w:spacing w:after="20"/>
            </w:pPr>
            <w:r>
              <w:rPr>
                <w:sz w:val="16"/>
              </w:rPr>
              <w:t>Cerebrovascular accident history</w:t>
            </w:r>
          </w:p>
        </w:tc>
      </w:tr>
      <w:tr>
        <w:tc>
          <w:tcPr>
            <w:tcW w:type="dxa" w:w="5112"/>
          </w:tcPr>
          <w:p>
            <w:pPr>
              <w:spacing w:after="20"/>
            </w:pPr>
            <w:r>
              <w:rPr>
                <w:sz w:val="16"/>
              </w:rPr>
              <w:t>Airway disease</w:t>
            </w:r>
          </w:p>
        </w:tc>
        <w:tc>
          <w:tcPr>
            <w:tcW w:type="dxa" w:w="5112"/>
          </w:tcPr>
          <w:p>
            <w:pPr>
              <w:spacing w:after="20"/>
            </w:pPr>
            <w:r>
              <w:rPr>
                <w:sz w:val="16"/>
              </w:rPr>
              <w:t>Recorded airway disease</w:t>
            </w:r>
          </w:p>
        </w:tc>
      </w:tr>
      <w:tr>
        <w:tc>
          <w:tcPr>
            <w:tcW w:type="dxa" w:w="5112"/>
            <w:shd w:fill="F1F6F7"/>
          </w:tcPr>
          <w:p>
            <w:pPr>
              <w:spacing w:after="20"/>
            </w:pPr>
            <w:r>
              <w:rPr>
                <w:sz w:val="16"/>
              </w:rPr>
              <w:t>Thyroid Disease</w:t>
            </w:r>
          </w:p>
        </w:tc>
        <w:tc>
          <w:tcPr>
            <w:tcW w:type="dxa" w:w="5112"/>
            <w:shd w:fill="F1F6F7"/>
          </w:tcPr>
          <w:p>
            <w:pPr>
              <w:spacing w:after="20"/>
            </w:pPr>
            <w:r>
              <w:rPr>
                <w:sz w:val="16"/>
              </w:rPr>
              <w:t>Thyroid disease</w:t>
            </w:r>
          </w:p>
        </w:tc>
      </w:tr>
      <w:tr>
        <w:tc>
          <w:tcPr>
            <w:tcW w:type="dxa" w:w="5112"/>
          </w:tcPr>
          <w:p>
            <w:pPr>
              <w:spacing w:after="20"/>
            </w:pPr>
            <w:r>
              <w:rPr>
                <w:sz w:val="16"/>
              </w:rPr>
              <w:t>CHF</w:t>
            </w:r>
          </w:p>
        </w:tc>
        <w:tc>
          <w:tcPr>
            <w:tcW w:type="dxa" w:w="5112"/>
          </w:tcPr>
          <w:p>
            <w:pPr>
              <w:spacing w:after="20"/>
            </w:pPr>
            <w:r>
              <w:rPr>
                <w:sz w:val="16"/>
              </w:rPr>
              <w:t>Congestive heart failure</w:t>
            </w:r>
          </w:p>
        </w:tc>
      </w:tr>
      <w:tr>
        <w:tc>
          <w:tcPr>
            <w:tcW w:type="dxa" w:w="5112"/>
            <w:shd w:fill="F1F6F7"/>
          </w:tcPr>
          <w:p>
            <w:pPr>
              <w:spacing w:after="20"/>
            </w:pPr>
            <w:r>
              <w:rPr>
                <w:sz w:val="16"/>
              </w:rPr>
              <w:t>DLP</w:t>
            </w:r>
          </w:p>
        </w:tc>
        <w:tc>
          <w:tcPr>
            <w:tcW w:type="dxa" w:w="5112"/>
            <w:shd w:fill="F1F6F7"/>
          </w:tcPr>
          <w:p>
            <w:pPr>
              <w:spacing w:after="20"/>
            </w:pPr>
            <w:r>
              <w:rPr>
                <w:sz w:val="16"/>
              </w:rPr>
              <w:t>Dyslipidemia</w:t>
            </w:r>
          </w:p>
        </w:tc>
      </w:tr>
      <w:tr>
        <w:tc>
          <w:tcPr>
            <w:tcW w:type="dxa" w:w="5112"/>
          </w:tcPr>
          <w:p>
            <w:pPr>
              <w:spacing w:after="20"/>
            </w:pPr>
            <w:r>
              <w:rPr>
                <w:sz w:val="16"/>
              </w:rPr>
              <w:t>BP</w:t>
            </w:r>
          </w:p>
        </w:tc>
        <w:tc>
          <w:tcPr>
            <w:tcW w:type="dxa" w:w="5112"/>
          </w:tcPr>
          <w:p>
            <w:pPr>
              <w:spacing w:after="20"/>
            </w:pPr>
            <w:r>
              <w:rPr>
                <w:sz w:val="16"/>
              </w:rPr>
              <w:t>Blood pressure measurement; confirm which pressure and units</w:t>
            </w:r>
          </w:p>
        </w:tc>
      </w:tr>
      <w:tr>
        <w:tc>
          <w:tcPr>
            <w:tcW w:type="dxa" w:w="5112"/>
            <w:shd w:fill="F1F6F7"/>
          </w:tcPr>
          <w:p>
            <w:pPr>
              <w:spacing w:after="20"/>
            </w:pPr>
            <w:r>
              <w:rPr>
                <w:sz w:val="16"/>
              </w:rPr>
              <w:t>PR</w:t>
            </w:r>
          </w:p>
        </w:tc>
        <w:tc>
          <w:tcPr>
            <w:tcW w:type="dxa" w:w="5112"/>
            <w:shd w:fill="F1F6F7"/>
          </w:tcPr>
          <w:p>
            <w:pPr>
              <w:spacing w:after="20"/>
            </w:pPr>
            <w:r>
              <w:rPr>
                <w:sz w:val="16"/>
              </w:rPr>
              <w:t>Pulse rate</w:t>
            </w:r>
          </w:p>
        </w:tc>
      </w:tr>
      <w:tr>
        <w:tc>
          <w:tcPr>
            <w:tcW w:type="dxa" w:w="5112"/>
          </w:tcPr>
          <w:p>
            <w:pPr>
              <w:spacing w:after="20"/>
            </w:pPr>
            <w:r>
              <w:rPr>
                <w:sz w:val="16"/>
              </w:rPr>
              <w:t>Edema</w:t>
            </w:r>
          </w:p>
        </w:tc>
        <w:tc>
          <w:tcPr>
            <w:tcW w:type="dxa" w:w="5112"/>
          </w:tcPr>
          <w:p>
            <w:pPr>
              <w:spacing w:after="20"/>
            </w:pPr>
            <w:r>
              <w:rPr>
                <w:sz w:val="16"/>
              </w:rPr>
              <w:t>Edema finding</w:t>
            </w:r>
          </w:p>
        </w:tc>
      </w:tr>
      <w:tr>
        <w:tc>
          <w:tcPr>
            <w:tcW w:type="dxa" w:w="5112"/>
            <w:shd w:fill="F1F6F7"/>
          </w:tcPr>
          <w:p>
            <w:pPr>
              <w:spacing w:after="20"/>
            </w:pPr>
            <w:r>
              <w:rPr>
                <w:sz w:val="16"/>
              </w:rPr>
              <w:t>Weak Peripheral Pulse</w:t>
            </w:r>
          </w:p>
        </w:tc>
        <w:tc>
          <w:tcPr>
            <w:tcW w:type="dxa" w:w="5112"/>
            <w:shd w:fill="F1F6F7"/>
          </w:tcPr>
          <w:p>
            <w:pPr>
              <w:spacing w:after="20"/>
            </w:pPr>
            <w:r>
              <w:rPr>
                <w:sz w:val="16"/>
              </w:rPr>
              <w:t>Peripheral pulse finding</w:t>
            </w:r>
          </w:p>
        </w:tc>
      </w:tr>
      <w:tr>
        <w:tc>
          <w:tcPr>
            <w:tcW w:type="dxa" w:w="5112"/>
          </w:tcPr>
          <w:p>
            <w:pPr>
              <w:spacing w:after="20"/>
            </w:pPr>
            <w:r>
              <w:rPr>
                <w:sz w:val="16"/>
              </w:rPr>
              <w:t>Lung rales</w:t>
            </w:r>
          </w:p>
        </w:tc>
        <w:tc>
          <w:tcPr>
            <w:tcW w:type="dxa" w:w="5112"/>
          </w:tcPr>
          <w:p>
            <w:pPr>
              <w:spacing w:after="20"/>
            </w:pPr>
            <w:r>
              <w:rPr>
                <w:sz w:val="16"/>
              </w:rPr>
              <w:t>Lung auscultation finding</w:t>
            </w:r>
          </w:p>
        </w:tc>
      </w:tr>
      <w:tr>
        <w:tc>
          <w:tcPr>
            <w:tcW w:type="dxa" w:w="5112"/>
            <w:shd w:fill="F1F6F7"/>
          </w:tcPr>
          <w:p>
            <w:pPr>
              <w:spacing w:after="20"/>
            </w:pPr>
            <w:r>
              <w:rPr>
                <w:sz w:val="16"/>
              </w:rPr>
              <w:t>Systolic Murmur</w:t>
            </w:r>
          </w:p>
        </w:tc>
        <w:tc>
          <w:tcPr>
            <w:tcW w:type="dxa" w:w="5112"/>
            <w:shd w:fill="F1F6F7"/>
          </w:tcPr>
          <w:p>
            <w:pPr>
              <w:spacing w:after="20"/>
            </w:pPr>
            <w:r>
              <w:rPr>
                <w:sz w:val="16"/>
              </w:rPr>
              <w:t>Systolic murmur</w:t>
            </w:r>
          </w:p>
        </w:tc>
      </w:tr>
      <w:tr>
        <w:tc>
          <w:tcPr>
            <w:tcW w:type="dxa" w:w="5112"/>
          </w:tcPr>
          <w:p>
            <w:pPr>
              <w:spacing w:after="20"/>
            </w:pPr>
            <w:r>
              <w:rPr>
                <w:sz w:val="16"/>
              </w:rPr>
              <w:t>Diastolic Murmur</w:t>
            </w:r>
          </w:p>
        </w:tc>
        <w:tc>
          <w:tcPr>
            <w:tcW w:type="dxa" w:w="5112"/>
          </w:tcPr>
          <w:p>
            <w:pPr>
              <w:spacing w:after="20"/>
            </w:pPr>
            <w:r>
              <w:rPr>
                <w:sz w:val="16"/>
              </w:rPr>
              <w:t>Diastolic murmur</w:t>
            </w:r>
          </w:p>
        </w:tc>
      </w:tr>
    </w:tbl>
    <w:p>
      <w:pPr>
        <w:spacing w:after="80"/>
      </w:pPr>
      <w:r/>
    </w:p>
    <w:p>
      <w:pPr>
        <w:spacing w:after="80"/>
      </w:pPr>
      <w:r>
        <w:t>Feature engineering: retain binary findings as categorical/binary features, inspect rare positive categories, and avoid treating missing clinical findings as normal. Rare categories may be informative but can also create unstable model behaviour.</w:t>
      </w:r>
    </w:p>
    <w:p>
      <w:pPr>
        <w:pStyle w:val="Heading2"/>
      </w:pPr>
      <w:r>
        <w:t>C. Symptoms and ECG</w:t>
      </w:r>
    </w:p>
    <w:tbl>
      <w:tblPr>
        <w:tblStyle w:val="TableGrid"/>
        <w:tblW w:type="auto" w:w="0"/>
        <w:tblLook w:firstColumn="1" w:firstRow="1" w:lastColumn="0" w:lastRow="0" w:noHBand="0" w:noVBand="1" w:val="04A0"/>
      </w:tblPr>
      <w:tblGrid>
        <w:gridCol w:w="5112"/>
        <w:gridCol w:w="5112"/>
      </w:tblGrid>
      <w:tr>
        <w:tc>
          <w:tcPr>
            <w:tcW w:type="dxa" w:w="5112"/>
            <w:shd w:fill="165669"/>
          </w:tcPr>
          <w:p>
            <w:r>
              <w:rPr>
                <w:b/>
                <w:color w:val="FFFFFF"/>
                <w:sz w:val="16"/>
              </w:rPr>
              <w:t>Feature</w:t>
            </w:r>
          </w:p>
        </w:tc>
        <w:tc>
          <w:tcPr>
            <w:tcW w:type="dxa" w:w="5112"/>
            <w:shd w:fill="165669"/>
          </w:tcPr>
          <w:p>
            <w:r>
              <w:rPr>
                <w:b/>
                <w:color w:val="FFFFFF"/>
                <w:sz w:val="16"/>
              </w:rPr>
              <w:t>Meaning</w:t>
            </w:r>
          </w:p>
        </w:tc>
      </w:tr>
      <w:tr>
        <w:tc>
          <w:tcPr>
            <w:tcW w:type="dxa" w:w="5112"/>
          </w:tcPr>
          <w:p>
            <w:pPr>
              <w:spacing w:after="20"/>
            </w:pPr>
            <w:r>
              <w:rPr>
                <w:sz w:val="16"/>
              </w:rPr>
              <w:t>Typical Chest Pain</w:t>
            </w:r>
          </w:p>
        </w:tc>
        <w:tc>
          <w:tcPr>
            <w:tcW w:type="dxa" w:w="5112"/>
          </w:tcPr>
          <w:p>
            <w:pPr>
              <w:spacing w:after="20"/>
            </w:pPr>
            <w:r>
              <w:rPr>
                <w:sz w:val="16"/>
              </w:rPr>
              <w:t>Typical chest-pain indicator</w:t>
            </w:r>
          </w:p>
        </w:tc>
      </w:tr>
      <w:tr>
        <w:tc>
          <w:tcPr>
            <w:tcW w:type="dxa" w:w="5112"/>
            <w:shd w:fill="F1F6F7"/>
          </w:tcPr>
          <w:p>
            <w:pPr>
              <w:spacing w:after="20"/>
            </w:pPr>
            <w:r>
              <w:rPr>
                <w:sz w:val="16"/>
              </w:rPr>
              <w:t>Dyspnea</w:t>
            </w:r>
          </w:p>
        </w:tc>
        <w:tc>
          <w:tcPr>
            <w:tcW w:type="dxa" w:w="5112"/>
            <w:shd w:fill="F1F6F7"/>
          </w:tcPr>
          <w:p>
            <w:pPr>
              <w:spacing w:after="20"/>
            </w:pPr>
            <w:r>
              <w:rPr>
                <w:sz w:val="16"/>
              </w:rPr>
              <w:t>Breathlessness</w:t>
            </w:r>
          </w:p>
        </w:tc>
      </w:tr>
      <w:tr>
        <w:tc>
          <w:tcPr>
            <w:tcW w:type="dxa" w:w="5112"/>
          </w:tcPr>
          <w:p>
            <w:pPr>
              <w:spacing w:after="20"/>
            </w:pPr>
            <w:r>
              <w:rPr>
                <w:sz w:val="16"/>
              </w:rPr>
              <w:t>Function Class</w:t>
            </w:r>
          </w:p>
        </w:tc>
        <w:tc>
          <w:tcPr>
            <w:tcW w:type="dxa" w:w="5112"/>
          </w:tcPr>
          <w:p>
            <w:pPr>
              <w:spacing w:after="20"/>
            </w:pPr>
            <w:r>
              <w:rPr>
                <w:sz w:val="16"/>
              </w:rPr>
              <w:t>Functional classification; verify coding</w:t>
            </w:r>
          </w:p>
        </w:tc>
      </w:tr>
      <w:tr>
        <w:tc>
          <w:tcPr>
            <w:tcW w:type="dxa" w:w="5112"/>
            <w:shd w:fill="F1F6F7"/>
          </w:tcPr>
          <w:p>
            <w:pPr>
              <w:spacing w:after="20"/>
            </w:pPr>
            <w:r>
              <w:rPr>
                <w:sz w:val="16"/>
              </w:rPr>
              <w:t>Atypical</w:t>
            </w:r>
          </w:p>
        </w:tc>
        <w:tc>
          <w:tcPr>
            <w:tcW w:type="dxa" w:w="5112"/>
            <w:shd w:fill="F1F6F7"/>
          </w:tcPr>
          <w:p>
            <w:pPr>
              <w:spacing w:after="20"/>
            </w:pPr>
            <w:r>
              <w:rPr>
                <w:sz w:val="16"/>
              </w:rPr>
              <w:t>Atypical chest-pain indicator</w:t>
            </w:r>
          </w:p>
        </w:tc>
      </w:tr>
      <w:tr>
        <w:tc>
          <w:tcPr>
            <w:tcW w:type="dxa" w:w="5112"/>
          </w:tcPr>
          <w:p>
            <w:pPr>
              <w:spacing w:after="20"/>
            </w:pPr>
            <w:r>
              <w:rPr>
                <w:sz w:val="16"/>
              </w:rPr>
              <w:t>Nonanginal</w:t>
            </w:r>
          </w:p>
        </w:tc>
        <w:tc>
          <w:tcPr>
            <w:tcW w:type="dxa" w:w="5112"/>
          </w:tcPr>
          <w:p>
            <w:pPr>
              <w:spacing w:after="20"/>
            </w:pPr>
            <w:r>
              <w:rPr>
                <w:sz w:val="16"/>
              </w:rPr>
              <w:t>Nonanginal chest-pain indicator</w:t>
            </w:r>
          </w:p>
        </w:tc>
      </w:tr>
      <w:tr>
        <w:tc>
          <w:tcPr>
            <w:tcW w:type="dxa" w:w="5112"/>
            <w:shd w:fill="F1F6F7"/>
          </w:tcPr>
          <w:p>
            <w:pPr>
              <w:spacing w:after="20"/>
            </w:pPr>
            <w:r>
              <w:rPr>
                <w:sz w:val="16"/>
              </w:rPr>
              <w:t>Exertional CP</w:t>
            </w:r>
          </w:p>
        </w:tc>
        <w:tc>
          <w:tcPr>
            <w:tcW w:type="dxa" w:w="5112"/>
            <w:shd w:fill="F1F6F7"/>
          </w:tcPr>
          <w:p>
            <w:pPr>
              <w:spacing w:after="20"/>
            </w:pPr>
            <w:r>
              <w:rPr>
                <w:sz w:val="16"/>
              </w:rPr>
              <w:t>Exertional chest pain; constant in this sheet</w:t>
            </w:r>
          </w:p>
        </w:tc>
      </w:tr>
      <w:tr>
        <w:tc>
          <w:tcPr>
            <w:tcW w:type="dxa" w:w="5112"/>
          </w:tcPr>
          <w:p>
            <w:pPr>
              <w:spacing w:after="20"/>
            </w:pPr>
            <w:r>
              <w:rPr>
                <w:sz w:val="16"/>
              </w:rPr>
              <w:t>LowTH Ang</w:t>
            </w:r>
          </w:p>
        </w:tc>
        <w:tc>
          <w:tcPr>
            <w:tcW w:type="dxa" w:w="5112"/>
          </w:tcPr>
          <w:p>
            <w:pPr>
              <w:spacing w:after="20"/>
            </w:pPr>
            <w:r>
              <w:rPr>
                <w:sz w:val="16"/>
              </w:rPr>
              <w:t>Low-threshold angina; verify exact source definition</w:t>
            </w:r>
          </w:p>
        </w:tc>
      </w:tr>
      <w:tr>
        <w:tc>
          <w:tcPr>
            <w:tcW w:type="dxa" w:w="5112"/>
            <w:shd w:fill="F1F6F7"/>
          </w:tcPr>
          <w:p>
            <w:pPr>
              <w:spacing w:after="20"/>
            </w:pPr>
            <w:r>
              <w:rPr>
                <w:sz w:val="16"/>
              </w:rPr>
              <w:t>Q Wave</w:t>
            </w:r>
          </w:p>
        </w:tc>
        <w:tc>
          <w:tcPr>
            <w:tcW w:type="dxa" w:w="5112"/>
            <w:shd w:fill="F1F6F7"/>
          </w:tcPr>
          <w:p>
            <w:pPr>
              <w:spacing w:after="20"/>
            </w:pPr>
            <w:r>
              <w:rPr>
                <w:sz w:val="16"/>
              </w:rPr>
              <w:t>ECG Q-wave indicator</w:t>
            </w:r>
          </w:p>
        </w:tc>
      </w:tr>
      <w:tr>
        <w:tc>
          <w:tcPr>
            <w:tcW w:type="dxa" w:w="5112"/>
          </w:tcPr>
          <w:p>
            <w:pPr>
              <w:spacing w:after="20"/>
            </w:pPr>
            <w:r>
              <w:rPr>
                <w:sz w:val="16"/>
              </w:rPr>
              <w:t>St Elevation</w:t>
            </w:r>
          </w:p>
        </w:tc>
        <w:tc>
          <w:tcPr>
            <w:tcW w:type="dxa" w:w="5112"/>
          </w:tcPr>
          <w:p>
            <w:pPr>
              <w:spacing w:after="20"/>
            </w:pPr>
            <w:r>
              <w:rPr>
                <w:sz w:val="16"/>
              </w:rPr>
              <w:t>ST-segment elevation</w:t>
            </w:r>
          </w:p>
        </w:tc>
      </w:tr>
      <w:tr>
        <w:tc>
          <w:tcPr>
            <w:tcW w:type="dxa" w:w="5112"/>
            <w:shd w:fill="F1F6F7"/>
          </w:tcPr>
          <w:p>
            <w:pPr>
              <w:spacing w:after="20"/>
            </w:pPr>
            <w:r>
              <w:rPr>
                <w:sz w:val="16"/>
              </w:rPr>
              <w:t>St Depression</w:t>
            </w:r>
          </w:p>
        </w:tc>
        <w:tc>
          <w:tcPr>
            <w:tcW w:type="dxa" w:w="5112"/>
            <w:shd w:fill="F1F6F7"/>
          </w:tcPr>
          <w:p>
            <w:pPr>
              <w:spacing w:after="20"/>
            </w:pPr>
            <w:r>
              <w:rPr>
                <w:sz w:val="16"/>
              </w:rPr>
              <w:t>ST-segment depression</w:t>
            </w:r>
          </w:p>
        </w:tc>
      </w:tr>
      <w:tr>
        <w:tc>
          <w:tcPr>
            <w:tcW w:type="dxa" w:w="5112"/>
          </w:tcPr>
          <w:p>
            <w:pPr>
              <w:spacing w:after="20"/>
            </w:pPr>
            <w:r>
              <w:rPr>
                <w:sz w:val="16"/>
              </w:rPr>
              <w:t>Tinversion</w:t>
            </w:r>
          </w:p>
        </w:tc>
        <w:tc>
          <w:tcPr>
            <w:tcW w:type="dxa" w:w="5112"/>
          </w:tcPr>
          <w:p>
            <w:pPr>
              <w:spacing w:after="20"/>
            </w:pPr>
            <w:r>
              <w:rPr>
                <w:sz w:val="16"/>
              </w:rPr>
              <w:t>T-wave inversion</w:t>
            </w:r>
          </w:p>
        </w:tc>
      </w:tr>
      <w:tr>
        <w:tc>
          <w:tcPr>
            <w:tcW w:type="dxa" w:w="5112"/>
            <w:shd w:fill="F1F6F7"/>
          </w:tcPr>
          <w:p>
            <w:pPr>
              <w:spacing w:after="20"/>
            </w:pPr>
            <w:r>
              <w:rPr>
                <w:sz w:val="16"/>
              </w:rPr>
              <w:t>LVH</w:t>
            </w:r>
          </w:p>
        </w:tc>
        <w:tc>
          <w:tcPr>
            <w:tcW w:type="dxa" w:w="5112"/>
            <w:shd w:fill="F1F6F7"/>
          </w:tcPr>
          <w:p>
            <w:pPr>
              <w:spacing w:after="20"/>
            </w:pPr>
            <w:r>
              <w:rPr>
                <w:sz w:val="16"/>
              </w:rPr>
              <w:t>Left ventricular hypertrophy indicator</w:t>
            </w:r>
          </w:p>
        </w:tc>
      </w:tr>
      <w:tr>
        <w:tc>
          <w:tcPr>
            <w:tcW w:type="dxa" w:w="5112"/>
          </w:tcPr>
          <w:p>
            <w:pPr>
              <w:spacing w:after="20"/>
            </w:pPr>
            <w:r>
              <w:rPr>
                <w:sz w:val="16"/>
              </w:rPr>
              <w:t>Poor R Progression</w:t>
            </w:r>
          </w:p>
        </w:tc>
        <w:tc>
          <w:tcPr>
            <w:tcW w:type="dxa" w:w="5112"/>
          </w:tcPr>
          <w:p>
            <w:pPr>
              <w:spacing w:after="20"/>
            </w:pPr>
            <w:r>
              <w:rPr>
                <w:sz w:val="16"/>
              </w:rPr>
              <w:t>Poor R-wave progression</w:t>
            </w:r>
          </w:p>
        </w:tc>
      </w:tr>
      <w:tr>
        <w:tc>
          <w:tcPr>
            <w:tcW w:type="dxa" w:w="5112"/>
            <w:shd w:fill="F1F6F7"/>
          </w:tcPr>
          <w:p>
            <w:pPr>
              <w:spacing w:after="20"/>
            </w:pPr>
            <w:r>
              <w:rPr>
                <w:sz w:val="16"/>
              </w:rPr>
              <w:t>BBB</w:t>
            </w:r>
          </w:p>
        </w:tc>
        <w:tc>
          <w:tcPr>
            <w:tcW w:type="dxa" w:w="5112"/>
            <w:shd w:fill="F1F6F7"/>
          </w:tcPr>
          <w:p>
            <w:pPr>
              <w:spacing w:after="20"/>
            </w:pPr>
            <w:r>
              <w:rPr>
                <w:sz w:val="16"/>
              </w:rPr>
              <w:t>Bundle branch block category</w:t>
            </w:r>
          </w:p>
        </w:tc>
      </w:tr>
    </w:tbl>
    <w:p>
      <w:pPr>
        <w:spacing w:after="80"/>
      </w:pPr>
      <w:r/>
    </w:p>
    <w:p>
      <w:pPr>
        <w:spacing w:after="80"/>
      </w:pPr>
      <w:r>
        <w:t>Feature engineering: inspect the correlation and co-occurrence of the chest-pain fields. They may encode related symptom categories. Do not assume that they are mutually exclusive unless the data dictionary confirms it.</w:t>
      </w:r>
    </w:p>
    <w:p>
      <w:pPr>
        <w:pStyle w:val="Heading2"/>
      </w:pPr>
      <w:r>
        <w:t>D. Laboratory measurements</w:t>
      </w:r>
    </w:p>
    <w:tbl>
      <w:tblPr>
        <w:tblStyle w:val="TableGrid"/>
        <w:tblW w:type="auto" w:w="0"/>
        <w:tblLook w:firstColumn="1" w:firstRow="1" w:lastColumn="0" w:lastRow="0" w:noHBand="0" w:noVBand="1" w:val="04A0"/>
      </w:tblPr>
      <w:tblGrid>
        <w:gridCol w:w="5112"/>
        <w:gridCol w:w="5112"/>
      </w:tblGrid>
      <w:tr>
        <w:tc>
          <w:tcPr>
            <w:tcW w:type="dxa" w:w="5112"/>
            <w:shd w:fill="165669"/>
          </w:tcPr>
          <w:p>
            <w:r>
              <w:rPr>
                <w:b/>
                <w:color w:val="FFFFFF"/>
                <w:sz w:val="16"/>
              </w:rPr>
              <w:t>Feature</w:t>
            </w:r>
          </w:p>
        </w:tc>
        <w:tc>
          <w:tcPr>
            <w:tcW w:type="dxa" w:w="5112"/>
            <w:shd w:fill="165669"/>
          </w:tcPr>
          <w:p>
            <w:r>
              <w:rPr>
                <w:b/>
                <w:color w:val="FFFFFF"/>
                <w:sz w:val="16"/>
              </w:rPr>
              <w:t>Meaning</w:t>
            </w:r>
          </w:p>
        </w:tc>
      </w:tr>
      <w:tr>
        <w:tc>
          <w:tcPr>
            <w:tcW w:type="dxa" w:w="5112"/>
          </w:tcPr>
          <w:p>
            <w:pPr>
              <w:spacing w:after="20"/>
            </w:pPr>
            <w:r>
              <w:rPr>
                <w:sz w:val="16"/>
              </w:rPr>
              <w:t>FBS</w:t>
            </w:r>
          </w:p>
        </w:tc>
        <w:tc>
          <w:tcPr>
            <w:tcW w:type="dxa" w:w="5112"/>
          </w:tcPr>
          <w:p>
            <w:pPr>
              <w:spacing w:after="20"/>
            </w:pPr>
            <w:r>
              <w:rPr>
                <w:sz w:val="16"/>
              </w:rPr>
              <w:t>Fasting blood sugar</w:t>
            </w:r>
          </w:p>
        </w:tc>
      </w:tr>
      <w:tr>
        <w:tc>
          <w:tcPr>
            <w:tcW w:type="dxa" w:w="5112"/>
            <w:shd w:fill="F1F6F7"/>
          </w:tcPr>
          <w:p>
            <w:pPr>
              <w:spacing w:after="20"/>
            </w:pPr>
            <w:r>
              <w:rPr>
                <w:sz w:val="16"/>
              </w:rPr>
              <w:t>CR</w:t>
            </w:r>
          </w:p>
        </w:tc>
        <w:tc>
          <w:tcPr>
            <w:tcW w:type="dxa" w:w="5112"/>
            <w:shd w:fill="F1F6F7"/>
          </w:tcPr>
          <w:p>
            <w:pPr>
              <w:spacing w:after="20"/>
            </w:pPr>
            <w:r>
              <w:rPr>
                <w:sz w:val="16"/>
              </w:rPr>
              <w:t>Creatinine; verify source units</w:t>
            </w:r>
          </w:p>
        </w:tc>
      </w:tr>
      <w:tr>
        <w:tc>
          <w:tcPr>
            <w:tcW w:type="dxa" w:w="5112"/>
          </w:tcPr>
          <w:p>
            <w:pPr>
              <w:spacing w:after="20"/>
            </w:pPr>
            <w:r>
              <w:rPr>
                <w:sz w:val="16"/>
              </w:rPr>
              <w:t>TG</w:t>
            </w:r>
          </w:p>
        </w:tc>
        <w:tc>
          <w:tcPr>
            <w:tcW w:type="dxa" w:w="5112"/>
          </w:tcPr>
          <w:p>
            <w:pPr>
              <w:spacing w:after="20"/>
            </w:pPr>
            <w:r>
              <w:rPr>
                <w:sz w:val="16"/>
              </w:rPr>
              <w:t>Triglycerides</w:t>
            </w:r>
          </w:p>
        </w:tc>
      </w:tr>
      <w:tr>
        <w:tc>
          <w:tcPr>
            <w:tcW w:type="dxa" w:w="5112"/>
            <w:shd w:fill="F1F6F7"/>
          </w:tcPr>
          <w:p>
            <w:pPr>
              <w:spacing w:after="20"/>
            </w:pPr>
            <w:r>
              <w:rPr>
                <w:sz w:val="16"/>
              </w:rPr>
              <w:t>LDL</w:t>
            </w:r>
          </w:p>
        </w:tc>
        <w:tc>
          <w:tcPr>
            <w:tcW w:type="dxa" w:w="5112"/>
            <w:shd w:fill="F1F6F7"/>
          </w:tcPr>
          <w:p>
            <w:pPr>
              <w:spacing w:after="20"/>
            </w:pPr>
            <w:r>
              <w:rPr>
                <w:sz w:val="16"/>
              </w:rPr>
              <w:t>Low-density lipoprotein cholesterol</w:t>
            </w:r>
          </w:p>
        </w:tc>
      </w:tr>
      <w:tr>
        <w:tc>
          <w:tcPr>
            <w:tcW w:type="dxa" w:w="5112"/>
          </w:tcPr>
          <w:p>
            <w:pPr>
              <w:spacing w:after="20"/>
            </w:pPr>
            <w:r>
              <w:rPr>
                <w:sz w:val="16"/>
              </w:rPr>
              <w:t>HDL</w:t>
            </w:r>
          </w:p>
        </w:tc>
        <w:tc>
          <w:tcPr>
            <w:tcW w:type="dxa" w:w="5112"/>
          </w:tcPr>
          <w:p>
            <w:pPr>
              <w:spacing w:after="20"/>
            </w:pPr>
            <w:r>
              <w:rPr>
                <w:sz w:val="16"/>
              </w:rPr>
              <w:t>High-density lipoprotein cholesterol</w:t>
            </w:r>
          </w:p>
        </w:tc>
      </w:tr>
      <w:tr>
        <w:tc>
          <w:tcPr>
            <w:tcW w:type="dxa" w:w="5112"/>
            <w:shd w:fill="F1F6F7"/>
          </w:tcPr>
          <w:p>
            <w:pPr>
              <w:spacing w:after="20"/>
            </w:pPr>
            <w:r>
              <w:rPr>
                <w:sz w:val="16"/>
              </w:rPr>
              <w:t>BUN</w:t>
            </w:r>
          </w:p>
        </w:tc>
        <w:tc>
          <w:tcPr>
            <w:tcW w:type="dxa" w:w="5112"/>
            <w:shd w:fill="F1F6F7"/>
          </w:tcPr>
          <w:p>
            <w:pPr>
              <w:spacing w:after="20"/>
            </w:pPr>
            <w:r>
              <w:rPr>
                <w:sz w:val="16"/>
              </w:rPr>
              <w:t>Blood urea nitrogen</w:t>
            </w:r>
          </w:p>
        </w:tc>
      </w:tr>
      <w:tr>
        <w:tc>
          <w:tcPr>
            <w:tcW w:type="dxa" w:w="5112"/>
          </w:tcPr>
          <w:p>
            <w:pPr>
              <w:spacing w:after="20"/>
            </w:pPr>
            <w:r>
              <w:rPr>
                <w:sz w:val="16"/>
              </w:rPr>
              <w:t>ESR</w:t>
            </w:r>
          </w:p>
        </w:tc>
        <w:tc>
          <w:tcPr>
            <w:tcW w:type="dxa" w:w="5112"/>
          </w:tcPr>
          <w:p>
            <w:pPr>
              <w:spacing w:after="20"/>
            </w:pPr>
            <w:r>
              <w:rPr>
                <w:sz w:val="16"/>
              </w:rPr>
              <w:t>Erythrocyte sedimentation rate</w:t>
            </w:r>
          </w:p>
        </w:tc>
      </w:tr>
      <w:tr>
        <w:tc>
          <w:tcPr>
            <w:tcW w:type="dxa" w:w="5112"/>
            <w:shd w:fill="F1F6F7"/>
          </w:tcPr>
          <w:p>
            <w:pPr>
              <w:spacing w:after="20"/>
            </w:pPr>
            <w:r>
              <w:rPr>
                <w:sz w:val="16"/>
              </w:rPr>
              <w:t>HB</w:t>
            </w:r>
          </w:p>
        </w:tc>
        <w:tc>
          <w:tcPr>
            <w:tcW w:type="dxa" w:w="5112"/>
            <w:shd w:fill="F1F6F7"/>
          </w:tcPr>
          <w:p>
            <w:pPr>
              <w:spacing w:after="20"/>
            </w:pPr>
            <w:r>
              <w:rPr>
                <w:sz w:val="16"/>
              </w:rPr>
              <w:t>Hemoglobin</w:t>
            </w:r>
          </w:p>
        </w:tc>
      </w:tr>
      <w:tr>
        <w:tc>
          <w:tcPr>
            <w:tcW w:type="dxa" w:w="5112"/>
          </w:tcPr>
          <w:p>
            <w:pPr>
              <w:spacing w:after="20"/>
            </w:pPr>
            <w:r>
              <w:rPr>
                <w:sz w:val="16"/>
              </w:rPr>
              <w:t>K</w:t>
            </w:r>
          </w:p>
        </w:tc>
        <w:tc>
          <w:tcPr>
            <w:tcW w:type="dxa" w:w="5112"/>
          </w:tcPr>
          <w:p>
            <w:pPr>
              <w:spacing w:after="20"/>
            </w:pPr>
            <w:r>
              <w:rPr>
                <w:sz w:val="16"/>
              </w:rPr>
              <w:t>Potassium</w:t>
            </w:r>
          </w:p>
        </w:tc>
      </w:tr>
      <w:tr>
        <w:tc>
          <w:tcPr>
            <w:tcW w:type="dxa" w:w="5112"/>
            <w:shd w:fill="F1F6F7"/>
          </w:tcPr>
          <w:p>
            <w:pPr>
              <w:spacing w:after="20"/>
            </w:pPr>
            <w:r>
              <w:rPr>
                <w:sz w:val="16"/>
              </w:rPr>
              <w:t>Na</w:t>
            </w:r>
          </w:p>
        </w:tc>
        <w:tc>
          <w:tcPr>
            <w:tcW w:type="dxa" w:w="5112"/>
            <w:shd w:fill="F1F6F7"/>
          </w:tcPr>
          <w:p>
            <w:pPr>
              <w:spacing w:after="20"/>
            </w:pPr>
            <w:r>
              <w:rPr>
                <w:sz w:val="16"/>
              </w:rPr>
              <w:t>Sodium</w:t>
            </w:r>
          </w:p>
        </w:tc>
      </w:tr>
      <w:tr>
        <w:tc>
          <w:tcPr>
            <w:tcW w:type="dxa" w:w="5112"/>
          </w:tcPr>
          <w:p>
            <w:pPr>
              <w:spacing w:after="20"/>
            </w:pPr>
            <w:r>
              <w:rPr>
                <w:sz w:val="16"/>
              </w:rPr>
              <w:t>WBC</w:t>
            </w:r>
          </w:p>
        </w:tc>
        <w:tc>
          <w:tcPr>
            <w:tcW w:type="dxa" w:w="5112"/>
          </w:tcPr>
          <w:p>
            <w:pPr>
              <w:spacing w:after="20"/>
            </w:pPr>
            <w:r>
              <w:rPr>
                <w:sz w:val="16"/>
              </w:rPr>
              <w:t>White blood cell count</w:t>
            </w:r>
          </w:p>
        </w:tc>
      </w:tr>
      <w:tr>
        <w:tc>
          <w:tcPr>
            <w:tcW w:type="dxa" w:w="5112"/>
            <w:shd w:fill="F1F6F7"/>
          </w:tcPr>
          <w:p>
            <w:pPr>
              <w:spacing w:after="20"/>
            </w:pPr>
            <w:r>
              <w:rPr>
                <w:sz w:val="16"/>
              </w:rPr>
              <w:t>Lymph</w:t>
            </w:r>
          </w:p>
        </w:tc>
        <w:tc>
          <w:tcPr>
            <w:tcW w:type="dxa" w:w="5112"/>
            <w:shd w:fill="F1F6F7"/>
          </w:tcPr>
          <w:p>
            <w:pPr>
              <w:spacing w:after="20"/>
            </w:pPr>
            <w:r>
              <w:rPr>
                <w:sz w:val="16"/>
              </w:rPr>
              <w:t>Lymphocyte measurement</w:t>
            </w:r>
          </w:p>
        </w:tc>
      </w:tr>
      <w:tr>
        <w:tc>
          <w:tcPr>
            <w:tcW w:type="dxa" w:w="5112"/>
          </w:tcPr>
          <w:p>
            <w:pPr>
              <w:spacing w:after="20"/>
            </w:pPr>
            <w:r>
              <w:rPr>
                <w:sz w:val="16"/>
              </w:rPr>
              <w:t>Neut</w:t>
            </w:r>
          </w:p>
        </w:tc>
        <w:tc>
          <w:tcPr>
            <w:tcW w:type="dxa" w:w="5112"/>
          </w:tcPr>
          <w:p>
            <w:pPr>
              <w:spacing w:after="20"/>
            </w:pPr>
            <w:r>
              <w:rPr>
                <w:sz w:val="16"/>
              </w:rPr>
              <w:t>Neutrophil measurement</w:t>
            </w:r>
          </w:p>
        </w:tc>
      </w:tr>
      <w:tr>
        <w:tc>
          <w:tcPr>
            <w:tcW w:type="dxa" w:w="5112"/>
            <w:shd w:fill="F1F6F7"/>
          </w:tcPr>
          <w:p>
            <w:pPr>
              <w:spacing w:after="20"/>
            </w:pPr>
            <w:r>
              <w:rPr>
                <w:sz w:val="16"/>
              </w:rPr>
              <w:t>PLT</w:t>
            </w:r>
          </w:p>
        </w:tc>
        <w:tc>
          <w:tcPr>
            <w:tcW w:type="dxa" w:w="5112"/>
            <w:shd w:fill="F1F6F7"/>
          </w:tcPr>
          <w:p>
            <w:pPr>
              <w:spacing w:after="20"/>
            </w:pPr>
            <w:r>
              <w:rPr>
                <w:sz w:val="16"/>
              </w:rPr>
              <w:t>Platelet count</w:t>
            </w:r>
          </w:p>
        </w:tc>
      </w:tr>
    </w:tbl>
    <w:p>
      <w:pPr>
        <w:spacing w:after="80"/>
      </w:pPr>
      <w:r/>
    </w:p>
    <w:p>
      <w:pPr>
        <w:spacing w:after="80"/>
      </w:pPr>
      <w:r>
        <w:t>Feature engineering: examine skewness, outliers, measurement units, and relationships such as WBC versus Lymph and Neut. Don’t invent clinical thresholds or replace extreme values without checking whether they are errors or genuine observations.</w:t>
      </w:r>
    </w:p>
    <w:p>
      <w:pPr>
        <w:pStyle w:val="Heading2"/>
      </w:pPr>
      <w:r>
        <w:t>E. Echocardiography</w:t>
      </w:r>
    </w:p>
    <w:tbl>
      <w:tblPr>
        <w:tblStyle w:val="TableGrid"/>
        <w:tblW w:type="auto" w:w="0"/>
        <w:tblLook w:firstColumn="1" w:firstRow="1" w:lastColumn="0" w:lastRow="0" w:noHBand="0" w:noVBand="1" w:val="04A0"/>
      </w:tblPr>
      <w:tblGrid>
        <w:gridCol w:w="5112"/>
        <w:gridCol w:w="5112"/>
      </w:tblGrid>
      <w:tr>
        <w:tc>
          <w:tcPr>
            <w:tcW w:type="dxa" w:w="5112"/>
            <w:shd w:fill="165669"/>
          </w:tcPr>
          <w:p>
            <w:r>
              <w:rPr>
                <w:b/>
                <w:color w:val="FFFFFF"/>
                <w:sz w:val="16"/>
              </w:rPr>
              <w:t>Feature</w:t>
            </w:r>
          </w:p>
        </w:tc>
        <w:tc>
          <w:tcPr>
            <w:tcW w:type="dxa" w:w="5112"/>
            <w:shd w:fill="165669"/>
          </w:tcPr>
          <w:p>
            <w:r>
              <w:rPr>
                <w:b/>
                <w:color w:val="FFFFFF"/>
                <w:sz w:val="16"/>
              </w:rPr>
              <w:t>Meaning</w:t>
            </w:r>
          </w:p>
        </w:tc>
      </w:tr>
      <w:tr>
        <w:tc>
          <w:tcPr>
            <w:tcW w:type="dxa" w:w="5112"/>
          </w:tcPr>
          <w:p>
            <w:pPr>
              <w:spacing w:after="20"/>
            </w:pPr>
            <w:r>
              <w:rPr>
                <w:sz w:val="16"/>
              </w:rPr>
              <w:t>EF-TTE</w:t>
            </w:r>
          </w:p>
        </w:tc>
        <w:tc>
          <w:tcPr>
            <w:tcW w:type="dxa" w:w="5112"/>
          </w:tcPr>
          <w:p>
            <w:pPr>
              <w:spacing w:after="20"/>
            </w:pPr>
            <w:r>
              <w:rPr>
                <w:sz w:val="16"/>
              </w:rPr>
              <w:t>Ejection fraction measured by transthoracic echocardiography</w:t>
            </w:r>
          </w:p>
        </w:tc>
      </w:tr>
      <w:tr>
        <w:tc>
          <w:tcPr>
            <w:tcW w:type="dxa" w:w="5112"/>
            <w:shd w:fill="F1F6F7"/>
          </w:tcPr>
          <w:p>
            <w:pPr>
              <w:spacing w:after="20"/>
            </w:pPr>
            <w:r>
              <w:rPr>
                <w:sz w:val="16"/>
              </w:rPr>
              <w:t>Region RWMA</w:t>
            </w:r>
          </w:p>
        </w:tc>
        <w:tc>
          <w:tcPr>
            <w:tcW w:type="dxa" w:w="5112"/>
            <w:shd w:fill="F1F6F7"/>
          </w:tcPr>
          <w:p>
            <w:pPr>
              <w:spacing w:after="20"/>
            </w:pPr>
            <w:r>
              <w:rPr>
                <w:sz w:val="16"/>
              </w:rPr>
              <w:t>Region with regional wall-motion abnormality</w:t>
            </w:r>
          </w:p>
        </w:tc>
      </w:tr>
      <w:tr>
        <w:tc>
          <w:tcPr>
            <w:tcW w:type="dxa" w:w="5112"/>
          </w:tcPr>
          <w:p>
            <w:pPr>
              <w:spacing w:after="20"/>
            </w:pPr>
            <w:r>
              <w:rPr>
                <w:sz w:val="16"/>
              </w:rPr>
              <w:t>VHD</w:t>
            </w:r>
          </w:p>
        </w:tc>
        <w:tc>
          <w:tcPr>
            <w:tcW w:type="dxa" w:w="5112"/>
          </w:tcPr>
          <w:p>
            <w:pPr>
              <w:spacing w:after="20"/>
            </w:pPr>
            <w:r>
              <w:rPr>
                <w:sz w:val="16"/>
              </w:rPr>
              <w:t>Valvular heart disease category</w:t>
            </w:r>
          </w:p>
        </w:tc>
      </w:tr>
    </w:tbl>
    <w:p>
      <w:pPr>
        <w:spacing w:after="80"/>
      </w:pPr>
      <w:r/>
    </w:p>
    <w:p>
      <w:pPr>
        <w:spacing w:after="80"/>
      </w:pPr>
      <w:r>
        <w:t>These features are particularly important to investigate because they describe cardiac function and imaging-derived clinical findings. However, their actual contribution must be validated separately for each prediction target.</w:t>
      </w:r>
    </w:p>
    <w:p>
      <w:pPr>
        <w:pStyle w:val="Heading2"/>
      </w:pPr>
      <w:r>
        <w:t>Feature extraction: what is and isn’t possible</w:t>
      </w:r>
    </w:p>
    <w:p>
      <w:pPr>
        <w:spacing w:after="80"/>
      </w:pPr>
      <w:r>
        <w:t>Your current data already contains tabular clinical features. You do not need to extract image embeddings, coronary centerlines, lesion masks, or 3D coordinates from this spreadsheet.</w:t>
      </w:r>
    </w:p>
    <w:p>
      <w:pPr>
        <w:pStyle w:val="ListBullet"/>
        <w:spacing w:after="80"/>
      </w:pPr>
      <w:r>
        <w:t>Validated, consistently encoded clinical variables.</w:t>
      </w:r>
    </w:p>
    <w:p>
      <w:pPr>
        <w:pStyle w:val="ListBullet"/>
        <w:spacing w:after="80"/>
      </w:pPr>
      <w:r>
        <w:t>Corrected data types and documented units.</w:t>
      </w:r>
    </w:p>
    <w:p>
      <w:pPr>
        <w:pStyle w:val="ListBullet"/>
        <w:spacing w:after="80"/>
      </w:pPr>
      <w:r>
        <w:t>Carefully selected derived features, where justified.</w:t>
      </w:r>
    </w:p>
    <w:p>
      <w:pPr>
        <w:pStyle w:val="ListBullet"/>
        <w:spacing w:after="80"/>
      </w:pPr>
      <w:r>
        <w:t>Model-learned relationships between the input measurements and each target.</w:t>
      </w:r>
    </w:p>
    <w:p>
      <w:pPr>
        <w:pStyle w:val="ListBullet"/>
        <w:spacing w:after="80"/>
      </w:pPr>
      <w:r>
        <w:t>Global and patient-specific feature attributions.</w:t>
      </w:r>
    </w:p>
    <w:p>
      <w:pPr>
        <w:spacing w:after="80"/>
      </w:pPr>
      <w:r>
        <w:t>The anatomical 3D model is a separate visualization asset, not a feature-extraction source for the current tabular model.</w:t>
      </w:r>
    </w:p>
    <w:p>
      <w:pPr>
        <w:pStyle w:val="Heading1"/>
      </w:pPr>
      <w:r>
        <w:t>6. The four models I recommend training</w:t>
      </w:r>
    </w:p>
    <w:p>
      <w:pPr>
        <w:spacing w:after="80"/>
      </w:pPr>
      <w:r>
        <w:t>Train four binary classifiers with separate labels and separate evaluation results. A shared preprocessing pipeline is fine, but each model must predict its own target.</w:t>
      </w:r>
    </w:p>
    <w:tbl>
      <w:tblPr>
        <w:tblStyle w:val="TableGrid"/>
        <w:tblW w:type="auto" w:w="0"/>
        <w:tblLook w:firstColumn="1" w:firstRow="1" w:lastColumn="0" w:lastRow="0" w:noHBand="0" w:noVBand="1" w:val="04A0"/>
      </w:tblPr>
      <w:tblGrid>
        <w:gridCol w:w="3408"/>
        <w:gridCol w:w="3408"/>
        <w:gridCol w:w="3408"/>
      </w:tblGrid>
      <w:tr>
        <w:tc>
          <w:tcPr>
            <w:tcW w:type="dxa" w:w="3408"/>
            <w:shd w:fill="165669"/>
          </w:tcPr>
          <w:p>
            <w:r>
              <w:rPr>
                <w:b/>
                <w:color w:val="FFFFFF"/>
                <w:sz w:val="16"/>
              </w:rPr>
              <w:t>Model</w:t>
            </w:r>
          </w:p>
        </w:tc>
        <w:tc>
          <w:tcPr>
            <w:tcW w:type="dxa" w:w="3408"/>
            <w:shd w:fill="165669"/>
          </w:tcPr>
          <w:p>
            <w:r>
              <w:rPr>
                <w:b/>
                <w:color w:val="FFFFFF"/>
                <w:sz w:val="16"/>
              </w:rPr>
              <w:t>Target</w:t>
            </w:r>
          </w:p>
        </w:tc>
        <w:tc>
          <w:tcPr>
            <w:tcW w:type="dxa" w:w="3408"/>
            <w:shd w:fill="165669"/>
          </w:tcPr>
          <w:p>
            <w:r>
              <w:rPr>
                <w:b/>
                <w:color w:val="FFFFFF"/>
                <w:sz w:val="16"/>
              </w:rPr>
              <w:t>Output</w:t>
            </w:r>
          </w:p>
        </w:tc>
      </w:tr>
      <w:tr>
        <w:tc>
          <w:tcPr>
            <w:tcW w:type="dxa" w:w="3408"/>
          </w:tcPr>
          <w:p>
            <w:pPr>
              <w:spacing w:after="20"/>
            </w:pPr>
            <w:r>
              <w:rPr>
                <w:sz w:val="16"/>
              </w:rPr>
              <w:t>Model 1 — Overall CAD</w:t>
            </w:r>
          </w:p>
        </w:tc>
        <w:tc>
          <w:tcPr>
            <w:tcW w:type="dxa" w:w="3408"/>
          </w:tcPr>
          <w:p>
            <w:pPr>
              <w:spacing w:after="20"/>
            </w:pPr>
            <w:r>
              <w:rPr>
                <w:sz w:val="16"/>
              </w:rPr>
              <w:t>Cath — CAD versus Normal</w:t>
            </w:r>
          </w:p>
        </w:tc>
        <w:tc>
          <w:tcPr>
            <w:tcW w:type="dxa" w:w="3408"/>
          </w:tcPr>
          <w:p>
            <w:pPr>
              <w:spacing w:after="20"/>
            </w:pPr>
            <w:r>
              <w:rPr>
                <w:sz w:val="16"/>
              </w:rPr>
              <w:t>Predicted CAD probability and predicted class.</w:t>
            </w:r>
          </w:p>
        </w:tc>
      </w:tr>
      <w:tr>
        <w:tc>
          <w:tcPr>
            <w:tcW w:type="dxa" w:w="3408"/>
            <w:shd w:fill="F1F6F7"/>
          </w:tcPr>
          <w:p>
            <w:pPr>
              <w:spacing w:after="20"/>
            </w:pPr>
            <w:r>
              <w:rPr>
                <w:sz w:val="16"/>
              </w:rPr>
              <w:t>Model 2 — LAD stenosis</w:t>
            </w:r>
          </w:p>
        </w:tc>
        <w:tc>
          <w:tcPr>
            <w:tcW w:type="dxa" w:w="3408"/>
            <w:shd w:fill="F1F6F7"/>
          </w:tcPr>
          <w:p>
            <w:pPr>
              <w:spacing w:after="20"/>
            </w:pPr>
            <w:r>
              <w:rPr>
                <w:sz w:val="16"/>
              </w:rPr>
              <w:t>LAD — Stenotic versus Normal</w:t>
            </w:r>
          </w:p>
        </w:tc>
        <w:tc>
          <w:tcPr>
            <w:tcW w:type="dxa" w:w="3408"/>
            <w:shd w:fill="F1F6F7"/>
          </w:tcPr>
          <w:p>
            <w:pPr>
              <w:spacing w:after="20"/>
            </w:pPr>
            <w:r>
              <w:rPr>
                <w:sz w:val="16"/>
              </w:rPr>
              <w:t>Predicted LAD stenosis probability.</w:t>
            </w:r>
          </w:p>
        </w:tc>
      </w:tr>
      <w:tr>
        <w:tc>
          <w:tcPr>
            <w:tcW w:type="dxa" w:w="3408"/>
          </w:tcPr>
          <w:p>
            <w:pPr>
              <w:spacing w:after="20"/>
            </w:pPr>
            <w:r>
              <w:rPr>
                <w:sz w:val="16"/>
              </w:rPr>
              <w:t>Model 3 — LCX stenosis</w:t>
            </w:r>
          </w:p>
        </w:tc>
        <w:tc>
          <w:tcPr>
            <w:tcW w:type="dxa" w:w="3408"/>
          </w:tcPr>
          <w:p>
            <w:pPr>
              <w:spacing w:after="20"/>
            </w:pPr>
            <w:r>
              <w:rPr>
                <w:sz w:val="16"/>
              </w:rPr>
              <w:t>LCX — Stenotic versus Normal</w:t>
            </w:r>
          </w:p>
        </w:tc>
        <w:tc>
          <w:tcPr>
            <w:tcW w:type="dxa" w:w="3408"/>
          </w:tcPr>
          <w:p>
            <w:pPr>
              <w:spacing w:after="20"/>
            </w:pPr>
            <w:r>
              <w:rPr>
                <w:sz w:val="16"/>
              </w:rPr>
              <w:t>Predicted LCX stenosis probability.</w:t>
            </w:r>
          </w:p>
        </w:tc>
      </w:tr>
      <w:tr>
        <w:tc>
          <w:tcPr>
            <w:tcW w:type="dxa" w:w="3408"/>
            <w:shd w:fill="F1F6F7"/>
          </w:tcPr>
          <w:p>
            <w:pPr>
              <w:spacing w:after="20"/>
            </w:pPr>
            <w:r>
              <w:rPr>
                <w:sz w:val="16"/>
              </w:rPr>
              <w:t>Model 4 — RCA stenosis</w:t>
            </w:r>
          </w:p>
        </w:tc>
        <w:tc>
          <w:tcPr>
            <w:tcW w:type="dxa" w:w="3408"/>
            <w:shd w:fill="F1F6F7"/>
          </w:tcPr>
          <w:p>
            <w:pPr>
              <w:spacing w:after="20"/>
            </w:pPr>
            <w:r>
              <w:rPr>
                <w:sz w:val="16"/>
              </w:rPr>
              <w:t>RCA — Stenotic versus Normal</w:t>
            </w:r>
          </w:p>
        </w:tc>
        <w:tc>
          <w:tcPr>
            <w:tcW w:type="dxa" w:w="3408"/>
            <w:shd w:fill="F1F6F7"/>
          </w:tcPr>
          <w:p>
            <w:pPr>
              <w:spacing w:after="20"/>
            </w:pPr>
            <w:r>
              <w:rPr>
                <w:sz w:val="16"/>
              </w:rPr>
              <w:t>Predicted RCA stenosis probability.</w:t>
            </w:r>
          </w:p>
        </w:tc>
      </w:tr>
    </w:tbl>
    <w:p>
      <w:pPr>
        <w:spacing w:after="80"/>
      </w:pPr>
      <w:r/>
    </w:p>
    <w:p>
      <w:pPr>
        <w:pStyle w:val="Heading2"/>
      </w:pPr>
      <w:r>
        <w:t>Model inputs and leakage prevention</w:t>
      </w:r>
    </w:p>
    <w:p>
      <w:pPr>
        <w:spacing w:after="80"/>
      </w:pPr>
      <w:r>
        <w:t>For every model, exclude all four target columns from the input matrix: Cath, LAD, LCX, RCA. This prevents the CAD model from using vessel diagnoses as shortcuts and prevents the vessel models from using the overall diagnosis or other vessel labels as shortcuts.</w:t>
      </w:r>
    </w:p>
    <w:p>
      <w:pPr>
        <w:pStyle w:val="Heading2"/>
      </w:pPr>
      <w:r>
        <w:t>Models to benchmark</w:t>
      </w:r>
    </w:p>
    <w:tbl>
      <w:tblPr>
        <w:tblStyle w:val="TableGrid"/>
        <w:tblW w:type="auto" w:w="0"/>
        <w:tblLook w:firstColumn="1" w:firstRow="1" w:lastColumn="0" w:lastRow="0" w:noHBand="0" w:noVBand="1" w:val="04A0"/>
      </w:tblPr>
      <w:tblGrid>
        <w:gridCol w:w="5112"/>
        <w:gridCol w:w="5112"/>
      </w:tblGrid>
      <w:tr>
        <w:tc>
          <w:tcPr>
            <w:tcW w:type="dxa" w:w="5112"/>
            <w:shd w:fill="165669"/>
          </w:tcPr>
          <w:p>
            <w:r>
              <w:rPr>
                <w:b/>
                <w:color w:val="FFFFFF"/>
                <w:sz w:val="16"/>
              </w:rPr>
              <w:t>Model</w:t>
            </w:r>
          </w:p>
        </w:tc>
        <w:tc>
          <w:tcPr>
            <w:tcW w:type="dxa" w:w="5112"/>
            <w:shd w:fill="165669"/>
          </w:tcPr>
          <w:p>
            <w:r>
              <w:rPr>
                <w:b/>
                <w:color w:val="FFFFFF"/>
                <w:sz w:val="16"/>
              </w:rPr>
              <w:t>Why include it</w:t>
            </w:r>
          </w:p>
        </w:tc>
      </w:tr>
      <w:tr>
        <w:tc>
          <w:tcPr>
            <w:tcW w:type="dxa" w:w="5112"/>
          </w:tcPr>
          <w:p>
            <w:pPr>
              <w:spacing w:after="20"/>
            </w:pPr>
            <w:r>
              <w:rPr>
                <w:sz w:val="16"/>
              </w:rPr>
              <w:t>Logistic Regression</w:t>
            </w:r>
          </w:p>
        </w:tc>
        <w:tc>
          <w:tcPr>
            <w:tcW w:type="dxa" w:w="5112"/>
          </w:tcPr>
          <w:p>
            <w:pPr>
              <w:spacing w:after="20"/>
            </w:pPr>
            <w:r>
              <w:rPr>
                <w:sz w:val="16"/>
              </w:rPr>
              <w:t>Interpretable baseline; useful for a small dataset.</w:t>
            </w:r>
          </w:p>
        </w:tc>
      </w:tr>
      <w:tr>
        <w:tc>
          <w:tcPr>
            <w:tcW w:type="dxa" w:w="5112"/>
            <w:shd w:fill="F1F6F7"/>
          </w:tcPr>
          <w:p>
            <w:pPr>
              <w:spacing w:after="20"/>
            </w:pPr>
            <w:r>
              <w:rPr>
                <w:sz w:val="16"/>
              </w:rPr>
              <w:t>Random Forest</w:t>
            </w:r>
          </w:p>
        </w:tc>
        <w:tc>
          <w:tcPr>
            <w:tcW w:type="dxa" w:w="5112"/>
            <w:shd w:fill="F1F6F7"/>
          </w:tcPr>
          <w:p>
            <w:pPr>
              <w:spacing w:after="20"/>
            </w:pPr>
            <w:r>
              <w:rPr>
                <w:sz w:val="16"/>
              </w:rPr>
              <w:t>Captures nonlinear relationships and feature interactions.</w:t>
            </w:r>
          </w:p>
        </w:tc>
      </w:tr>
      <w:tr>
        <w:tc>
          <w:tcPr>
            <w:tcW w:type="dxa" w:w="5112"/>
          </w:tcPr>
          <w:p>
            <w:pPr>
              <w:spacing w:after="20"/>
            </w:pPr>
            <w:r>
              <w:rPr>
                <w:sz w:val="16"/>
              </w:rPr>
              <w:t>Gradient boosting</w:t>
            </w:r>
          </w:p>
        </w:tc>
        <w:tc>
          <w:tcPr>
            <w:tcW w:type="dxa" w:w="5112"/>
          </w:tcPr>
          <w:p>
            <w:pPr>
              <w:spacing w:after="20"/>
            </w:pPr>
            <w:r>
              <w:rPr>
                <w:sz w:val="16"/>
              </w:rPr>
              <w:t>Tests whether more complex relationships improve prediction.</w:t>
            </w:r>
          </w:p>
        </w:tc>
      </w:tr>
    </w:tbl>
    <w:p>
      <w:pPr>
        <w:spacing w:after="80"/>
      </w:pPr>
      <w:r/>
    </w:p>
    <w:p>
      <w:pPr>
        <w:spacing w:after="80"/>
      </w:pPr>
      <w:r>
        <w:t>I would start with Logistic Regression and Random Forest, then test a gradient-boosting model. Use regularization and modest hyperparameter searches rather than a large tuning exercise that overfits 303 records.</w:t>
      </w:r>
    </w:p>
    <w:p>
      <w:pPr>
        <w:pStyle w:val="Heading2"/>
      </w:pPr>
      <w:r>
        <w:t>Validation protocol</w:t>
      </w:r>
    </w:p>
    <w:p>
      <w:pPr>
        <w:spacing w:after="80"/>
      </w:pPr>
      <w:r>
        <w:t>Use repeated stratified five-fold cross-validation, with all preprocessing and feature selection fitted inside each training fold. If you tune hyperparameters, use nested cross-validation or an equivalent properly separated validation procedure.</w:t>
      </w:r>
    </w:p>
    <w:p>
      <w:pPr>
        <w:pStyle w:val="ListBullet"/>
        <w:spacing w:after="80"/>
      </w:pPr>
      <w:r>
        <w:t>ROC-AUC and PR-AUC.</w:t>
      </w:r>
    </w:p>
    <w:p>
      <w:pPr>
        <w:pStyle w:val="ListBullet"/>
        <w:spacing w:after="80"/>
      </w:pPr>
      <w:r>
        <w:t>Precision, recall/sensitivity, specificity and F1-score.</w:t>
      </w:r>
    </w:p>
    <w:p>
      <w:pPr>
        <w:pStyle w:val="ListBullet"/>
        <w:spacing w:after="80"/>
      </w:pPr>
      <w:r>
        <w:t>Balanced accuracy and confusion matrix.</w:t>
      </w:r>
    </w:p>
    <w:p>
      <w:pPr>
        <w:pStyle w:val="ListBullet"/>
        <w:spacing w:after="80"/>
      </w:pPr>
      <w:r>
        <w:t>Calibration plot and Brier score if you intend to display predicted probabilities.</w:t>
      </w:r>
    </w:p>
    <w:p>
      <w:pPr>
        <w:pStyle w:val="ListBullet"/>
        <w:spacing w:after="80"/>
      </w:pPr>
      <w:r>
        <w:t>Confidence intervals, preferably using a method that respects the validation design.</w:t>
      </w:r>
    </w:p>
    <w:p>
      <w:pPr>
        <w:spacing w:after="80"/>
      </w:pPr>
      <w:r>
        <w:t>Accuracy alone is insufficient: a classifier predicting CAD for every patient would already achieve approximately 71.3% accuracy on the overall CAD target.</w:t>
      </w:r>
    </w:p>
    <w:p>
      <w:pPr>
        <w:pStyle w:val="Heading1"/>
      </w:pPr>
      <w:r>
        <w:t>7. How to obtain the real feature contribution ranking</w:t>
      </w:r>
    </w:p>
    <w:p>
      <w:pPr>
        <w:spacing w:after="80"/>
      </w:pPr>
      <w:r>
        <w:t>You cannot honestly assign each feature a contribution probability simply from the spreadsheet. You first train and validate the models; then calculate the feature attribution for each model.</w:t>
      </w:r>
    </w:p>
    <w:p>
      <w:pPr>
        <w:pStyle w:val="Heading2"/>
      </w:pPr>
      <w:r>
        <w:t>The feature-importance pipeline</w:t>
      </w:r>
    </w:p>
    <w:p>
      <w:pPr>
        <w:pStyle w:val="ListNumber"/>
        <w:spacing w:after="80"/>
      </w:pPr>
      <w:r>
        <w:t>Train each classifier using eligible clinical inputs only.</w:t>
      </w:r>
    </w:p>
    <w:p>
      <w:pPr>
        <w:pStyle w:val="ListNumber"/>
        <w:spacing w:after="80"/>
      </w:pPr>
      <w:r>
        <w:t>Calculate SHAP values on held-out validation patients, rather than using training explanations alone.</w:t>
      </w:r>
    </w:p>
    <w:p>
      <w:pPr>
        <w:pStyle w:val="ListNumber"/>
        <w:spacing w:after="80"/>
      </w:pPr>
      <w:r>
        <w:t>Calculate mean absolute SHAP values across held-out patients for each feature.</w:t>
      </w:r>
    </w:p>
    <w:p>
      <w:pPr>
        <w:pStyle w:val="ListNumber"/>
        <w:spacing w:after="80"/>
      </w:pPr>
      <w:r>
        <w:t>Sort the values from highest to lowest, separately for CAD, LAD, LCX and RCA.</w:t>
      </w:r>
    </w:p>
    <w:p>
      <w:pPr>
        <w:pStyle w:val="ListNumber"/>
        <w:spacing w:after="80"/>
      </w:pPr>
      <w:r>
        <w:t>Calculate each feature’s share of the total absolute SHAP magnitude for a normalized visualization, clearly labelling it as a relative attribution share rather than a disease probability.</w:t>
      </w:r>
    </w:p>
    <w:p>
      <w:pPr>
        <w:pStyle w:val="ListNumber"/>
        <w:spacing w:after="80"/>
      </w:pPr>
      <w:r>
        <w:t>Check whether the rankings remain reasonably stable across folds and model choices.</w:t>
      </w:r>
    </w:p>
    <w:p>
      <w:pPr>
        <w:pStyle w:val="Heading2"/>
      </w:pPr>
      <w:r>
        <w:t>The feature contribution table</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shd w:fill="165669"/>
          </w:tcPr>
          <w:p>
            <w:r>
              <w:rPr>
                <w:b/>
                <w:color w:val="FFFFFF"/>
                <w:sz w:val="16"/>
              </w:rPr>
              <w:t>Rank</w:t>
            </w:r>
          </w:p>
        </w:tc>
        <w:tc>
          <w:tcPr>
            <w:tcW w:type="dxa" w:w="1704"/>
            <w:shd w:fill="165669"/>
          </w:tcPr>
          <w:p>
            <w:r>
              <w:rPr>
                <w:b/>
                <w:color w:val="FFFFFF"/>
                <w:sz w:val="16"/>
              </w:rPr>
              <w:t>Feature</w:t>
            </w:r>
          </w:p>
        </w:tc>
        <w:tc>
          <w:tcPr>
            <w:tcW w:type="dxa" w:w="1704"/>
            <w:shd w:fill="165669"/>
          </w:tcPr>
          <w:p>
            <w:r>
              <w:rPr>
                <w:b/>
                <w:color w:val="FFFFFF"/>
                <w:sz w:val="16"/>
              </w:rPr>
              <w:t>CAD attribution</w:t>
            </w:r>
          </w:p>
        </w:tc>
        <w:tc>
          <w:tcPr>
            <w:tcW w:type="dxa" w:w="1704"/>
            <w:shd w:fill="165669"/>
          </w:tcPr>
          <w:p>
            <w:r>
              <w:rPr>
                <w:b/>
                <w:color w:val="FFFFFF"/>
                <w:sz w:val="16"/>
              </w:rPr>
              <w:t>LAD attribution</w:t>
            </w:r>
          </w:p>
        </w:tc>
        <w:tc>
          <w:tcPr>
            <w:tcW w:type="dxa" w:w="1704"/>
            <w:shd w:fill="165669"/>
          </w:tcPr>
          <w:p>
            <w:r>
              <w:rPr>
                <w:b/>
                <w:color w:val="FFFFFF"/>
                <w:sz w:val="16"/>
              </w:rPr>
              <w:t>LCX attribution</w:t>
            </w:r>
          </w:p>
        </w:tc>
        <w:tc>
          <w:tcPr>
            <w:tcW w:type="dxa" w:w="1704"/>
            <w:shd w:fill="165669"/>
          </w:tcPr>
          <w:p>
            <w:r>
              <w:rPr>
                <w:b/>
                <w:color w:val="FFFFFF"/>
                <w:sz w:val="16"/>
              </w:rPr>
              <w:t>RCA attribution</w:t>
            </w:r>
          </w:p>
        </w:tc>
      </w:tr>
      <w:tr>
        <w:tc>
          <w:tcPr>
            <w:tcW w:type="dxa" w:w="1704"/>
          </w:tcPr>
          <w:p>
            <w:pPr>
              <w:spacing w:after="20"/>
            </w:pPr>
            <w:r>
              <w:rPr>
                <w:sz w:val="16"/>
              </w:rPr>
              <w:t>1</w:t>
            </w:r>
          </w:p>
        </w:tc>
        <w:tc>
          <w:tcPr>
            <w:tcW w:type="dxa" w:w="1704"/>
          </w:tcPr>
          <w:p>
            <w:pPr>
              <w:spacing w:after="20"/>
            </w:pPr>
            <w:r>
              <w:rPr>
                <w:sz w:val="16"/>
              </w:rPr>
              <w:t>Learned from validation</w:t>
            </w:r>
          </w:p>
        </w:tc>
        <w:tc>
          <w:tcPr>
            <w:tcW w:type="dxa" w:w="1704"/>
          </w:tcPr>
          <w:p>
            <w:pPr>
              <w:spacing w:after="20"/>
            </w:pPr>
            <w:r>
              <w:rPr>
                <w:sz w:val="16"/>
              </w:rPr>
              <w:t>To calculate</w:t>
            </w:r>
          </w:p>
        </w:tc>
        <w:tc>
          <w:tcPr>
            <w:tcW w:type="dxa" w:w="1704"/>
          </w:tcPr>
          <w:p>
            <w:pPr>
              <w:spacing w:after="20"/>
            </w:pPr>
            <w:r>
              <w:rPr>
                <w:sz w:val="16"/>
              </w:rPr>
              <w:t>To calculate</w:t>
            </w:r>
          </w:p>
        </w:tc>
        <w:tc>
          <w:tcPr>
            <w:tcW w:type="dxa" w:w="1704"/>
          </w:tcPr>
          <w:p>
            <w:pPr>
              <w:spacing w:after="20"/>
            </w:pPr>
            <w:r>
              <w:rPr>
                <w:sz w:val="16"/>
              </w:rPr>
              <w:t>To calculate</w:t>
            </w:r>
          </w:p>
        </w:tc>
        <w:tc>
          <w:tcPr>
            <w:tcW w:type="dxa" w:w="1704"/>
          </w:tcPr>
          <w:p>
            <w:pPr>
              <w:spacing w:after="20"/>
            </w:pPr>
            <w:r>
              <w:rPr>
                <w:sz w:val="16"/>
              </w:rPr>
              <w:t>To calculate</w:t>
            </w:r>
          </w:p>
        </w:tc>
      </w:tr>
      <w:tr>
        <w:tc>
          <w:tcPr>
            <w:tcW w:type="dxa" w:w="1704"/>
            <w:shd w:fill="F1F6F7"/>
          </w:tcPr>
          <w:p>
            <w:pPr>
              <w:spacing w:after="20"/>
            </w:pPr>
            <w:r>
              <w:rPr>
                <w:sz w:val="16"/>
              </w:rPr>
              <w:t>2</w:t>
            </w:r>
          </w:p>
        </w:tc>
        <w:tc>
          <w:tcPr>
            <w:tcW w:type="dxa" w:w="1704"/>
            <w:shd w:fill="F1F6F7"/>
          </w:tcPr>
          <w:p>
            <w:pPr>
              <w:spacing w:after="20"/>
            </w:pPr>
            <w:r>
              <w:rPr>
                <w:sz w:val="16"/>
              </w:rPr>
              <w:t>Learned from validation</w:t>
            </w:r>
          </w:p>
        </w:tc>
        <w:tc>
          <w:tcPr>
            <w:tcW w:type="dxa" w:w="1704"/>
            <w:shd w:fill="F1F6F7"/>
          </w:tcPr>
          <w:p>
            <w:pPr>
              <w:spacing w:after="20"/>
            </w:pPr>
            <w:r>
              <w:rPr>
                <w:sz w:val="16"/>
              </w:rPr>
              <w:t>To calculate</w:t>
            </w:r>
          </w:p>
        </w:tc>
        <w:tc>
          <w:tcPr>
            <w:tcW w:type="dxa" w:w="1704"/>
            <w:shd w:fill="F1F6F7"/>
          </w:tcPr>
          <w:p>
            <w:pPr>
              <w:spacing w:after="20"/>
            </w:pPr>
            <w:r>
              <w:rPr>
                <w:sz w:val="16"/>
              </w:rPr>
              <w:t>To calculate</w:t>
            </w:r>
          </w:p>
        </w:tc>
        <w:tc>
          <w:tcPr>
            <w:tcW w:type="dxa" w:w="1704"/>
            <w:shd w:fill="F1F6F7"/>
          </w:tcPr>
          <w:p>
            <w:pPr>
              <w:spacing w:after="20"/>
            </w:pPr>
            <w:r>
              <w:rPr>
                <w:sz w:val="16"/>
              </w:rPr>
              <w:t>To calculate</w:t>
            </w:r>
          </w:p>
        </w:tc>
        <w:tc>
          <w:tcPr>
            <w:tcW w:type="dxa" w:w="1704"/>
            <w:shd w:fill="F1F6F7"/>
          </w:tcPr>
          <w:p>
            <w:pPr>
              <w:spacing w:after="20"/>
            </w:pPr>
            <w:r>
              <w:rPr>
                <w:sz w:val="16"/>
              </w:rPr>
              <w:t>To calculate</w:t>
            </w:r>
          </w:p>
        </w:tc>
      </w:tr>
      <w:tr>
        <w:tc>
          <w:tcPr>
            <w:tcW w:type="dxa" w:w="1704"/>
          </w:tcPr>
          <w:p>
            <w:pPr>
              <w:spacing w:after="20"/>
            </w:pPr>
            <w:r>
              <w:rPr>
                <w:sz w:val="16"/>
              </w:rPr>
              <w:t>3</w:t>
            </w:r>
          </w:p>
        </w:tc>
        <w:tc>
          <w:tcPr>
            <w:tcW w:type="dxa" w:w="1704"/>
          </w:tcPr>
          <w:p>
            <w:pPr>
              <w:spacing w:after="20"/>
            </w:pPr>
            <w:r>
              <w:rPr>
                <w:sz w:val="16"/>
              </w:rPr>
              <w:t>Learned from validation</w:t>
            </w:r>
          </w:p>
        </w:tc>
        <w:tc>
          <w:tcPr>
            <w:tcW w:type="dxa" w:w="1704"/>
          </w:tcPr>
          <w:p>
            <w:pPr>
              <w:spacing w:after="20"/>
            </w:pPr>
            <w:r>
              <w:rPr>
                <w:sz w:val="16"/>
              </w:rPr>
              <w:t>To calculate</w:t>
            </w:r>
          </w:p>
        </w:tc>
        <w:tc>
          <w:tcPr>
            <w:tcW w:type="dxa" w:w="1704"/>
          </w:tcPr>
          <w:p>
            <w:pPr>
              <w:spacing w:after="20"/>
            </w:pPr>
            <w:r>
              <w:rPr>
                <w:sz w:val="16"/>
              </w:rPr>
              <w:t>To calculate</w:t>
            </w:r>
          </w:p>
        </w:tc>
        <w:tc>
          <w:tcPr>
            <w:tcW w:type="dxa" w:w="1704"/>
          </w:tcPr>
          <w:p>
            <w:pPr>
              <w:spacing w:after="20"/>
            </w:pPr>
            <w:r>
              <w:rPr>
                <w:sz w:val="16"/>
              </w:rPr>
              <w:t>To calculate</w:t>
            </w:r>
          </w:p>
        </w:tc>
        <w:tc>
          <w:tcPr>
            <w:tcW w:type="dxa" w:w="1704"/>
          </w:tcPr>
          <w:p>
            <w:pPr>
              <w:spacing w:after="20"/>
            </w:pPr>
            <w:r>
              <w:rPr>
                <w:sz w:val="16"/>
              </w:rPr>
              <w:t>To calculate</w:t>
            </w:r>
          </w:p>
        </w:tc>
      </w:tr>
    </w:tbl>
    <w:p>
      <w:pPr>
        <w:spacing w:after="80"/>
      </w:pPr>
      <w:r/>
    </w:p>
    <w:p>
      <w:pPr>
        <w:spacing w:after="80"/>
      </w:pPr>
      <w:r>
        <w:t>Do not fill this table with invented percentages. Once the models have been trained, the values will be based on actual model behaviour.</w:t>
      </w:r>
    </w:p>
    <w:p>
      <w:pPr>
        <w:spacing w:after="80"/>
      </w:pPr>
      <w:r>
        <w:t>For individual patients, also show signed SHAP values: which measurements pushed the model’s output higher or lower relative to its reference prediction. A high global importance does not mean a feature increases risk in every patient.</w:t>
      </w:r>
    </w:p>
    <w:p>
      <w:pPr>
        <w:pStyle w:val="Heading1"/>
      </w:pPr>
      <w:r>
        <w:t>8. What the 3D visualization must show</w:t>
      </w:r>
    </w:p>
    <w:p>
      <w:pPr>
        <w:spacing w:after="80"/>
      </w:pPr>
      <w:r>
        <w:t>The challenge explicitly requires an interactive human torso/heart representation with coronary-vessel risk mapping, vessel-specific probabilities, rotation/zoom, localized inspection, and interpretable feature explanations.</w:t>
      </w:r>
    </w:p>
    <w:p>
      <w:pPr>
        <w:pStyle w:val="Heading2"/>
      </w:pPr>
      <w:r>
        <w:t>Expected output screen</w:t>
      </w:r>
    </w:p>
    <w:tbl>
      <w:tblPr>
        <w:tblStyle w:val="TableGrid"/>
        <w:tblW w:type="auto" w:w="0"/>
        <w:tblLook w:firstColumn="1" w:firstRow="1" w:lastColumn="0" w:lastRow="0" w:noHBand="0" w:noVBand="1" w:val="04A0"/>
      </w:tblPr>
      <w:tblGrid>
        <w:gridCol w:w="5112"/>
        <w:gridCol w:w="5112"/>
      </w:tblGrid>
      <w:tr>
        <w:tc>
          <w:tcPr>
            <w:tcW w:type="dxa" w:w="5112"/>
            <w:shd w:fill="165669"/>
          </w:tcPr>
          <w:p>
            <w:r>
              <w:rPr>
                <w:b/>
                <w:color w:val="FFFFFF"/>
                <w:sz w:val="16"/>
              </w:rPr>
              <w:t>UI component</w:t>
            </w:r>
          </w:p>
        </w:tc>
        <w:tc>
          <w:tcPr>
            <w:tcW w:type="dxa" w:w="5112"/>
            <w:shd w:fill="165669"/>
          </w:tcPr>
          <w:p>
            <w:r>
              <w:rPr>
                <w:b/>
                <w:color w:val="FFFFFF"/>
                <w:sz w:val="16"/>
              </w:rPr>
              <w:t>Expected display</w:t>
            </w:r>
          </w:p>
        </w:tc>
      </w:tr>
      <w:tr>
        <w:tc>
          <w:tcPr>
            <w:tcW w:type="dxa" w:w="5112"/>
          </w:tcPr>
          <w:p>
            <w:pPr>
              <w:spacing w:after="20"/>
            </w:pPr>
            <w:r>
              <w:rPr>
                <w:sz w:val="16"/>
              </w:rPr>
              <w:t>Overall CAD prediction</w:t>
            </w:r>
          </w:p>
        </w:tc>
        <w:tc>
          <w:tcPr>
            <w:tcW w:type="dxa" w:w="5112"/>
          </w:tcPr>
          <w:p>
            <w:pPr>
              <w:spacing w:after="20"/>
            </w:pPr>
            <w:r>
              <w:rPr>
                <w:sz w:val="16"/>
              </w:rPr>
              <w:t>CAD probability, predicted class and calibration/confidence information where appropriate.</w:t>
            </w:r>
          </w:p>
        </w:tc>
      </w:tr>
      <w:tr>
        <w:tc>
          <w:tcPr>
            <w:tcW w:type="dxa" w:w="5112"/>
            <w:shd w:fill="F1F6F7"/>
          </w:tcPr>
          <w:p>
            <w:pPr>
              <w:spacing w:after="20"/>
            </w:pPr>
            <w:r>
              <w:rPr>
                <w:sz w:val="16"/>
              </w:rPr>
              <w:t>LAD panel</w:t>
            </w:r>
          </w:p>
        </w:tc>
        <w:tc>
          <w:tcPr>
            <w:tcW w:type="dxa" w:w="5112"/>
            <w:shd w:fill="F1F6F7"/>
          </w:tcPr>
          <w:p>
            <w:pPr>
              <w:spacing w:after="20"/>
            </w:pPr>
            <w:r>
              <w:rPr>
                <w:sz w:val="16"/>
              </w:rPr>
              <w:t>LAD stenosis probability and predicted class.</w:t>
            </w:r>
          </w:p>
        </w:tc>
      </w:tr>
      <w:tr>
        <w:tc>
          <w:tcPr>
            <w:tcW w:type="dxa" w:w="5112"/>
          </w:tcPr>
          <w:p>
            <w:pPr>
              <w:spacing w:after="20"/>
            </w:pPr>
            <w:r>
              <w:rPr>
                <w:sz w:val="16"/>
              </w:rPr>
              <w:t>LCX panel</w:t>
            </w:r>
          </w:p>
        </w:tc>
        <w:tc>
          <w:tcPr>
            <w:tcW w:type="dxa" w:w="5112"/>
          </w:tcPr>
          <w:p>
            <w:pPr>
              <w:spacing w:after="20"/>
            </w:pPr>
            <w:r>
              <w:rPr>
                <w:sz w:val="16"/>
              </w:rPr>
              <w:t>LCX stenosis probability and predicted class.</w:t>
            </w:r>
          </w:p>
        </w:tc>
      </w:tr>
      <w:tr>
        <w:tc>
          <w:tcPr>
            <w:tcW w:type="dxa" w:w="5112"/>
            <w:shd w:fill="F1F6F7"/>
          </w:tcPr>
          <w:p>
            <w:pPr>
              <w:spacing w:after="20"/>
            </w:pPr>
            <w:r>
              <w:rPr>
                <w:sz w:val="16"/>
              </w:rPr>
              <w:t>RCA panel</w:t>
            </w:r>
          </w:p>
        </w:tc>
        <w:tc>
          <w:tcPr>
            <w:tcW w:type="dxa" w:w="5112"/>
            <w:shd w:fill="F1F6F7"/>
          </w:tcPr>
          <w:p>
            <w:pPr>
              <w:spacing w:after="20"/>
            </w:pPr>
            <w:r>
              <w:rPr>
                <w:sz w:val="16"/>
              </w:rPr>
              <w:t>RCA stenosis probability and predicted class.</w:t>
            </w:r>
          </w:p>
        </w:tc>
      </w:tr>
      <w:tr>
        <w:tc>
          <w:tcPr>
            <w:tcW w:type="dxa" w:w="5112"/>
          </w:tcPr>
          <w:p>
            <w:pPr>
              <w:spacing w:after="20"/>
            </w:pPr>
            <w:r>
              <w:rPr>
                <w:sz w:val="16"/>
              </w:rPr>
              <w:t>3D heart viewer</w:t>
            </w:r>
          </w:p>
        </w:tc>
        <w:tc>
          <w:tcPr>
            <w:tcW w:type="dxa" w:w="5112"/>
          </w:tcPr>
          <w:p>
            <w:pPr>
              <w:spacing w:after="20"/>
            </w:pPr>
            <w:r>
              <w:rPr>
                <w:sz w:val="16"/>
              </w:rPr>
              <w:t>Selectable LAD, LCX and RCA meshes; rotate, zoom and inspect.</w:t>
            </w:r>
          </w:p>
        </w:tc>
      </w:tr>
      <w:tr>
        <w:tc>
          <w:tcPr>
            <w:tcW w:type="dxa" w:w="5112"/>
            <w:shd w:fill="F1F6F7"/>
          </w:tcPr>
          <w:p>
            <w:pPr>
              <w:spacing w:after="20"/>
            </w:pPr>
            <w:r>
              <w:rPr>
                <w:sz w:val="16"/>
              </w:rPr>
              <w:t>Explanation panel</w:t>
            </w:r>
          </w:p>
        </w:tc>
        <w:tc>
          <w:tcPr>
            <w:tcW w:type="dxa" w:w="5112"/>
            <w:shd w:fill="F1F6F7"/>
          </w:tcPr>
          <w:p>
            <w:pPr>
              <w:spacing w:after="20"/>
            </w:pPr>
            <w:r>
              <w:rPr>
                <w:sz w:val="16"/>
              </w:rPr>
              <w:t>Ranked patient-specific feature attributions, generated by the trained model.</w:t>
            </w:r>
          </w:p>
        </w:tc>
      </w:tr>
      <w:tr>
        <w:tc>
          <w:tcPr>
            <w:tcW w:type="dxa" w:w="5112"/>
          </w:tcPr>
          <w:p>
            <w:pPr>
              <w:spacing w:after="20"/>
            </w:pPr>
            <w:r>
              <w:rPr>
                <w:sz w:val="16"/>
              </w:rPr>
              <w:t>Safety disclaimer</w:t>
            </w:r>
          </w:p>
        </w:tc>
        <w:tc>
          <w:tcPr>
            <w:tcW w:type="dxa" w:w="5112"/>
          </w:tcPr>
          <w:p>
            <w:pPr>
              <w:spacing w:after="20"/>
            </w:pPr>
            <w:r>
              <w:rPr>
                <w:sz w:val="16"/>
              </w:rPr>
              <w:t>Educational and decision-support prototype; not a replacement for diagnosis.</w:t>
            </w:r>
          </w:p>
        </w:tc>
      </w:tr>
    </w:tbl>
    <w:p>
      <w:pPr>
        <w:spacing w:after="80"/>
      </w:pPr>
      <w:r/>
    </w:p>
    <w:p>
      <w:pPr>
        <w:spacing w:after="80"/>
      </w:pPr>
      <w:r>
        <w:t>Illustrative interface only; no real patient prediction is shown.</w:t>
      </w:r>
    </w:p>
    <w:p>
      <w:pPr>
        <w:pStyle w:val="Heading2"/>
      </w:pPr>
      <w:r>
        <w:t>What the user should see when selecting an artery</w:t>
      </w:r>
    </w:p>
    <w:p>
      <w:pPr>
        <w:spacing w:after="80"/>
      </w:pPr>
      <w:r>
        <w:t>For example, clicking LAD should open a vessel-specific panel with:</w:t>
      </w:r>
    </w:p>
    <w:p>
      <w:pPr>
        <w:pStyle w:val="ListBullet"/>
        <w:spacing w:after="80"/>
      </w:pPr>
      <w:r>
        <w:t>Predicted probability of LAD stenosis.</w:t>
      </w:r>
    </w:p>
    <w:p>
      <w:pPr>
        <w:pStyle w:val="ListBullet"/>
        <w:spacing w:after="80"/>
      </w:pPr>
      <w:r>
        <w:t>Predicted class under the model’s selected decision threshold.</w:t>
      </w:r>
    </w:p>
    <w:p>
      <w:pPr>
        <w:pStyle w:val="ListBullet"/>
        <w:spacing w:after="80"/>
      </w:pPr>
      <w:r>
        <w:t>Top patient-specific contributing measurements.</w:t>
      </w:r>
    </w:p>
    <w:p>
      <w:pPr>
        <w:pStyle w:val="ListBullet"/>
        <w:spacing w:after="80"/>
      </w:pPr>
      <w:r>
        <w:t>The LAD model’s validation performance.</w:t>
      </w:r>
    </w:p>
    <w:p>
      <w:pPr>
        <w:pStyle w:val="ListBullet"/>
        <w:spacing w:after="80"/>
      </w:pPr>
      <w:r>
        <w:t>A clear explanation that this is a model prediction, not confirmation of a blockage.</w:t>
      </w:r>
    </w:p>
    <w:p>
      <w:pPr>
        <w:spacing w:after="80"/>
      </w:pPr>
      <w:r>
        <w:t>The same behaviour applies independently to LCX and RCA.</w:t>
      </w:r>
    </w:p>
    <w:p>
      <w:pPr>
        <w:pStyle w:val="Heading2"/>
      </w:pPr>
      <w:r>
        <w:t>How to map probability to the 3D model</w:t>
      </w:r>
    </w:p>
    <w:tbl>
      <w:tblPr>
        <w:tblStyle w:val="TableGrid"/>
        <w:tblW w:type="auto" w:w="0"/>
        <w:tblLook w:firstColumn="1" w:firstRow="1" w:lastColumn="0" w:lastRow="0" w:noHBand="0" w:noVBand="1" w:val="04A0"/>
      </w:tblPr>
      <w:tblGrid>
        <w:gridCol w:w="5112"/>
        <w:gridCol w:w="5112"/>
      </w:tblGrid>
      <w:tr>
        <w:tc>
          <w:tcPr>
            <w:tcW w:type="dxa" w:w="5112"/>
            <w:shd w:fill="165669"/>
          </w:tcPr>
          <w:p>
            <w:r>
              <w:rPr>
                <w:b/>
                <w:color w:val="FFFFFF"/>
                <w:sz w:val="16"/>
              </w:rPr>
              <w:t>Probability band</w:t>
            </w:r>
          </w:p>
        </w:tc>
        <w:tc>
          <w:tcPr>
            <w:tcW w:type="dxa" w:w="5112"/>
            <w:shd w:fill="165669"/>
          </w:tcPr>
          <w:p>
            <w:r>
              <w:rPr>
                <w:b/>
                <w:color w:val="FFFFFF"/>
                <w:sz w:val="16"/>
              </w:rPr>
              <w:t>Suggested visual treatment</w:t>
            </w:r>
          </w:p>
        </w:tc>
      </w:tr>
      <w:tr>
        <w:tc>
          <w:tcPr>
            <w:tcW w:type="dxa" w:w="5112"/>
          </w:tcPr>
          <w:p>
            <w:pPr>
              <w:spacing w:after="20"/>
            </w:pPr>
            <w:r>
              <w:rPr>
                <w:sz w:val="16"/>
              </w:rPr>
              <w:t>0–24%</w:t>
            </w:r>
          </w:p>
        </w:tc>
        <w:tc>
          <w:tcPr>
            <w:tcW w:type="dxa" w:w="5112"/>
          </w:tcPr>
          <w:p>
            <w:pPr>
              <w:spacing w:after="20"/>
            </w:pPr>
            <w:r>
              <w:rPr>
                <w:sz w:val="16"/>
              </w:rPr>
              <w:t>Low predicted probability</w:t>
            </w:r>
          </w:p>
        </w:tc>
      </w:tr>
      <w:tr>
        <w:tc>
          <w:tcPr>
            <w:tcW w:type="dxa" w:w="5112"/>
            <w:shd w:fill="F1F6F7"/>
          </w:tcPr>
          <w:p>
            <w:pPr>
              <w:spacing w:after="20"/>
            </w:pPr>
            <w:r>
              <w:rPr>
                <w:sz w:val="16"/>
              </w:rPr>
              <w:t>25–49%</w:t>
            </w:r>
          </w:p>
        </w:tc>
        <w:tc>
          <w:tcPr>
            <w:tcW w:type="dxa" w:w="5112"/>
            <w:shd w:fill="F1F6F7"/>
          </w:tcPr>
          <w:p>
            <w:pPr>
              <w:spacing w:after="20"/>
            </w:pPr>
            <w:r>
              <w:rPr>
                <w:sz w:val="16"/>
              </w:rPr>
              <w:t>Intermediate-low predicted probability</w:t>
            </w:r>
          </w:p>
        </w:tc>
      </w:tr>
      <w:tr>
        <w:tc>
          <w:tcPr>
            <w:tcW w:type="dxa" w:w="5112"/>
          </w:tcPr>
          <w:p>
            <w:pPr>
              <w:spacing w:after="20"/>
            </w:pPr>
            <w:r>
              <w:rPr>
                <w:sz w:val="16"/>
              </w:rPr>
              <w:t>50–74%</w:t>
            </w:r>
          </w:p>
        </w:tc>
        <w:tc>
          <w:tcPr>
            <w:tcW w:type="dxa" w:w="5112"/>
          </w:tcPr>
          <w:p>
            <w:pPr>
              <w:spacing w:after="20"/>
            </w:pPr>
            <w:r>
              <w:rPr>
                <w:sz w:val="16"/>
              </w:rPr>
              <w:t>Intermediate-high predicted probability</w:t>
            </w:r>
          </w:p>
        </w:tc>
      </w:tr>
      <w:tr>
        <w:tc>
          <w:tcPr>
            <w:tcW w:type="dxa" w:w="5112"/>
            <w:shd w:fill="F1F6F7"/>
          </w:tcPr>
          <w:p>
            <w:pPr>
              <w:spacing w:after="20"/>
            </w:pPr>
            <w:r>
              <w:rPr>
                <w:sz w:val="16"/>
              </w:rPr>
              <w:t>75–100%</w:t>
            </w:r>
          </w:p>
        </w:tc>
        <w:tc>
          <w:tcPr>
            <w:tcW w:type="dxa" w:w="5112"/>
            <w:shd w:fill="F1F6F7"/>
          </w:tcPr>
          <w:p>
            <w:pPr>
              <w:spacing w:after="20"/>
            </w:pPr>
            <w:r>
              <w:rPr>
                <w:sz w:val="16"/>
              </w:rPr>
              <w:t>High predicted probability</w:t>
            </w:r>
          </w:p>
        </w:tc>
      </w:tr>
    </w:tbl>
    <w:p>
      <w:pPr>
        <w:spacing w:after="80"/>
      </w:pPr>
      <w:r/>
    </w:p>
    <w:p>
      <w:pPr>
        <w:spacing w:after="80"/>
      </w:pPr>
      <w:r>
        <w:t>These are illustrative UI bands, not medically validated risk categories or diagnostic thresholds. Choose the classifier’s decision threshold using training/validation data and the intended operating objective. Keep the visual legend distinct from that decision threshold.</w:t>
      </w:r>
    </w:p>
    <w:p>
      <w:pPr>
        <w:spacing w:after="80"/>
      </w:pPr>
      <w:r>
        <w:t>The model does not predict the exact stenosis percentage or lesion location. Colour the corresponding vessel using the predicted probability and include a legend that says precisely what the colour represents.</w:t>
      </w:r>
    </w:p>
    <w:p>
      <w:pPr>
        <w:pStyle w:val="Heading1"/>
      </w:pPr>
      <w:r>
        <w:t>9. Implementation architecture</w:t>
      </w:r>
    </w:p>
    <w:p>
      <w:r>
        <w:rPr>
          <w:rFonts w:ascii="Consolas" w:hAnsi="Consolas"/>
          <w:sz w:val="16"/>
        </w:rPr>
        <w:t>Patient Clinical Inputs\n        ↓\nSchema Validation and Preprocessing\n        ↓\n ┌──────────────┬──────────────┬──────────────┬──────────────┐\n CAD Classifier   LAD Classifier   LCX Classifier   RCA Classifier\n └──────────────┴──────────────┴──────────────┴──────────────┘\n        ↓\nPrediction API → Probabilities and Predicted Classes\n        ├──→ SHAP Explanation Service → Clinical Dashboard\n        └──→ 3D Heart Viewer → Vessel-specific probability mapping\n                    ↓\n             Clinical Safety Disclaimer</w:t>
      </w:r>
    </w:p>
    <w:p>
      <w:pPr>
        <w:pStyle w:val="Heading2"/>
      </w:pPr>
      <w:r>
        <w:t>Recommended stack</w:t>
      </w:r>
    </w:p>
    <w:p>
      <w:pPr>
        <w:pStyle w:val="ListBullet"/>
        <w:spacing w:after="80"/>
      </w:pPr>
      <w:r>
        <w:t>Data science: Python, pandas, NumPy, scikit-learn, SHAP.</w:t>
      </w:r>
    </w:p>
    <w:p>
      <w:pPr>
        <w:pStyle w:val="ListBullet"/>
        <w:spacing w:after="80"/>
      </w:pPr>
      <w:r>
        <w:t>Model API: FastAPI with versioned model artifacts.</w:t>
      </w:r>
    </w:p>
    <w:p>
      <w:pPr>
        <w:pStyle w:val="ListBullet"/>
        <w:spacing w:after="80"/>
      </w:pPr>
      <w:r>
        <w:t>Frontend: React and TypeScript.</w:t>
      </w:r>
    </w:p>
    <w:p>
      <w:pPr>
        <w:pStyle w:val="ListBullet"/>
        <w:spacing w:after="80"/>
      </w:pPr>
      <w:r>
        <w:t>3D rendering: Three.js or React Three Fiber.</w:t>
      </w:r>
    </w:p>
    <w:p>
      <w:pPr>
        <w:pStyle w:val="ListBullet"/>
        <w:spacing w:after="80"/>
      </w:pPr>
      <w:r>
        <w:t>Visualization: a licensed or appropriately licensed open-source GLB/glTF heart model, with separate vessel meshes.</w:t>
      </w:r>
    </w:p>
    <w:p>
      <w:pPr>
        <w:pStyle w:val="ListBullet"/>
        <w:spacing w:after="80"/>
      </w:pPr>
      <w:r>
        <w:t>Testing: automated preprocessing, API, prediction consistency and 3D vessel-mapping tests.</w:t>
      </w:r>
    </w:p>
    <w:p>
      <w:pPr>
        <w:spacing w:after="80"/>
      </w:pPr>
      <w:r>
        <w:t>Use the same saved preprocessing pipeline in training and inference. The API should return all four probabilities, class predictions, model version, explanation data and any warnings. The frontend must map each probability to the correct vessel identifier rather than assigning colours by display order.</w:t>
      </w:r>
    </w:p>
    <w:p>
      <w:pPr>
        <w:pStyle w:val="Heading1"/>
      </w:pPr>
      <w:r>
        <w:t>10. Your final project deliverables</w:t>
      </w:r>
    </w:p>
    <w:tbl>
      <w:tblPr>
        <w:tblStyle w:val="TableGrid"/>
        <w:tblW w:type="auto" w:w="0"/>
        <w:tblLook w:firstColumn="1" w:firstRow="1" w:lastColumn="0" w:lastRow="0" w:noHBand="0" w:noVBand="1" w:val="04A0"/>
      </w:tblPr>
      <w:tblGrid>
        <w:gridCol w:w="3408"/>
        <w:gridCol w:w="3408"/>
        <w:gridCol w:w="3408"/>
      </w:tblGrid>
      <w:tr>
        <w:tc>
          <w:tcPr>
            <w:tcW w:type="dxa" w:w="3408"/>
            <w:shd w:fill="165669"/>
          </w:tcPr>
          <w:p>
            <w:r>
              <w:rPr>
                <w:b/>
                <w:color w:val="FFFFFF"/>
                <w:sz w:val="16"/>
              </w:rPr>
              <w:t>No.</w:t>
            </w:r>
          </w:p>
        </w:tc>
        <w:tc>
          <w:tcPr>
            <w:tcW w:type="dxa" w:w="3408"/>
            <w:shd w:fill="165669"/>
          </w:tcPr>
          <w:p>
            <w:r>
              <w:rPr>
                <w:b/>
                <w:color w:val="FFFFFF"/>
                <w:sz w:val="16"/>
              </w:rPr>
              <w:t>Deliverable</w:t>
            </w:r>
          </w:p>
        </w:tc>
        <w:tc>
          <w:tcPr>
            <w:tcW w:type="dxa" w:w="3408"/>
            <w:shd w:fill="165669"/>
          </w:tcPr>
          <w:p>
            <w:r>
              <w:rPr>
                <w:b/>
                <w:color w:val="FFFFFF"/>
                <w:sz w:val="16"/>
              </w:rPr>
              <w:t>Contents</w:t>
            </w:r>
          </w:p>
        </w:tc>
      </w:tr>
      <w:tr>
        <w:tc>
          <w:tcPr>
            <w:tcW w:type="dxa" w:w="3408"/>
          </w:tcPr>
          <w:p>
            <w:pPr>
              <w:spacing w:after="20"/>
            </w:pPr>
            <w:r>
              <w:rPr>
                <w:sz w:val="16"/>
              </w:rPr>
              <w:t>01</w:t>
            </w:r>
          </w:p>
        </w:tc>
        <w:tc>
          <w:tcPr>
            <w:tcW w:type="dxa" w:w="3408"/>
          </w:tcPr>
          <w:p>
            <w:pPr>
              <w:spacing w:after="20"/>
            </w:pPr>
            <w:r>
              <w:rPr>
                <w:sz w:val="16"/>
              </w:rPr>
              <w:t>EDA report</w:t>
            </w:r>
          </w:p>
        </w:tc>
        <w:tc>
          <w:tcPr>
            <w:tcW w:type="dxa" w:w="3408"/>
          </w:tcPr>
          <w:p>
            <w:pPr>
              <w:spacing w:after="20"/>
            </w:pPr>
            <w:r>
              <w:rPr>
                <w:sz w:val="16"/>
              </w:rPr>
              <w:t>Data quality, distributions, class balance, outliers, correlations and label-consistency findings.</w:t>
            </w:r>
          </w:p>
        </w:tc>
      </w:tr>
      <w:tr>
        <w:tc>
          <w:tcPr>
            <w:tcW w:type="dxa" w:w="3408"/>
            <w:shd w:fill="F1F6F7"/>
          </w:tcPr>
          <w:p>
            <w:pPr>
              <w:spacing w:after="20"/>
            </w:pPr>
            <w:r>
              <w:rPr>
                <w:sz w:val="16"/>
              </w:rPr>
              <w:t>02</w:t>
            </w:r>
          </w:p>
        </w:tc>
        <w:tc>
          <w:tcPr>
            <w:tcW w:type="dxa" w:w="3408"/>
            <w:shd w:fill="F1F6F7"/>
          </w:tcPr>
          <w:p>
            <w:pPr>
              <w:spacing w:after="20"/>
            </w:pPr>
            <w:r>
              <w:rPr>
                <w:sz w:val="16"/>
              </w:rPr>
              <w:t>Four validated models</w:t>
            </w:r>
          </w:p>
        </w:tc>
        <w:tc>
          <w:tcPr>
            <w:tcW w:type="dxa" w:w="3408"/>
            <w:shd w:fill="F1F6F7"/>
          </w:tcPr>
          <w:p>
            <w:pPr>
              <w:spacing w:after="20"/>
            </w:pPr>
            <w:r>
              <w:rPr>
                <w:sz w:val="16"/>
              </w:rPr>
              <w:t>CAD, LAD, LCX and RCA classifiers, saved preprocessing and model weights.</w:t>
            </w:r>
          </w:p>
        </w:tc>
      </w:tr>
      <w:tr>
        <w:tc>
          <w:tcPr>
            <w:tcW w:type="dxa" w:w="3408"/>
          </w:tcPr>
          <w:p>
            <w:pPr>
              <w:spacing w:after="20"/>
            </w:pPr>
            <w:r>
              <w:rPr>
                <w:sz w:val="16"/>
              </w:rPr>
              <w:t>03</w:t>
            </w:r>
          </w:p>
        </w:tc>
        <w:tc>
          <w:tcPr>
            <w:tcW w:type="dxa" w:w="3408"/>
          </w:tcPr>
          <w:p>
            <w:pPr>
              <w:spacing w:after="20"/>
            </w:pPr>
            <w:r>
              <w:rPr>
                <w:sz w:val="16"/>
              </w:rPr>
              <w:t>Feature attribution report</w:t>
            </w:r>
          </w:p>
        </w:tc>
        <w:tc>
          <w:tcPr>
            <w:tcW w:type="dxa" w:w="3408"/>
          </w:tcPr>
          <w:p>
            <w:pPr>
              <w:spacing w:after="20"/>
            </w:pPr>
            <w:r>
              <w:rPr>
                <w:sz w:val="16"/>
              </w:rPr>
              <w:t>Global SHAP rankings per target, individual patient explanations and stability analysis.</w:t>
            </w:r>
          </w:p>
        </w:tc>
      </w:tr>
      <w:tr>
        <w:tc>
          <w:tcPr>
            <w:tcW w:type="dxa" w:w="3408"/>
            <w:shd w:fill="F1F6F7"/>
          </w:tcPr>
          <w:p>
            <w:pPr>
              <w:spacing w:after="20"/>
            </w:pPr>
            <w:r>
              <w:rPr>
                <w:sz w:val="16"/>
              </w:rPr>
              <w:t>04</w:t>
            </w:r>
          </w:p>
        </w:tc>
        <w:tc>
          <w:tcPr>
            <w:tcW w:type="dxa" w:w="3408"/>
            <w:shd w:fill="F1F6F7"/>
          </w:tcPr>
          <w:p>
            <w:pPr>
              <w:spacing w:after="20"/>
            </w:pPr>
            <w:r>
              <w:rPr>
                <w:sz w:val="16"/>
              </w:rPr>
              <w:t>Interactive 3D application</w:t>
            </w:r>
          </w:p>
        </w:tc>
        <w:tc>
          <w:tcPr>
            <w:tcW w:type="dxa" w:w="3408"/>
            <w:shd w:fill="F1F6F7"/>
          </w:tcPr>
          <w:p>
            <w:pPr>
              <w:spacing w:after="20"/>
            </w:pPr>
            <w:r>
              <w:rPr>
                <w:sz w:val="16"/>
              </w:rPr>
              <w:t>Heart and vessel selection, probability colour mapping, rotate/zoom controls and clinical dashboard.</w:t>
            </w:r>
          </w:p>
        </w:tc>
      </w:tr>
      <w:tr>
        <w:tc>
          <w:tcPr>
            <w:tcW w:type="dxa" w:w="3408"/>
          </w:tcPr>
          <w:p>
            <w:pPr>
              <w:spacing w:after="20"/>
            </w:pPr>
            <w:r>
              <w:rPr>
                <w:sz w:val="16"/>
              </w:rPr>
              <w:t>05</w:t>
            </w:r>
          </w:p>
        </w:tc>
        <w:tc>
          <w:tcPr>
            <w:tcW w:type="dxa" w:w="3408"/>
          </w:tcPr>
          <w:p>
            <w:pPr>
              <w:spacing w:after="20"/>
            </w:pPr>
            <w:r>
              <w:rPr>
                <w:sz w:val="16"/>
              </w:rPr>
              <w:t>Evaluation report</w:t>
            </w:r>
          </w:p>
        </w:tc>
        <w:tc>
          <w:tcPr>
            <w:tcW w:type="dxa" w:w="3408"/>
          </w:tcPr>
          <w:p>
            <w:pPr>
              <w:spacing w:after="20"/>
            </w:pPr>
            <w:r>
              <w:rPr>
                <w:sz w:val="16"/>
              </w:rPr>
              <w:t>Cross-validation metrics, confidence intervals, calibration, limitations and reproducibility details.</w:t>
            </w:r>
          </w:p>
        </w:tc>
      </w:tr>
      <w:tr>
        <w:tc>
          <w:tcPr>
            <w:tcW w:type="dxa" w:w="3408"/>
            <w:shd w:fill="F1F6F7"/>
          </w:tcPr>
          <w:p>
            <w:pPr>
              <w:spacing w:after="20"/>
            </w:pPr>
            <w:r>
              <w:rPr>
                <w:sz w:val="16"/>
              </w:rPr>
              <w:t>06</w:t>
            </w:r>
          </w:p>
        </w:tc>
        <w:tc>
          <w:tcPr>
            <w:tcW w:type="dxa" w:w="3408"/>
            <w:shd w:fill="F1F6F7"/>
          </w:tcPr>
          <w:p>
            <w:pPr>
              <w:spacing w:after="20"/>
            </w:pPr>
            <w:r>
              <w:rPr>
                <w:sz w:val="16"/>
              </w:rPr>
              <w:t>Demonstration</w:t>
            </w:r>
          </w:p>
        </w:tc>
        <w:tc>
          <w:tcPr>
            <w:tcW w:type="dxa" w:w="3408"/>
            <w:shd w:fill="F1F6F7"/>
          </w:tcPr>
          <w:p>
            <w:pPr>
              <w:spacing w:after="20"/>
            </w:pPr>
            <w:r>
              <w:rPr>
                <w:sz w:val="16"/>
              </w:rPr>
              <w:t>Patient input → four predictions → 3D vessel highlighting → explanation of the most influential features.</w:t>
            </w:r>
          </w:p>
        </w:tc>
      </w:tr>
    </w:tbl>
    <w:p>
      <w:pPr>
        <w:spacing w:after="80"/>
      </w:pPr>
      <w:r/>
    </w:p>
    <w:p>
      <w:pPr>
        <w:pStyle w:val="Heading1"/>
      </w:pPr>
      <w:r>
        <w:t>Final recommendation</w:t>
      </w:r>
    </w:p>
    <w:p>
      <w:pPr>
        <w:spacing w:after="80"/>
      </w:pPr>
      <w:r>
        <w:t>Your competitive advantage should be the combination of validated four-target prediction, target-specific feature attribution, and anatomically consistent 3D visualization—not simply a high accuracy score.</w:t>
      </w:r>
    </w:p>
    <w:p>
      <w:pPr>
        <w:spacing w:after="80"/>
      </w:pPr>
      <w:r>
        <w:t>The immediate next step is to implement the EDA and validation notebook before selecting the final model. The current dataset already reveals meaningful candidate signals, but the final feature ranking, predictive probabilities and performance claims must come from properly validated models.</w:t>
      </w:r>
    </w:p>
    <w:p>
      <w:pPr>
        <w:spacing w:after="80"/>
      </w:pPr>
      <w:r>
        <w:t>The project should clearly state that the predictions are for educational and decision-support purposes, not a substitute for formal diagnostic imaging or professional clinical assessment.</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3"/>
        <w:sz w:val="16"/>
      </w:rPr>
      <w:t>CardioVision 3D | Track A — Dataset Analysis and Model Blueprint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56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656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656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