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B1A33"/>
          <w:sz w:val="36"/>
        </w:rPr>
        <w:t>EIGER AI BANKING PLATFORM: SECURITY IMPROVEMENTS REPORT</w:t>
      </w:r>
    </w:p>
    <w:p>
      <w:pPr>
        <w:spacing w:before="0" w:after="280"/>
      </w:pPr>
      <w:r>
        <w:rPr>
          <w:rFonts w:ascii="Arial" w:hAnsi="Arial"/>
          <w:color w:val="46505F"/>
          <w:sz w:val="22"/>
        </w:rPr>
        <w:t>Exhaustive Differential Analysis of Security Controls: Vulnerable Benchmark Application vs. Hardened Architecture</w:t>
      </w:r>
    </w:p>
    <w:tbl>
      <w:tblPr>
        <w:tblW w:type="auto" w:w="0"/>
        <w:jc w:val="center"/>
        <w:tblLook w:firstColumn="1" w:firstRow="1" w:lastColumn="0" w:lastRow="0" w:noHBand="0" w:noVBand="1" w:val="04A0"/>
      </w:tblPr>
      <w:tblGrid>
        <w:gridCol w:w="2520"/>
        <w:gridCol w:w="2520"/>
        <w:gridCol w:w="2520"/>
        <w:gridCol w:w="2520"/>
      </w:tblGrid>
      <w:tr>
        <w:tc>
          <w:tcPr>
            <w:tcW w:type="dxa" w:w="2520"/>
            <w:shd w:fill="F1F5F9"/>
            <w:tcMar>
              <w:top w:w="60" w:type="dxa"/>
              <w:bottom w:w="60" w:type="dxa"/>
              <w:left w:w="80" w:type="dxa"/>
              <w:right w:w="80" w:type="dxa"/>
            </w:tcMar>
          </w:tcPr>
          <w:p>
            <w:pPr>
              <w:spacing w:after="0"/>
            </w:pPr>
            <w:r>
              <w:rPr>
                <w:rFonts w:ascii="Calibri" w:hAnsi="Calibri"/>
                <w:b/>
                <w:color w:val="46505F"/>
                <w:sz w:val="19"/>
              </w:rPr>
              <w:t xml:space="preserve">Benchmark Repo: </w:t>
            </w:r>
            <w:r>
              <w:rPr>
                <w:rFonts w:ascii="Calibri" w:hAnsi="Calibri"/>
                <w:b/>
                <w:color w:val="0B1A33"/>
                <w:sz w:val="19"/>
              </w:rPr>
              <w:t>eiger (m3-submission)</w:t>
            </w:r>
          </w:p>
        </w:tc>
        <w:tc>
          <w:tcPr>
            <w:tcW w:type="dxa" w:w="2520"/>
            <w:shd w:fill="F1F5F9"/>
            <w:tcMar>
              <w:top w:w="60" w:type="dxa"/>
              <w:bottom w:w="60" w:type="dxa"/>
              <w:left w:w="80" w:type="dxa"/>
              <w:right w:w="80" w:type="dxa"/>
            </w:tcMar>
          </w:tcPr>
          <w:p>
            <w:pPr>
              <w:spacing w:after="0"/>
            </w:pPr>
            <w:r>
              <w:rPr>
                <w:rFonts w:ascii="Calibri" w:hAnsi="Calibri"/>
                <w:b/>
                <w:color w:val="46505F"/>
                <w:sz w:val="19"/>
              </w:rPr>
              <w:t xml:space="preserve">Hardened Repo: </w:t>
            </w:r>
            <w:r>
              <w:rPr>
                <w:rFonts w:ascii="Calibri" w:hAnsi="Calibri"/>
                <w:b/>
                <w:color w:val="0B1A33"/>
                <w:sz w:val="19"/>
              </w:rPr>
              <w:t>eiger repo 2 (security-hardening)</w:t>
            </w:r>
          </w:p>
        </w:tc>
        <w:tc>
          <w:tcPr>
            <w:tcW w:type="dxa" w:w="2520"/>
            <w:shd w:fill="F1F5F9"/>
            <w:tcMar>
              <w:top w:w="60" w:type="dxa"/>
              <w:bottom w:w="60" w:type="dxa"/>
              <w:left w:w="80" w:type="dxa"/>
              <w:right w:w="80" w:type="dxa"/>
            </w:tcMar>
          </w:tcPr>
          <w:p>
            <w:pPr>
              <w:spacing w:after="0"/>
            </w:pPr>
            <w:r>
              <w:rPr>
                <w:rFonts w:ascii="Calibri" w:hAnsi="Calibri"/>
                <w:b/>
                <w:color w:val="46505F"/>
                <w:sz w:val="19"/>
              </w:rPr>
              <w:t xml:space="preserve">Report Date: </w:t>
            </w:r>
            <w:r>
              <w:rPr>
                <w:rFonts w:ascii="Calibri" w:hAnsi="Calibri"/>
                <w:b/>
                <w:color w:val="0B1A33"/>
                <w:sz w:val="19"/>
              </w:rPr>
              <w:t>27 October 2026</w:t>
            </w:r>
          </w:p>
        </w:tc>
        <w:tc>
          <w:tcPr>
            <w:tcW w:type="dxa" w:w="2520"/>
            <w:shd w:fill="F1F5F9"/>
            <w:tcMar>
              <w:top w:w="60" w:type="dxa"/>
              <w:bottom w:w="60" w:type="dxa"/>
              <w:left w:w="80" w:type="dxa"/>
              <w:right w:w="80" w:type="dxa"/>
            </w:tcMar>
          </w:tcPr>
          <w:p>
            <w:pPr>
              <w:spacing w:after="0"/>
            </w:pPr>
            <w:r>
              <w:rPr>
                <w:rFonts w:ascii="Calibri" w:hAnsi="Calibri"/>
                <w:b/>
                <w:color w:val="46505F"/>
                <w:sz w:val="19"/>
              </w:rPr>
              <w:t xml:space="preserve">Assessment Scope: </w:t>
            </w:r>
            <w:r>
              <w:rPr>
                <w:rFonts w:ascii="Calibri" w:hAnsi="Calibri"/>
                <w:b/>
                <w:color w:val="0B1A33"/>
                <w:sz w:val="19"/>
              </w:rPr>
              <w:t>Full Platform Audit</w:t>
            </w:r>
          </w:p>
        </w:tc>
      </w:tr>
      <w:tr>
        <w:tc>
          <w:tcPr>
            <w:tcW w:type="dxa" w:w="2520"/>
            <w:shd w:fill="FFFFFF"/>
            <w:tcMar>
              <w:top w:w="60" w:type="dxa"/>
              <w:bottom w:w="60" w:type="dxa"/>
              <w:left w:w="80" w:type="dxa"/>
              <w:right w:w="80" w:type="dxa"/>
            </w:tcMar>
          </w:tcPr>
          <w:p>
            <w:pPr>
              <w:spacing w:after="0"/>
            </w:pPr>
            <w:r>
              <w:rPr>
                <w:rFonts w:ascii="Calibri" w:hAnsi="Calibri"/>
                <w:b/>
                <w:color w:val="46505F"/>
                <w:sz w:val="19"/>
              </w:rPr>
              <w:t xml:space="preserve">Benchmark State: </w:t>
            </w:r>
            <w:r>
              <w:rPr>
                <w:rFonts w:ascii="Calibri" w:hAnsi="Calibri"/>
                <w:b/>
                <w:color w:val="0B1A33"/>
                <w:sz w:val="19"/>
              </w:rPr>
              <w:t>Baseline / Unhardened</w:t>
            </w:r>
          </w:p>
        </w:tc>
        <w:tc>
          <w:tcPr>
            <w:tcW w:type="dxa" w:w="2520"/>
            <w:shd w:fill="FFFFFF"/>
            <w:tcMar>
              <w:top w:w="60" w:type="dxa"/>
              <w:bottom w:w="60" w:type="dxa"/>
              <w:left w:w="80" w:type="dxa"/>
              <w:right w:w="80" w:type="dxa"/>
            </w:tcMar>
          </w:tcPr>
          <w:p>
            <w:pPr>
              <w:spacing w:after="0"/>
            </w:pPr>
            <w:r>
              <w:rPr>
                <w:rFonts w:ascii="Calibri" w:hAnsi="Calibri"/>
                <w:b/>
                <w:color w:val="46505F"/>
                <w:sz w:val="19"/>
              </w:rPr>
              <w:t xml:space="preserve">Hardened Status: </w:t>
            </w:r>
            <w:r>
              <w:rPr>
                <w:rFonts w:ascii="Calibri" w:hAnsi="Calibri"/>
                <w:b/>
                <w:color w:val="198754"/>
                <w:sz w:val="19"/>
              </w:rPr>
              <w:t>Remediated &amp; Verified</w:t>
            </w:r>
          </w:p>
        </w:tc>
        <w:tc>
          <w:tcPr>
            <w:tcW w:type="dxa" w:w="2520"/>
            <w:shd w:fill="FFFFFF"/>
            <w:tcMar>
              <w:top w:w="60" w:type="dxa"/>
              <w:bottom w:w="60" w:type="dxa"/>
              <w:left w:w="80" w:type="dxa"/>
              <w:right w:w="80" w:type="dxa"/>
            </w:tcMar>
          </w:tcPr>
          <w:p>
            <w:pPr>
              <w:spacing w:after="0"/>
            </w:pPr>
            <w:r>
              <w:rPr>
                <w:rFonts w:ascii="Calibri" w:hAnsi="Calibri"/>
                <w:b/>
                <w:color w:val="46505F"/>
                <w:sz w:val="19"/>
              </w:rPr>
              <w:t xml:space="preserve">Test Suite: </w:t>
            </w:r>
            <w:r>
              <w:rPr>
                <w:rFonts w:ascii="Calibri" w:hAnsi="Calibri"/>
                <w:b/>
                <w:color w:val="198754"/>
                <w:sz w:val="19"/>
              </w:rPr>
              <w:t>446 Passed, 0 Failed</w:t>
            </w:r>
          </w:p>
        </w:tc>
        <w:tc>
          <w:tcPr>
            <w:tcW w:type="dxa" w:w="2520"/>
            <w:shd w:fill="FFFFFF"/>
            <w:tcMar>
              <w:top w:w="60" w:type="dxa"/>
              <w:bottom w:w="60" w:type="dxa"/>
              <w:left w:w="80" w:type="dxa"/>
              <w:right w:w="80" w:type="dxa"/>
            </w:tcMar>
          </w:tcPr>
          <w:p>
            <w:pPr>
              <w:spacing w:after="0"/>
            </w:pPr>
            <w:r>
              <w:rPr>
                <w:rFonts w:ascii="Calibri" w:hAnsi="Calibri"/>
                <w:b/>
                <w:color w:val="46505F"/>
                <w:sz w:val="19"/>
              </w:rPr>
              <w:t xml:space="preserve">Negative Security Tests: </w:t>
            </w:r>
            <w:r>
              <w:rPr>
                <w:rFonts w:ascii="Calibri" w:hAnsi="Calibri"/>
                <w:b/>
                <w:color w:val="0B1A33"/>
                <w:sz w:val="19"/>
              </w:rPr>
              <w:t>35 Dedicated Invariants</w:t>
            </w:r>
          </w:p>
        </w:tc>
      </w:tr>
    </w:tbl>
    <w:p>
      <w:pPr>
        <w:spacing w:before="360" w:after="120"/>
      </w:pPr>
      <w:r>
        <w:rPr>
          <w:rFonts w:ascii="Arial" w:hAnsi="Arial"/>
          <w:b/>
          <w:color w:val="0B1A33"/>
          <w:sz w:val="28"/>
        </w:rPr>
        <w:t>1. Executive Summary &amp; Assessment Methodology</w:t>
      </w:r>
    </w:p>
    <w:p>
      <w:pPr>
        <w:spacing w:before="40" w:after="80" w:line="276" w:lineRule="auto"/>
      </w:pPr>
      <w:r>
        <w:rPr>
          <w:rFonts w:ascii="Calibri" w:hAnsi="Calibri"/>
          <w:color w:val="212529"/>
          <w:sz w:val="20"/>
        </w:rPr>
        <w:t>This engineering report provides an exhaustive, finding-by-finding differential analysis of every security improvement, architectural boundary, and defense-in-depth safeguard implemented in the hardened application ('eiger repo 2', branch 'security-hardening') compared against the original, unhardened baseline benchmark application ('eiger', branch 'm3-submission'). The baseline benchmark repository has been strictly preserved in a clean, untouched state to serve as the immutable reference standard.</w:t>
      </w:r>
    </w:p>
    <w:p>
      <w:pPr>
        <w:spacing w:before="40" w:after="80" w:line="276" w:lineRule="auto"/>
      </w:pPr>
      <w:r>
        <w:rPr>
          <w:rFonts w:ascii="Calibri" w:hAnsi="Calibri"/>
          <w:color w:val="212529"/>
          <w:sz w:val="20"/>
        </w:rPr>
        <w:t>Across the engagement, the platform was systematically evaluated across all 43 VAPT findings, 9 adversarial probe gaps, 6 newly raised operational exposures, and the OWASP Top 10 for Large Language Model Applications. Where the benchmark application accepted untrusted model instructions, executed arbitrary money creation, exposed unauthenticated daemon endpoints, and lacked persistent auditability, the hardened architecture establishes deterministic, non-bypassable security contracts.</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Borders>
              <w:left w:val="single" w:sz="24" w:space="0" w:color="0D6EFD"/>
              <w:top w:val="none"/>
              <w:right w:val="none"/>
              <w:bottom w:val="none"/>
            </w:tcBorders>
          </w:tcPr>
          <w:p>
            <w:pPr>
              <w:spacing w:after="0" w:line="276" w:lineRule="auto"/>
            </w:pPr>
            <w:r>
              <w:rPr>
                <w:rFonts w:ascii="Calibri" w:hAnsi="Calibri"/>
                <w:b/>
                <w:color w:val="0B1A33"/>
                <w:sz w:val="20"/>
              </w:rPr>
              <w:t xml:space="preserve">Core Architectural Qualification: </w:t>
            </w:r>
            <w:r>
              <w:rPr>
                <w:rFonts w:ascii="Calibri" w:hAnsi="Calibri"/>
                <w:color w:val="212529"/>
                <w:sz w:val="19"/>
              </w:rPr>
              <w:t>Software Persistence vs. Deployment Restrictions: Documenting a database requirement in documentation or comments is a deployment restriction, not implemented software persistence. In the benchmark application, process-local in-memory dictionaries allowed arbitrary demo balances and loss of state on restart. The hardened platform implements a true transactional PostgreSQL ACID ledger with row-level locks (SELECT ... FOR UPDATE), atomic audit outbox commits, and crash-resilient idempotency.</w:t>
            </w:r>
          </w:p>
        </w:tc>
      </w:tr>
    </w:tbl>
    <w:p>
      <w:pPr>
        <w:spacing w:after="40"/>
      </w:pPr>
    </w:p>
    <w:p>
      <w:pPr>
        <w:spacing w:before="360" w:after="120"/>
      </w:pPr>
      <w:r>
        <w:rPr>
          <w:rFonts w:ascii="Arial" w:hAnsi="Arial"/>
          <w:b/>
          <w:color w:val="0B1A33"/>
          <w:sz w:val="28"/>
        </w:rPr>
        <w:t>2. Master Comparative Analysis Matrix</w:t>
      </w:r>
    </w:p>
    <w:p>
      <w:pPr>
        <w:spacing w:before="40" w:after="80" w:line="276" w:lineRule="auto"/>
      </w:pPr>
      <w:r>
        <w:rPr>
          <w:rFonts w:ascii="Calibri" w:hAnsi="Calibri"/>
          <w:color w:val="212529"/>
          <w:sz w:val="20"/>
        </w:rPr>
        <w:t>The following matrix summarizes the fundamental differences between the benchmark application and the hardened platform across all technical domains: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B1A33"/>
            <w:tcMar>
              <w:top w:w="60" w:type="dxa"/>
              <w:bottom w:w="60" w:type="dxa"/>
              <w:left w:w="60" w:type="dxa"/>
              <w:right w:w="60" w:type="dxa"/>
            </w:tcMar>
          </w:tcPr>
          <w:p>
            <w:r>
              <w:rPr>
                <w:rFonts w:ascii="Calibri" w:hAnsi="Calibri"/>
                <w:b/>
                <w:color w:val="FFFFFF"/>
                <w:sz w:val="18"/>
              </w:rPr>
              <w:t>Domain / Asset</w:t>
            </w:r>
          </w:p>
        </w:tc>
        <w:tc>
          <w:tcPr>
            <w:tcW w:type="dxa" w:w="1680"/>
            <w:shd w:fill="0B1A33"/>
            <w:tcMar>
              <w:top w:w="60" w:type="dxa"/>
              <w:bottom w:w="60" w:type="dxa"/>
              <w:left w:w="60" w:type="dxa"/>
              <w:right w:w="60" w:type="dxa"/>
            </w:tcMar>
          </w:tcPr>
          <w:p>
            <w:r>
              <w:rPr>
                <w:rFonts w:ascii="Calibri" w:hAnsi="Calibri"/>
                <w:b/>
                <w:color w:val="FFFFFF"/>
                <w:sz w:val="18"/>
              </w:rPr>
              <w:t>Benchmark State (eiger)</w:t>
            </w:r>
          </w:p>
        </w:tc>
        <w:tc>
          <w:tcPr>
            <w:tcW w:type="dxa" w:w="1680"/>
            <w:shd w:fill="0B1A33"/>
            <w:tcMar>
              <w:top w:w="60" w:type="dxa"/>
              <w:bottom w:w="60" w:type="dxa"/>
              <w:left w:w="60" w:type="dxa"/>
              <w:right w:w="60" w:type="dxa"/>
            </w:tcMar>
          </w:tcPr>
          <w:p>
            <w:r>
              <w:rPr>
                <w:rFonts w:ascii="Calibri" w:hAnsi="Calibri"/>
                <w:b/>
                <w:color w:val="FFFFFF"/>
                <w:sz w:val="18"/>
              </w:rPr>
              <w:t>Hardened State (eiger repo 2)</w:t>
            </w:r>
          </w:p>
        </w:tc>
        <w:tc>
          <w:tcPr>
            <w:tcW w:type="dxa" w:w="1680"/>
            <w:shd w:fill="0B1A33"/>
            <w:tcMar>
              <w:top w:w="60" w:type="dxa"/>
              <w:bottom w:w="60" w:type="dxa"/>
              <w:left w:w="60" w:type="dxa"/>
              <w:right w:w="60" w:type="dxa"/>
            </w:tcMar>
          </w:tcPr>
          <w:p>
            <w:r>
              <w:rPr>
                <w:rFonts w:ascii="Calibri" w:hAnsi="Calibri"/>
                <w:b/>
                <w:color w:val="FFFFFF"/>
                <w:sz w:val="18"/>
              </w:rPr>
              <w:t>Key Files Changed</w:t>
            </w:r>
          </w:p>
        </w:tc>
        <w:tc>
          <w:tcPr>
            <w:tcW w:type="dxa" w:w="1680"/>
            <w:shd w:fill="0B1A33"/>
            <w:tcMar>
              <w:top w:w="60" w:type="dxa"/>
              <w:bottom w:w="60" w:type="dxa"/>
              <w:left w:w="60" w:type="dxa"/>
              <w:right w:w="60" w:type="dxa"/>
            </w:tcMar>
          </w:tcPr>
          <w:p>
            <w:r>
              <w:rPr>
                <w:rFonts w:ascii="Calibri" w:hAnsi="Calibri"/>
                <w:b/>
                <w:color w:val="FFFFFF"/>
                <w:sz w:val="18"/>
              </w:rPr>
              <w:t>Defensive Control</w:t>
            </w:r>
          </w:p>
        </w:tc>
        <w:tc>
          <w:tcPr>
            <w:tcW w:type="dxa" w:w="1680"/>
            <w:shd w:fill="0B1A33"/>
            <w:tcMar>
              <w:top w:w="60" w:type="dxa"/>
              <w:bottom w:w="60" w:type="dxa"/>
              <w:left w:w="60" w:type="dxa"/>
              <w:right w:w="60" w:type="dxa"/>
            </w:tcMar>
          </w:tcPr>
          <w:p>
            <w:r>
              <w:rPr>
                <w:rFonts w:ascii="Calibri" w:hAnsi="Calibri"/>
                <w:b/>
                <w:color w:val="FFFFFF"/>
                <w:sz w:val="18"/>
              </w:rPr>
              <w:t>Finding Ref</w:t>
            </w:r>
          </w:p>
        </w:tc>
      </w:tr>
      <w:tr>
        <w:tc>
          <w:tcPr>
            <w:tcW w:type="dxa" w:w="1680"/>
            <w:shd w:fill="F8FAFC"/>
            <w:tcMar>
              <w:top w:w="40" w:type="dxa"/>
              <w:bottom w:w="40" w:type="dxa"/>
              <w:left w:w="50" w:type="dxa"/>
              <w:right w:w="50" w:type="dxa"/>
            </w:tcMar>
          </w:tcPr>
          <w:p>
            <w:r>
              <w:rPr>
                <w:rFonts w:ascii="Calibri" w:hAnsi="Calibri"/>
                <w:b/>
                <w:color w:val="0B1A33"/>
                <w:sz w:val="17"/>
              </w:rPr>
              <w:t>Web Authentication</w:t>
            </w:r>
          </w:p>
        </w:tc>
        <w:tc>
          <w:tcPr>
            <w:tcW w:type="dxa" w:w="1680"/>
            <w:shd w:fill="F8FAFC"/>
            <w:tcMar>
              <w:top w:w="40" w:type="dxa"/>
              <w:bottom w:w="40" w:type="dxa"/>
              <w:left w:w="50" w:type="dxa"/>
              <w:right w:w="50" w:type="dxa"/>
            </w:tcMar>
          </w:tcPr>
          <w:p>
            <w:r>
              <w:rPr>
                <w:rFonts w:ascii="Calibri" w:hAnsi="Calibri"/>
                <w:color w:val="DC3545"/>
                <w:sz w:val="16"/>
              </w:rPr>
              <w:t>Accepts unsigned/unverified bearer strings; fallback accepts raw session tokens.</w:t>
            </w:r>
          </w:p>
        </w:tc>
        <w:tc>
          <w:tcPr>
            <w:tcW w:type="dxa" w:w="1680"/>
            <w:shd w:fill="F8FAFC"/>
            <w:tcMar>
              <w:top w:w="40" w:type="dxa"/>
              <w:bottom w:w="40" w:type="dxa"/>
              <w:left w:w="50" w:type="dxa"/>
              <w:right w:w="50" w:type="dxa"/>
            </w:tcMar>
          </w:tcPr>
          <w:p>
            <w:r>
              <w:rPr>
                <w:rFonts w:ascii="Calibri" w:hAnsi="Calibri"/>
                <w:b/>
                <w:color w:val="198754"/>
                <w:sz w:val="16"/>
              </w:rPr>
              <w:t>Strict OIDC JWKS cryptographic verification; unverified tokens rejected with 401/403.</w:t>
            </w:r>
          </w:p>
        </w:tc>
        <w:tc>
          <w:tcPr>
            <w:tcW w:type="dxa" w:w="1680"/>
            <w:shd w:fill="F8FAFC"/>
            <w:tcMar>
              <w:top w:w="40" w:type="dxa"/>
              <w:bottom w:w="40" w:type="dxa"/>
              <w:left w:w="50" w:type="dxa"/>
              <w:right w:w="50" w:type="dxa"/>
            </w:tcMar>
          </w:tcPr>
          <w:p>
            <w:r>
              <w:rPr>
                <w:rFonts w:ascii="Consolas" w:hAnsi="Consolas"/>
                <w:color w:val="46505F"/>
                <w:sz w:val="15"/>
              </w:rPr>
              <w:t>halcyon/web.py</w:t>
            </w:r>
          </w:p>
        </w:tc>
        <w:tc>
          <w:tcPr>
            <w:tcW w:type="dxa" w:w="1680"/>
            <w:shd w:fill="F8FAFC"/>
            <w:tcMar>
              <w:top w:w="40" w:type="dxa"/>
              <w:bottom w:w="40" w:type="dxa"/>
              <w:left w:w="50" w:type="dxa"/>
              <w:right w:w="50" w:type="dxa"/>
            </w:tcMar>
          </w:tcPr>
          <w:p>
            <w:r>
              <w:rPr>
                <w:rFonts w:ascii="Calibri" w:hAnsi="Calibri"/>
                <w:sz w:val="16"/>
              </w:rPr>
              <w:t>OIDC Cryptographic Auth</w:t>
            </w:r>
          </w:p>
        </w:tc>
        <w:tc>
          <w:tcPr>
            <w:tcW w:type="dxa" w:w="1680"/>
            <w:shd w:fill="F8FAFC"/>
            <w:tcMar>
              <w:top w:w="40" w:type="dxa"/>
              <w:bottom w:w="40" w:type="dxa"/>
              <w:left w:w="50" w:type="dxa"/>
              <w:right w:w="50" w:type="dxa"/>
            </w:tcMar>
          </w:tcPr>
          <w:p>
            <w:r>
              <w:rPr>
                <w:rFonts w:ascii="Calibri" w:hAnsi="Calibri"/>
                <w:b/>
                <w:color w:val="0B1A33"/>
                <w:sz w:val="16"/>
              </w:rPr>
              <w:t>VAPT-026, Critical</w:t>
            </w:r>
          </w:p>
        </w:tc>
      </w:tr>
      <w:tr>
        <w:tc>
          <w:tcPr>
            <w:tcW w:type="dxa" w:w="1680"/>
            <w:shd w:fill="FFFFFF"/>
            <w:tcMar>
              <w:top w:w="40" w:type="dxa"/>
              <w:bottom w:w="40" w:type="dxa"/>
              <w:left w:w="50" w:type="dxa"/>
              <w:right w:w="50" w:type="dxa"/>
            </w:tcMar>
          </w:tcPr>
          <w:p>
            <w:r>
              <w:rPr>
                <w:rFonts w:ascii="Calibri" w:hAnsi="Calibri"/>
                <w:b/>
                <w:color w:val="0B1A33"/>
                <w:sz w:val="17"/>
              </w:rPr>
              <w:t>Session Fixation</w:t>
            </w:r>
          </w:p>
        </w:tc>
        <w:tc>
          <w:tcPr>
            <w:tcW w:type="dxa" w:w="1680"/>
            <w:shd w:fill="FFFFFF"/>
            <w:tcMar>
              <w:top w:w="40" w:type="dxa"/>
              <w:bottom w:w="40" w:type="dxa"/>
              <w:left w:w="50" w:type="dxa"/>
              <w:right w:w="50" w:type="dxa"/>
            </w:tcMar>
          </w:tcPr>
          <w:p>
            <w:r>
              <w:rPr>
                <w:rFonts w:ascii="Calibri" w:hAnsi="Calibri"/>
                <w:color w:val="DC3545"/>
                <w:sz w:val="16"/>
              </w:rPr>
              <w:t>GET /chat?session=alice sets production cookie for alice; legacy 2-part cookies accepted.</w:t>
            </w:r>
          </w:p>
        </w:tc>
        <w:tc>
          <w:tcPr>
            <w:tcW w:type="dxa" w:w="1680"/>
            <w:shd w:fill="FFFFFF"/>
            <w:tcMar>
              <w:top w:w="40" w:type="dxa"/>
              <w:bottom w:w="40" w:type="dxa"/>
              <w:left w:w="50" w:type="dxa"/>
              <w:right w:w="50" w:type="dxa"/>
            </w:tcMar>
          </w:tcPr>
          <w:p>
            <w:r>
              <w:rPr>
                <w:rFonts w:ascii="Calibri" w:hAnsi="Calibri"/>
                <w:b/>
                <w:color w:val="198754"/>
                <w:sz w:val="16"/>
              </w:rPr>
              <w:t>Caller-selected URL sessions rejected; server mints cryptographically signed random eiger-{hex} IDs.</w:t>
            </w:r>
          </w:p>
        </w:tc>
        <w:tc>
          <w:tcPr>
            <w:tcW w:type="dxa" w:w="1680"/>
            <w:shd w:fill="FFFFFF"/>
            <w:tcMar>
              <w:top w:w="40" w:type="dxa"/>
              <w:bottom w:w="40" w:type="dxa"/>
              <w:left w:w="50" w:type="dxa"/>
              <w:right w:w="50" w:type="dxa"/>
            </w:tcMar>
          </w:tcPr>
          <w:p>
            <w:r>
              <w:rPr>
                <w:rFonts w:ascii="Consolas" w:hAnsi="Consolas"/>
                <w:color w:val="46505F"/>
                <w:sz w:val="15"/>
              </w:rPr>
              <w:t>halcyon/web.py</w:t>
            </w:r>
          </w:p>
        </w:tc>
        <w:tc>
          <w:tcPr>
            <w:tcW w:type="dxa" w:w="1680"/>
            <w:shd w:fill="FFFFFF"/>
            <w:tcMar>
              <w:top w:w="40" w:type="dxa"/>
              <w:bottom w:w="40" w:type="dxa"/>
              <w:left w:w="50" w:type="dxa"/>
              <w:right w:w="50" w:type="dxa"/>
            </w:tcMar>
          </w:tcPr>
          <w:p>
            <w:r>
              <w:rPr>
                <w:rFonts w:ascii="Calibri" w:hAnsi="Calibri"/>
                <w:sz w:val="16"/>
              </w:rPr>
              <w:t>Server-Minted Sessions</w:t>
            </w:r>
          </w:p>
        </w:tc>
        <w:tc>
          <w:tcPr>
            <w:tcW w:type="dxa" w:w="1680"/>
            <w:shd w:fill="FFFFFF"/>
            <w:tcMar>
              <w:top w:w="40" w:type="dxa"/>
              <w:bottom w:w="40" w:type="dxa"/>
              <w:left w:w="50" w:type="dxa"/>
              <w:right w:w="50" w:type="dxa"/>
            </w:tcMar>
          </w:tcPr>
          <w:p>
            <w:r>
              <w:rPr>
                <w:rFonts w:ascii="Calibri" w:hAnsi="Calibri"/>
                <w:b/>
                <w:color w:val="0B1A33"/>
                <w:sz w:val="16"/>
              </w:rPr>
              <w:t>VAPT-021, High</w:t>
            </w:r>
          </w:p>
        </w:tc>
      </w:tr>
      <w:tr>
        <w:tc>
          <w:tcPr>
            <w:tcW w:type="dxa" w:w="1680"/>
            <w:shd w:fill="F8FAFC"/>
            <w:tcMar>
              <w:top w:w="40" w:type="dxa"/>
              <w:bottom w:w="40" w:type="dxa"/>
              <w:left w:w="50" w:type="dxa"/>
              <w:right w:w="50" w:type="dxa"/>
            </w:tcMar>
          </w:tcPr>
          <w:p>
            <w:r>
              <w:rPr>
                <w:rFonts w:ascii="Calibri" w:hAnsi="Calibri"/>
                <w:b/>
                <w:color w:val="0B1A33"/>
                <w:sz w:val="17"/>
              </w:rPr>
              <w:t>Cookie Security</w:t>
            </w:r>
          </w:p>
        </w:tc>
        <w:tc>
          <w:tcPr>
            <w:tcW w:type="dxa" w:w="1680"/>
            <w:shd w:fill="F8FAFC"/>
            <w:tcMar>
              <w:top w:w="40" w:type="dxa"/>
              <w:bottom w:w="40" w:type="dxa"/>
              <w:left w:w="50" w:type="dxa"/>
              <w:right w:w="50" w:type="dxa"/>
            </w:tcMar>
          </w:tcPr>
          <w:p>
            <w:r>
              <w:rPr>
                <w:rFonts w:ascii="Calibri" w:hAnsi="Calibri"/>
                <w:color w:val="DC3545"/>
                <w:sz w:val="16"/>
              </w:rPr>
              <w:t>Cookies lack Secure, HttpOnly, and SameSite attributes; infinite session lifetime.</w:t>
            </w:r>
          </w:p>
        </w:tc>
        <w:tc>
          <w:tcPr>
            <w:tcW w:type="dxa" w:w="1680"/>
            <w:shd w:fill="F8FAFC"/>
            <w:tcMar>
              <w:top w:w="40" w:type="dxa"/>
              <w:bottom w:w="40" w:type="dxa"/>
              <w:left w:w="50" w:type="dxa"/>
              <w:right w:w="50" w:type="dxa"/>
            </w:tcMar>
          </w:tcPr>
          <w:p>
            <w:r>
              <w:rPr>
                <w:rFonts w:ascii="Calibri" w:hAnsi="Calibri"/>
                <w:b/>
                <w:color w:val="198754"/>
                <w:sz w:val="16"/>
              </w:rPr>
              <w:t>Hardened profile enforces Secure, HttpOnly, SameSite=Strict, and 24h Max-Age (86400).</w:t>
            </w:r>
          </w:p>
        </w:tc>
        <w:tc>
          <w:tcPr>
            <w:tcW w:type="dxa" w:w="1680"/>
            <w:shd w:fill="F8FAFC"/>
            <w:tcMar>
              <w:top w:w="40" w:type="dxa"/>
              <w:bottom w:w="40" w:type="dxa"/>
              <w:left w:w="50" w:type="dxa"/>
              <w:right w:w="50" w:type="dxa"/>
            </w:tcMar>
          </w:tcPr>
          <w:p>
            <w:r>
              <w:rPr>
                <w:rFonts w:ascii="Consolas" w:hAnsi="Consolas"/>
                <w:color w:val="46505F"/>
                <w:sz w:val="15"/>
              </w:rPr>
              <w:t>halcyon/web.py</w:t>
            </w:r>
          </w:p>
        </w:tc>
        <w:tc>
          <w:tcPr>
            <w:tcW w:type="dxa" w:w="1680"/>
            <w:shd w:fill="F8FAFC"/>
            <w:tcMar>
              <w:top w:w="40" w:type="dxa"/>
              <w:bottom w:w="40" w:type="dxa"/>
              <w:left w:w="50" w:type="dxa"/>
              <w:right w:w="50" w:type="dxa"/>
            </w:tcMar>
          </w:tcPr>
          <w:p>
            <w:r>
              <w:rPr>
                <w:rFonts w:ascii="Calibri" w:hAnsi="Calibri"/>
                <w:sz w:val="16"/>
              </w:rPr>
              <w:t>Hardened Cookie Policy</w:t>
            </w:r>
          </w:p>
        </w:tc>
        <w:tc>
          <w:tcPr>
            <w:tcW w:type="dxa" w:w="1680"/>
            <w:shd w:fill="F8FAFC"/>
            <w:tcMar>
              <w:top w:w="40" w:type="dxa"/>
              <w:bottom w:w="40" w:type="dxa"/>
              <w:left w:w="50" w:type="dxa"/>
              <w:right w:w="50" w:type="dxa"/>
            </w:tcMar>
          </w:tcPr>
          <w:p>
            <w:r>
              <w:rPr>
                <w:rFonts w:ascii="Calibri" w:hAnsi="Calibri"/>
                <w:b/>
                <w:color w:val="0B1A33"/>
                <w:sz w:val="16"/>
              </w:rPr>
              <w:t>VAPT-035, Medium</w:t>
            </w:r>
          </w:p>
        </w:tc>
      </w:tr>
      <w:tr>
        <w:tc>
          <w:tcPr>
            <w:tcW w:type="dxa" w:w="1680"/>
            <w:shd w:fill="FFFFFF"/>
            <w:tcMar>
              <w:top w:w="40" w:type="dxa"/>
              <w:bottom w:w="40" w:type="dxa"/>
              <w:left w:w="50" w:type="dxa"/>
              <w:right w:w="50" w:type="dxa"/>
            </w:tcMar>
          </w:tcPr>
          <w:p>
            <w:r>
              <w:rPr>
                <w:rFonts w:ascii="Calibri" w:hAnsi="Calibri"/>
                <w:b/>
                <w:color w:val="0B1A33"/>
                <w:sz w:val="17"/>
              </w:rPr>
              <w:t>CSRF Protections</w:t>
            </w:r>
          </w:p>
        </w:tc>
        <w:tc>
          <w:tcPr>
            <w:tcW w:type="dxa" w:w="1680"/>
            <w:shd w:fill="FFFFFF"/>
            <w:tcMar>
              <w:top w:w="40" w:type="dxa"/>
              <w:bottom w:w="40" w:type="dxa"/>
              <w:left w:w="50" w:type="dxa"/>
              <w:right w:w="50" w:type="dxa"/>
            </w:tcMar>
          </w:tcPr>
          <w:p>
            <w:r>
              <w:rPr>
                <w:rFonts w:ascii="Calibri" w:hAnsi="Calibri"/>
                <w:color w:val="DC3545"/>
                <w:sz w:val="16"/>
              </w:rPr>
              <w:t>Sensitive POST endpoints (/api/profile, /api/kb) lack origin validation and CSRF tokens.</w:t>
            </w:r>
          </w:p>
        </w:tc>
        <w:tc>
          <w:tcPr>
            <w:tcW w:type="dxa" w:w="1680"/>
            <w:shd w:fill="FFFFFF"/>
            <w:tcMar>
              <w:top w:w="40" w:type="dxa"/>
              <w:bottom w:w="40" w:type="dxa"/>
              <w:left w:w="50" w:type="dxa"/>
              <w:right w:w="50" w:type="dxa"/>
            </w:tcMar>
          </w:tcPr>
          <w:p>
            <w:r>
              <w:rPr>
                <w:rFonts w:ascii="Calibri" w:hAnsi="Calibri"/>
                <w:b/>
                <w:color w:val="198754"/>
                <w:sz w:val="16"/>
              </w:rPr>
              <w:t>Enforces strict Origin/Referer matching against host and session-bound CSRF token validation.</w:t>
            </w:r>
          </w:p>
        </w:tc>
        <w:tc>
          <w:tcPr>
            <w:tcW w:type="dxa" w:w="1680"/>
            <w:shd w:fill="FFFFFF"/>
            <w:tcMar>
              <w:top w:w="40" w:type="dxa"/>
              <w:bottom w:w="40" w:type="dxa"/>
              <w:left w:w="50" w:type="dxa"/>
              <w:right w:w="50" w:type="dxa"/>
            </w:tcMar>
          </w:tcPr>
          <w:p>
            <w:r>
              <w:rPr>
                <w:rFonts w:ascii="Consolas" w:hAnsi="Consolas"/>
                <w:color w:val="46505F"/>
                <w:sz w:val="15"/>
              </w:rPr>
              <w:t>halcyon/web.py</w:t>
            </w:r>
          </w:p>
        </w:tc>
        <w:tc>
          <w:tcPr>
            <w:tcW w:type="dxa" w:w="1680"/>
            <w:shd w:fill="FFFFFF"/>
            <w:tcMar>
              <w:top w:w="40" w:type="dxa"/>
              <w:bottom w:w="40" w:type="dxa"/>
              <w:left w:w="50" w:type="dxa"/>
              <w:right w:w="50" w:type="dxa"/>
            </w:tcMar>
          </w:tcPr>
          <w:p>
            <w:r>
              <w:rPr>
                <w:rFonts w:ascii="Calibri" w:hAnsi="Calibri"/>
                <w:sz w:val="16"/>
              </w:rPr>
              <w:t>Origin &amp; CSRF Token Validation</w:t>
            </w:r>
          </w:p>
        </w:tc>
        <w:tc>
          <w:tcPr>
            <w:tcW w:type="dxa" w:w="1680"/>
            <w:shd w:fill="FFFFFF"/>
            <w:tcMar>
              <w:top w:w="40" w:type="dxa"/>
              <w:bottom w:w="40" w:type="dxa"/>
              <w:left w:w="50" w:type="dxa"/>
              <w:right w:w="50" w:type="dxa"/>
            </w:tcMar>
          </w:tcPr>
          <w:p>
            <w:r>
              <w:rPr>
                <w:rFonts w:ascii="Calibri" w:hAnsi="Calibri"/>
                <w:b/>
                <w:color w:val="0B1A33"/>
                <w:sz w:val="16"/>
              </w:rPr>
              <w:t>VAPT-010, High</w:t>
            </w:r>
          </w:p>
        </w:tc>
      </w:tr>
      <w:tr>
        <w:tc>
          <w:tcPr>
            <w:tcW w:type="dxa" w:w="1680"/>
            <w:shd w:fill="F8FAFC"/>
            <w:tcMar>
              <w:top w:w="40" w:type="dxa"/>
              <w:bottom w:w="40" w:type="dxa"/>
              <w:left w:w="50" w:type="dxa"/>
              <w:right w:w="50" w:type="dxa"/>
            </w:tcMar>
          </w:tcPr>
          <w:p>
            <w:r>
              <w:rPr>
                <w:rFonts w:ascii="Calibri" w:hAnsi="Calibri"/>
                <w:b/>
                <w:color w:val="0B1A33"/>
                <w:sz w:val="17"/>
              </w:rPr>
              <w:t>Route Authorization</w:t>
            </w:r>
          </w:p>
        </w:tc>
        <w:tc>
          <w:tcPr>
            <w:tcW w:type="dxa" w:w="1680"/>
            <w:shd w:fill="F8FAFC"/>
            <w:tcMar>
              <w:top w:w="40" w:type="dxa"/>
              <w:bottom w:w="40" w:type="dxa"/>
              <w:left w:w="50" w:type="dxa"/>
              <w:right w:w="50" w:type="dxa"/>
            </w:tcMar>
          </w:tcPr>
          <w:p>
            <w:r>
              <w:rPr>
                <w:rFonts w:ascii="Calibri" w:hAnsi="Calibri"/>
                <w:color w:val="DC3545"/>
                <w:sz w:val="16"/>
              </w:rPr>
              <w:t>Routes default to require_ownership=False; anonymous profile and KB modification.</w:t>
            </w:r>
          </w:p>
        </w:tc>
        <w:tc>
          <w:tcPr>
            <w:tcW w:type="dxa" w:w="1680"/>
            <w:shd w:fill="F8FAFC"/>
            <w:tcMar>
              <w:top w:w="40" w:type="dxa"/>
              <w:bottom w:w="40" w:type="dxa"/>
              <w:left w:w="50" w:type="dxa"/>
              <w:right w:w="50" w:type="dxa"/>
            </w:tcMar>
          </w:tcPr>
          <w:p>
            <w:r>
              <w:rPr>
                <w:rFonts w:ascii="Calibri" w:hAnsi="Calibri"/>
                <w:b/>
                <w:color w:val="198754"/>
                <w:sz w:val="16"/>
              </w:rPr>
              <w:t>OWASP Deny-by-Default: require_ownership=True enforced across all protected stateful routes.</w:t>
            </w:r>
          </w:p>
        </w:tc>
        <w:tc>
          <w:tcPr>
            <w:tcW w:type="dxa" w:w="1680"/>
            <w:shd w:fill="F8FAFC"/>
            <w:tcMar>
              <w:top w:w="40" w:type="dxa"/>
              <w:bottom w:w="40" w:type="dxa"/>
              <w:left w:w="50" w:type="dxa"/>
              <w:right w:w="50" w:type="dxa"/>
            </w:tcMar>
          </w:tcPr>
          <w:p>
            <w:r>
              <w:rPr>
                <w:rFonts w:ascii="Consolas" w:hAnsi="Consolas"/>
                <w:color w:val="46505F"/>
                <w:sz w:val="15"/>
              </w:rPr>
              <w:t>halcyon/web.py</w:t>
            </w:r>
          </w:p>
        </w:tc>
        <w:tc>
          <w:tcPr>
            <w:tcW w:type="dxa" w:w="1680"/>
            <w:shd w:fill="F8FAFC"/>
            <w:tcMar>
              <w:top w:w="40" w:type="dxa"/>
              <w:bottom w:w="40" w:type="dxa"/>
              <w:left w:w="50" w:type="dxa"/>
              <w:right w:w="50" w:type="dxa"/>
            </w:tcMar>
          </w:tcPr>
          <w:p>
            <w:r>
              <w:rPr>
                <w:rFonts w:ascii="Calibri" w:hAnsi="Calibri"/>
                <w:sz w:val="16"/>
              </w:rPr>
              <w:t>OWASP Deny-by-Default</w:t>
            </w:r>
          </w:p>
        </w:tc>
        <w:tc>
          <w:tcPr>
            <w:tcW w:type="dxa" w:w="1680"/>
            <w:shd w:fill="F8FAFC"/>
            <w:tcMar>
              <w:top w:w="40" w:type="dxa"/>
              <w:bottom w:w="40" w:type="dxa"/>
              <w:left w:w="50" w:type="dxa"/>
              <w:right w:w="50" w:type="dxa"/>
            </w:tcMar>
          </w:tcPr>
          <w:p>
            <w:r>
              <w:rPr>
                <w:rFonts w:ascii="Calibri" w:hAnsi="Calibri"/>
                <w:b/>
                <w:color w:val="0B1A33"/>
                <w:sz w:val="16"/>
              </w:rPr>
              <w:t>VAPT-012, High</w:t>
            </w:r>
          </w:p>
        </w:tc>
      </w:tr>
      <w:tr>
        <w:tc>
          <w:tcPr>
            <w:tcW w:type="dxa" w:w="1680"/>
            <w:shd w:fill="FFFFFF"/>
            <w:tcMar>
              <w:top w:w="40" w:type="dxa"/>
              <w:bottom w:w="40" w:type="dxa"/>
              <w:left w:w="50" w:type="dxa"/>
              <w:right w:w="50" w:type="dxa"/>
            </w:tcMar>
          </w:tcPr>
          <w:p>
            <w:r>
              <w:rPr>
                <w:rFonts w:ascii="Calibri" w:hAnsi="Calibri"/>
                <w:b/>
                <w:color w:val="0B1A33"/>
                <w:sz w:val="17"/>
              </w:rPr>
              <w:t>Scoreboard Privacy</w:t>
            </w:r>
          </w:p>
        </w:tc>
        <w:tc>
          <w:tcPr>
            <w:tcW w:type="dxa" w:w="1680"/>
            <w:shd w:fill="FFFFFF"/>
            <w:tcMar>
              <w:top w:w="40" w:type="dxa"/>
              <w:bottom w:w="40" w:type="dxa"/>
              <w:left w:w="50" w:type="dxa"/>
              <w:right w:w="50" w:type="dxa"/>
            </w:tcMar>
          </w:tcPr>
          <w:p>
            <w:r>
              <w:rPr>
                <w:rFonts w:ascii="Calibri" w:hAnsi="Calibri"/>
                <w:color w:val="DC3545"/>
                <w:sz w:val="16"/>
              </w:rPr>
              <w:t>Public /board and scoreboard leak raw learner session IDs and balances.</w:t>
            </w:r>
          </w:p>
        </w:tc>
        <w:tc>
          <w:tcPr>
            <w:tcW w:type="dxa" w:w="1680"/>
            <w:shd w:fill="FFFFFF"/>
            <w:tcMar>
              <w:top w:w="40" w:type="dxa"/>
              <w:bottom w:w="40" w:type="dxa"/>
              <w:left w:w="50" w:type="dxa"/>
              <w:right w:w="50" w:type="dxa"/>
            </w:tcMar>
          </w:tcPr>
          <w:p>
            <w:r>
              <w:rPr>
                <w:rFonts w:ascii="Calibri" w:hAnsi="Calibri"/>
                <w:b/>
                <w:color w:val="198754"/>
                <w:sz w:val="16"/>
              </w:rPr>
              <w:t>All participant IDs anonymized to Participant-XXXXXX hashes; raw identifiers strictly omitted.</w:t>
            </w:r>
          </w:p>
        </w:tc>
        <w:tc>
          <w:tcPr>
            <w:tcW w:type="dxa" w:w="1680"/>
            <w:shd w:fill="FFFFFF"/>
            <w:tcMar>
              <w:top w:w="40" w:type="dxa"/>
              <w:bottom w:w="40" w:type="dxa"/>
              <w:left w:w="50" w:type="dxa"/>
              <w:right w:w="50" w:type="dxa"/>
            </w:tcMar>
          </w:tcPr>
          <w:p>
            <w:r>
              <w:rPr>
                <w:rFonts w:ascii="Consolas" w:hAnsi="Consolas"/>
                <w:color w:val="46505F"/>
                <w:sz w:val="15"/>
              </w:rPr>
              <w:t>halcyon/web.py</w:t>
            </w:r>
          </w:p>
        </w:tc>
        <w:tc>
          <w:tcPr>
            <w:tcW w:type="dxa" w:w="1680"/>
            <w:shd w:fill="FFFFFF"/>
            <w:tcMar>
              <w:top w:w="40" w:type="dxa"/>
              <w:bottom w:w="40" w:type="dxa"/>
              <w:left w:w="50" w:type="dxa"/>
              <w:right w:w="50" w:type="dxa"/>
            </w:tcMar>
          </w:tcPr>
          <w:p>
            <w:r>
              <w:rPr>
                <w:rFonts w:ascii="Calibri" w:hAnsi="Calibri"/>
                <w:sz w:val="16"/>
              </w:rPr>
              <w:t>Identifier Pseudonymization</w:t>
            </w:r>
          </w:p>
        </w:tc>
        <w:tc>
          <w:tcPr>
            <w:tcW w:type="dxa" w:w="1680"/>
            <w:shd w:fill="FFFFFF"/>
            <w:tcMar>
              <w:top w:w="40" w:type="dxa"/>
              <w:bottom w:w="40" w:type="dxa"/>
              <w:left w:w="50" w:type="dxa"/>
              <w:right w:w="50" w:type="dxa"/>
            </w:tcMar>
          </w:tcPr>
          <w:p>
            <w:r>
              <w:rPr>
                <w:rFonts w:ascii="Calibri" w:hAnsi="Calibri"/>
                <w:b/>
                <w:color w:val="0B1A33"/>
                <w:sz w:val="16"/>
              </w:rPr>
              <w:t>VAPT-023, 040, Med</w:t>
            </w:r>
          </w:p>
        </w:tc>
      </w:tr>
      <w:tr>
        <w:tc>
          <w:tcPr>
            <w:tcW w:type="dxa" w:w="1680"/>
            <w:shd w:fill="F8FAFC"/>
            <w:tcMar>
              <w:top w:w="40" w:type="dxa"/>
              <w:bottom w:w="40" w:type="dxa"/>
              <w:left w:w="50" w:type="dxa"/>
              <w:right w:w="50" w:type="dxa"/>
            </w:tcMar>
          </w:tcPr>
          <w:p>
            <w:r>
              <w:rPr>
                <w:rFonts w:ascii="Calibri" w:hAnsi="Calibri"/>
                <w:b/>
                <w:color w:val="0B1A33"/>
                <w:sz w:val="17"/>
              </w:rPr>
              <w:t>Lab Endpoint Lockout</w:t>
            </w:r>
          </w:p>
        </w:tc>
        <w:tc>
          <w:tcPr>
            <w:tcW w:type="dxa" w:w="1680"/>
            <w:shd w:fill="F8FAFC"/>
            <w:tcMar>
              <w:top w:w="40" w:type="dxa"/>
              <w:bottom w:w="40" w:type="dxa"/>
              <w:left w:w="50" w:type="dxa"/>
              <w:right w:w="50" w:type="dxa"/>
            </w:tcMar>
          </w:tcPr>
          <w:p>
            <w:r>
              <w:rPr>
                <w:rFonts w:ascii="Calibri" w:hAnsi="Calibri"/>
                <w:color w:val="DC3545"/>
                <w:sz w:val="16"/>
              </w:rPr>
              <w:t>Production deployments expose /reset/*, /validate/*, and /source endpoints.</w:t>
            </w:r>
          </w:p>
        </w:tc>
        <w:tc>
          <w:tcPr>
            <w:tcW w:type="dxa" w:w="1680"/>
            <w:shd w:fill="F8FAFC"/>
            <w:tcMar>
              <w:top w:w="40" w:type="dxa"/>
              <w:bottom w:w="40" w:type="dxa"/>
              <w:left w:w="50" w:type="dxa"/>
              <w:right w:w="50" w:type="dxa"/>
            </w:tcMar>
          </w:tcPr>
          <w:p>
            <w:r>
              <w:rPr>
                <w:rFonts w:ascii="Calibri" w:hAnsi="Calibri"/>
                <w:b/>
                <w:color w:val="198754"/>
                <w:sz w:val="16"/>
              </w:rPr>
              <w:t>Production profile hardens and disables all lab/reset routes with HTTP 403 Forbidden.</w:t>
            </w:r>
          </w:p>
        </w:tc>
        <w:tc>
          <w:tcPr>
            <w:tcW w:type="dxa" w:w="1680"/>
            <w:shd w:fill="F8FAFC"/>
            <w:tcMar>
              <w:top w:w="40" w:type="dxa"/>
              <w:bottom w:w="40" w:type="dxa"/>
              <w:left w:w="50" w:type="dxa"/>
              <w:right w:w="50" w:type="dxa"/>
            </w:tcMar>
          </w:tcPr>
          <w:p>
            <w:r>
              <w:rPr>
                <w:rFonts w:ascii="Consolas" w:hAnsi="Consolas"/>
                <w:color w:val="46505F"/>
                <w:sz w:val="15"/>
              </w:rPr>
              <w:t>halcyon/web.py, config.py</w:t>
            </w:r>
          </w:p>
        </w:tc>
        <w:tc>
          <w:tcPr>
            <w:tcW w:type="dxa" w:w="1680"/>
            <w:shd w:fill="F8FAFC"/>
            <w:tcMar>
              <w:top w:w="40" w:type="dxa"/>
              <w:bottom w:w="40" w:type="dxa"/>
              <w:left w:w="50" w:type="dxa"/>
              <w:right w:w="50" w:type="dxa"/>
            </w:tcMar>
          </w:tcPr>
          <w:p>
            <w:r>
              <w:rPr>
                <w:rFonts w:ascii="Calibri" w:hAnsi="Calibri"/>
                <w:sz w:val="16"/>
              </w:rPr>
              <w:t>Environment Gating</w:t>
            </w:r>
          </w:p>
        </w:tc>
        <w:tc>
          <w:tcPr>
            <w:tcW w:type="dxa" w:w="1680"/>
            <w:shd w:fill="F8FAFC"/>
            <w:tcMar>
              <w:top w:w="40" w:type="dxa"/>
              <w:bottom w:w="40" w:type="dxa"/>
              <w:left w:w="50" w:type="dxa"/>
              <w:right w:w="50" w:type="dxa"/>
            </w:tcMar>
          </w:tcPr>
          <w:p>
            <w:r>
              <w:rPr>
                <w:rFonts w:ascii="Calibri" w:hAnsi="Calibri"/>
                <w:b/>
                <w:color w:val="0B1A33"/>
                <w:sz w:val="16"/>
              </w:rPr>
              <w:t>VAPT-015, 021, High</w:t>
            </w:r>
          </w:p>
        </w:tc>
      </w:tr>
      <w:tr>
        <w:tc>
          <w:tcPr>
            <w:tcW w:type="dxa" w:w="1680"/>
            <w:shd w:fill="FFFFFF"/>
            <w:tcMar>
              <w:top w:w="40" w:type="dxa"/>
              <w:bottom w:w="40" w:type="dxa"/>
              <w:left w:w="50" w:type="dxa"/>
              <w:right w:w="50" w:type="dxa"/>
            </w:tcMar>
          </w:tcPr>
          <w:p>
            <w:r>
              <w:rPr>
                <w:rFonts w:ascii="Calibri" w:hAnsi="Calibri"/>
                <w:b/>
                <w:color w:val="0B1A33"/>
                <w:sz w:val="17"/>
              </w:rPr>
              <w:t>Money Creation</w:t>
            </w:r>
          </w:p>
        </w:tc>
        <w:tc>
          <w:tcPr>
            <w:tcW w:type="dxa" w:w="1680"/>
            <w:shd w:fill="FFFFFF"/>
            <w:tcMar>
              <w:top w:w="40" w:type="dxa"/>
              <w:bottom w:w="40" w:type="dxa"/>
              <w:left w:w="50" w:type="dxa"/>
              <w:right w:w="50" w:type="dxa"/>
            </w:tcMar>
          </w:tcPr>
          <w:p>
            <w:r>
              <w:rPr>
                <w:rFonts w:ascii="Calibri" w:hAnsi="Calibri"/>
                <w:color w:val="DC3545"/>
                <w:sz w:val="16"/>
              </w:rPr>
              <w:t>transfer_funds(from_account=None) creates synthetic credits without debiting a source.</w:t>
            </w:r>
          </w:p>
        </w:tc>
        <w:tc>
          <w:tcPr>
            <w:tcW w:type="dxa" w:w="1680"/>
            <w:shd w:fill="FFFFFF"/>
            <w:tcMar>
              <w:top w:w="40" w:type="dxa"/>
              <w:bottom w:w="40" w:type="dxa"/>
              <w:left w:w="50" w:type="dxa"/>
              <w:right w:w="50" w:type="dxa"/>
            </w:tcMar>
          </w:tcPr>
          <w:p>
            <w:r>
              <w:rPr>
                <w:rFonts w:ascii="Calibri" w:hAnsi="Calibri"/>
                <w:b/>
                <w:color w:val="198754"/>
                <w:sz w:val="16"/>
              </w:rPr>
              <w:t>Strict conservation of money supply: requires caller-owned source account with verified balance.</w:t>
            </w:r>
          </w:p>
        </w:tc>
        <w:tc>
          <w:tcPr>
            <w:tcW w:type="dxa" w:w="1680"/>
            <w:shd w:fill="FFFFFF"/>
            <w:tcMar>
              <w:top w:w="40" w:type="dxa"/>
              <w:bottom w:w="40" w:type="dxa"/>
              <w:left w:w="50" w:type="dxa"/>
              <w:right w:w="50" w:type="dxa"/>
            </w:tcMar>
          </w:tcPr>
          <w:p>
            <w:r>
              <w:rPr>
                <w:rFonts w:ascii="Consolas" w:hAnsi="Consolas"/>
                <w:color w:val="46505F"/>
                <w:sz w:val="15"/>
              </w:rPr>
              <w:t>halcyon/bank.py, tools.py</w:t>
            </w:r>
          </w:p>
        </w:tc>
        <w:tc>
          <w:tcPr>
            <w:tcW w:type="dxa" w:w="1680"/>
            <w:shd w:fill="FFFFFF"/>
            <w:tcMar>
              <w:top w:w="40" w:type="dxa"/>
              <w:bottom w:w="40" w:type="dxa"/>
              <w:left w:w="50" w:type="dxa"/>
              <w:right w:w="50" w:type="dxa"/>
            </w:tcMar>
          </w:tcPr>
          <w:p>
            <w:r>
              <w:rPr>
                <w:rFonts w:ascii="Calibri" w:hAnsi="Calibri"/>
                <w:sz w:val="16"/>
              </w:rPr>
              <w:t>Double-Entry Balance Conservation</w:t>
            </w:r>
          </w:p>
        </w:tc>
        <w:tc>
          <w:tcPr>
            <w:tcW w:type="dxa" w:w="1680"/>
            <w:shd w:fill="FFFFFF"/>
            <w:tcMar>
              <w:top w:w="40" w:type="dxa"/>
              <w:bottom w:w="40" w:type="dxa"/>
              <w:left w:w="50" w:type="dxa"/>
              <w:right w:w="50" w:type="dxa"/>
            </w:tcMar>
          </w:tcPr>
          <w:p>
            <w:r>
              <w:rPr>
                <w:rFonts w:ascii="Calibri" w:hAnsi="Calibri"/>
                <w:b/>
                <w:color w:val="0B1A33"/>
                <w:sz w:val="16"/>
              </w:rPr>
              <w:t>VAPT-038, Critical</w:t>
            </w:r>
          </w:p>
        </w:tc>
      </w:tr>
      <w:tr>
        <w:tc>
          <w:tcPr>
            <w:tcW w:type="dxa" w:w="1680"/>
            <w:shd w:fill="F8FAFC"/>
            <w:tcMar>
              <w:top w:w="40" w:type="dxa"/>
              <w:bottom w:w="40" w:type="dxa"/>
              <w:left w:w="50" w:type="dxa"/>
              <w:right w:w="50" w:type="dxa"/>
            </w:tcMar>
          </w:tcPr>
          <w:p>
            <w:r>
              <w:rPr>
                <w:rFonts w:ascii="Calibri" w:hAnsi="Calibri"/>
                <w:b/>
                <w:color w:val="0B1A33"/>
                <w:sz w:val="17"/>
              </w:rPr>
              <w:t>Merchant Theft</w:t>
            </w:r>
          </w:p>
        </w:tc>
        <w:tc>
          <w:tcPr>
            <w:tcW w:type="dxa" w:w="1680"/>
            <w:shd w:fill="F8FAFC"/>
            <w:tcMar>
              <w:top w:w="40" w:type="dxa"/>
              <w:bottom w:w="40" w:type="dxa"/>
              <w:left w:w="50" w:type="dxa"/>
              <w:right w:w="50" w:type="dxa"/>
            </w:tcMar>
          </w:tcPr>
          <w:p>
            <w:r>
              <w:rPr>
                <w:rFonts w:ascii="Calibri" w:hAnsi="Calibri"/>
                <w:color w:val="DC3545"/>
                <w:sz w:val="16"/>
              </w:rPr>
              <w:t>tools.py exempted acct-merchant from ownership, permitting unauthorized 250-unit debits.</w:t>
            </w:r>
          </w:p>
        </w:tc>
        <w:tc>
          <w:tcPr>
            <w:tcW w:type="dxa" w:w="1680"/>
            <w:shd w:fill="F8FAFC"/>
            <w:tcMar>
              <w:top w:w="40" w:type="dxa"/>
              <w:bottom w:w="40" w:type="dxa"/>
              <w:left w:w="50" w:type="dxa"/>
              <w:right w:w="50" w:type="dxa"/>
            </w:tcMar>
          </w:tcPr>
          <w:p>
            <w:r>
              <w:rPr>
                <w:rFonts w:ascii="Calibri" w:hAnsi="Calibri"/>
                <w:b/>
                <w:color w:val="198754"/>
                <w:sz w:val="16"/>
              </w:rPr>
              <w:t>Removed merchant fallback and exemption; caller must own source account via bank.owns().</w:t>
            </w:r>
          </w:p>
        </w:tc>
        <w:tc>
          <w:tcPr>
            <w:tcW w:type="dxa" w:w="1680"/>
            <w:shd w:fill="F8FAFC"/>
            <w:tcMar>
              <w:top w:w="40" w:type="dxa"/>
              <w:bottom w:w="40" w:type="dxa"/>
              <w:left w:w="50" w:type="dxa"/>
              <w:right w:w="50" w:type="dxa"/>
            </w:tcMar>
          </w:tcPr>
          <w:p>
            <w:r>
              <w:rPr>
                <w:rFonts w:ascii="Consolas" w:hAnsi="Consolas"/>
                <w:color w:val="46505F"/>
                <w:sz w:val="15"/>
              </w:rPr>
              <w:t>halcyon/tools.py</w:t>
            </w:r>
          </w:p>
        </w:tc>
        <w:tc>
          <w:tcPr>
            <w:tcW w:type="dxa" w:w="1680"/>
            <w:shd w:fill="F8FAFC"/>
            <w:tcMar>
              <w:top w:w="40" w:type="dxa"/>
              <w:bottom w:w="40" w:type="dxa"/>
              <w:left w:w="50" w:type="dxa"/>
              <w:right w:w="50" w:type="dxa"/>
            </w:tcMar>
          </w:tcPr>
          <w:p>
            <w:r>
              <w:rPr>
                <w:rFonts w:ascii="Calibri" w:hAnsi="Calibri"/>
                <w:sz w:val="16"/>
              </w:rPr>
              <w:t>Principal Account Binding</w:t>
            </w:r>
          </w:p>
        </w:tc>
        <w:tc>
          <w:tcPr>
            <w:tcW w:type="dxa" w:w="1680"/>
            <w:shd w:fill="F8FAFC"/>
            <w:tcMar>
              <w:top w:w="40" w:type="dxa"/>
              <w:bottom w:w="40" w:type="dxa"/>
              <w:left w:w="50" w:type="dxa"/>
              <w:right w:w="50" w:type="dxa"/>
            </w:tcMar>
          </w:tcPr>
          <w:p>
            <w:r>
              <w:rPr>
                <w:rFonts w:ascii="Calibri" w:hAnsi="Calibri"/>
                <w:b/>
                <w:color w:val="0B1A33"/>
                <w:sz w:val="16"/>
              </w:rPr>
              <w:t>Critical Probe</w:t>
            </w:r>
          </w:p>
        </w:tc>
      </w:tr>
      <w:tr>
        <w:tc>
          <w:tcPr>
            <w:tcW w:type="dxa" w:w="1680"/>
            <w:shd w:fill="FFFFFF"/>
            <w:tcMar>
              <w:top w:w="40" w:type="dxa"/>
              <w:bottom w:w="40" w:type="dxa"/>
              <w:left w:w="50" w:type="dxa"/>
              <w:right w:w="50" w:type="dxa"/>
            </w:tcMar>
          </w:tcPr>
          <w:p>
            <w:r>
              <w:rPr>
                <w:rFonts w:ascii="Calibri" w:hAnsi="Calibri"/>
                <w:b/>
                <w:color w:val="0B1A33"/>
                <w:sz w:val="17"/>
              </w:rPr>
              <w:t>Refund Ledger Bypass</w:t>
            </w:r>
          </w:p>
        </w:tc>
        <w:tc>
          <w:tcPr>
            <w:tcW w:type="dxa" w:w="1680"/>
            <w:shd w:fill="FFFFFF"/>
            <w:tcMar>
              <w:top w:w="40" w:type="dxa"/>
              <w:bottom w:w="40" w:type="dxa"/>
              <w:left w:w="50" w:type="dxa"/>
              <w:right w:w="50" w:type="dxa"/>
            </w:tcMar>
          </w:tcPr>
          <w:p>
            <w:r>
              <w:rPr>
                <w:rFonts w:ascii="Calibri" w:hAnsi="Calibri"/>
                <w:color w:val="DC3545"/>
                <w:sz w:val="16"/>
              </w:rPr>
              <w:t>dispute_pipeline and tools call bank.credit() directly, minting refunds without records.</w:t>
            </w:r>
          </w:p>
        </w:tc>
        <w:tc>
          <w:tcPr>
            <w:tcW w:type="dxa" w:w="1680"/>
            <w:shd w:fill="FFFFFF"/>
            <w:tcMar>
              <w:top w:w="40" w:type="dxa"/>
              <w:bottom w:w="40" w:type="dxa"/>
              <w:left w:w="50" w:type="dxa"/>
              <w:right w:w="50" w:type="dxa"/>
            </w:tcMar>
          </w:tcPr>
          <w:p>
            <w:r>
              <w:rPr>
                <w:rFonts w:ascii="Calibri" w:hAnsi="Calibri"/>
                <w:b/>
                <w:color w:val="198754"/>
                <w:sz w:val="16"/>
              </w:rPr>
              <w:t>Unified refund ledger routing: requires original transaction ID, validates limit, derives destination.</w:t>
            </w:r>
          </w:p>
        </w:tc>
        <w:tc>
          <w:tcPr>
            <w:tcW w:type="dxa" w:w="1680"/>
            <w:shd w:fill="FFFFFF"/>
            <w:tcMar>
              <w:top w:w="40" w:type="dxa"/>
              <w:bottom w:w="40" w:type="dxa"/>
              <w:left w:w="50" w:type="dxa"/>
              <w:right w:w="50" w:type="dxa"/>
            </w:tcMar>
          </w:tcPr>
          <w:p>
            <w:r>
              <w:rPr>
                <w:rFonts w:ascii="Consolas" w:hAnsi="Consolas"/>
                <w:color w:val="46505F"/>
                <w:sz w:val="15"/>
              </w:rPr>
              <w:t>halcyon/bank.py, dispute.py</w:t>
            </w:r>
          </w:p>
        </w:tc>
        <w:tc>
          <w:tcPr>
            <w:tcW w:type="dxa" w:w="1680"/>
            <w:shd w:fill="FFFFFF"/>
            <w:tcMar>
              <w:top w:w="40" w:type="dxa"/>
              <w:bottom w:w="40" w:type="dxa"/>
              <w:left w:w="50" w:type="dxa"/>
              <w:right w:w="50" w:type="dxa"/>
            </w:tcMar>
          </w:tcPr>
          <w:p>
            <w:r>
              <w:rPr>
                <w:rFonts w:ascii="Calibri" w:hAnsi="Calibri"/>
                <w:sz w:val="16"/>
              </w:rPr>
              <w:t>Atomic Refund Invariant</w:t>
            </w:r>
          </w:p>
        </w:tc>
        <w:tc>
          <w:tcPr>
            <w:tcW w:type="dxa" w:w="1680"/>
            <w:shd w:fill="FFFFFF"/>
            <w:tcMar>
              <w:top w:w="40" w:type="dxa"/>
              <w:bottom w:w="40" w:type="dxa"/>
              <w:left w:w="50" w:type="dxa"/>
              <w:right w:w="50" w:type="dxa"/>
            </w:tcMar>
          </w:tcPr>
          <w:p>
            <w:r>
              <w:rPr>
                <w:rFonts w:ascii="Calibri" w:hAnsi="Calibri"/>
                <w:b/>
                <w:color w:val="0B1A33"/>
                <w:sz w:val="16"/>
              </w:rPr>
              <w:t>VAPT-017, Critical</w:t>
            </w:r>
          </w:p>
        </w:tc>
      </w:tr>
      <w:tr>
        <w:tc>
          <w:tcPr>
            <w:tcW w:type="dxa" w:w="1680"/>
            <w:shd w:fill="F8FAFC"/>
            <w:tcMar>
              <w:top w:w="40" w:type="dxa"/>
              <w:bottom w:w="40" w:type="dxa"/>
              <w:left w:w="50" w:type="dxa"/>
              <w:right w:w="50" w:type="dxa"/>
            </w:tcMar>
          </w:tcPr>
          <w:p>
            <w:r>
              <w:rPr>
                <w:rFonts w:ascii="Calibri" w:hAnsi="Calibri"/>
                <w:b/>
                <w:color w:val="0B1A33"/>
                <w:sz w:val="17"/>
              </w:rPr>
              <w:t>Numeric Validation</w:t>
            </w:r>
          </w:p>
        </w:tc>
        <w:tc>
          <w:tcPr>
            <w:tcW w:type="dxa" w:w="1680"/>
            <w:shd w:fill="F8FAFC"/>
            <w:tcMar>
              <w:top w:w="40" w:type="dxa"/>
              <w:bottom w:w="40" w:type="dxa"/>
              <w:left w:w="50" w:type="dxa"/>
              <w:right w:w="50" w:type="dxa"/>
            </w:tcMar>
          </w:tcPr>
          <w:p>
            <w:r>
              <w:rPr>
                <w:rFonts w:ascii="Calibri" w:hAnsi="Calibri"/>
                <w:color w:val="DC3545"/>
                <w:sz w:val="16"/>
              </w:rPr>
              <w:t>Accepts booleans (True coerced to 1 unit), negative numbers, and floating-point amounts.</w:t>
            </w:r>
          </w:p>
        </w:tc>
        <w:tc>
          <w:tcPr>
            <w:tcW w:type="dxa" w:w="1680"/>
            <w:shd w:fill="F8FAFC"/>
            <w:tcMar>
              <w:top w:w="40" w:type="dxa"/>
              <w:bottom w:w="40" w:type="dxa"/>
              <w:left w:w="50" w:type="dxa"/>
              <w:right w:w="50" w:type="dxa"/>
            </w:tcMar>
          </w:tcPr>
          <w:p>
            <w:r>
              <w:rPr>
                <w:rFonts w:ascii="Calibri" w:hAnsi="Calibri"/>
                <w:b/>
                <w:color w:val="198754"/>
                <w:sz w:val="16"/>
              </w:rPr>
              <w:t>Strict schema validation: type(amount) is int and amount &gt; 0; booleans &amp; floats rejected.</w:t>
            </w:r>
          </w:p>
        </w:tc>
        <w:tc>
          <w:tcPr>
            <w:tcW w:type="dxa" w:w="1680"/>
            <w:shd w:fill="F8FAFC"/>
            <w:tcMar>
              <w:top w:w="40" w:type="dxa"/>
              <w:bottom w:w="40" w:type="dxa"/>
              <w:left w:w="50" w:type="dxa"/>
              <w:right w:w="50" w:type="dxa"/>
            </w:tcMar>
          </w:tcPr>
          <w:p>
            <w:r>
              <w:rPr>
                <w:rFonts w:ascii="Consolas" w:hAnsi="Consolas"/>
                <w:color w:val="46505F"/>
                <w:sz w:val="15"/>
              </w:rPr>
              <w:t>halcyon/bank.py, policy.py</w:t>
            </w:r>
          </w:p>
        </w:tc>
        <w:tc>
          <w:tcPr>
            <w:tcW w:type="dxa" w:w="1680"/>
            <w:shd w:fill="F8FAFC"/>
            <w:tcMar>
              <w:top w:w="40" w:type="dxa"/>
              <w:bottom w:w="40" w:type="dxa"/>
              <w:left w:w="50" w:type="dxa"/>
              <w:right w:w="50" w:type="dxa"/>
            </w:tcMar>
          </w:tcPr>
          <w:p>
            <w:r>
              <w:rPr>
                <w:rFonts w:ascii="Calibri" w:hAnsi="Calibri"/>
                <w:sz w:val="16"/>
              </w:rPr>
              <w:t>Strict Type &amp; Value Guard</w:t>
            </w:r>
          </w:p>
        </w:tc>
        <w:tc>
          <w:tcPr>
            <w:tcW w:type="dxa" w:w="1680"/>
            <w:shd w:fill="F8FAFC"/>
            <w:tcMar>
              <w:top w:w="40" w:type="dxa"/>
              <w:bottom w:w="40" w:type="dxa"/>
              <w:left w:w="50" w:type="dxa"/>
              <w:right w:w="50" w:type="dxa"/>
            </w:tcMar>
          </w:tcPr>
          <w:p>
            <w:r>
              <w:rPr>
                <w:rFonts w:ascii="Calibri" w:hAnsi="Calibri"/>
                <w:b/>
                <w:color w:val="0B1A33"/>
                <w:sz w:val="16"/>
              </w:rPr>
              <w:t>VAPT-036, Critical</w:t>
            </w:r>
          </w:p>
        </w:tc>
      </w:tr>
      <w:tr>
        <w:tc>
          <w:tcPr>
            <w:tcW w:type="dxa" w:w="1680"/>
            <w:shd w:fill="FFFFFF"/>
            <w:tcMar>
              <w:top w:w="40" w:type="dxa"/>
              <w:bottom w:w="40" w:type="dxa"/>
              <w:left w:w="50" w:type="dxa"/>
              <w:right w:w="50" w:type="dxa"/>
            </w:tcMar>
          </w:tcPr>
          <w:p>
            <w:r>
              <w:rPr>
                <w:rFonts w:ascii="Calibri" w:hAnsi="Calibri"/>
                <w:b/>
                <w:color w:val="0B1A33"/>
                <w:sz w:val="17"/>
              </w:rPr>
              <w:t>Financial Persistence</w:t>
            </w:r>
          </w:p>
        </w:tc>
        <w:tc>
          <w:tcPr>
            <w:tcW w:type="dxa" w:w="1680"/>
            <w:shd w:fill="FFFFFF"/>
            <w:tcMar>
              <w:top w:w="40" w:type="dxa"/>
              <w:bottom w:w="40" w:type="dxa"/>
              <w:left w:w="50" w:type="dxa"/>
              <w:right w:w="50" w:type="dxa"/>
            </w:tcMar>
          </w:tcPr>
          <w:p>
            <w:r>
              <w:rPr>
                <w:rFonts w:ascii="Calibri" w:hAnsi="Calibri"/>
                <w:color w:val="DC3545"/>
                <w:sz w:val="16"/>
              </w:rPr>
              <w:t>Process-local in-memory dictionary; balances vanish on restart; no row concurrency.</w:t>
            </w:r>
          </w:p>
        </w:tc>
        <w:tc>
          <w:tcPr>
            <w:tcW w:type="dxa" w:w="1680"/>
            <w:shd w:fill="FFFFFF"/>
            <w:tcMar>
              <w:top w:w="40" w:type="dxa"/>
              <w:bottom w:w="40" w:type="dxa"/>
              <w:left w:w="50" w:type="dxa"/>
              <w:right w:w="50" w:type="dxa"/>
            </w:tcMar>
          </w:tcPr>
          <w:p>
            <w:r>
              <w:rPr>
                <w:rFonts w:ascii="Calibri" w:hAnsi="Calibri"/>
                <w:b/>
                <w:color w:val="198754"/>
                <w:sz w:val="16"/>
              </w:rPr>
              <w:t>Production PostgreSQL ACID transactions with row-level locks (SELECT FOR UPDATE) and rollback.</w:t>
            </w:r>
          </w:p>
        </w:tc>
        <w:tc>
          <w:tcPr>
            <w:tcW w:type="dxa" w:w="1680"/>
            <w:shd w:fill="FFFFFF"/>
            <w:tcMar>
              <w:top w:w="40" w:type="dxa"/>
              <w:bottom w:w="40" w:type="dxa"/>
              <w:left w:w="50" w:type="dxa"/>
              <w:right w:w="50" w:type="dxa"/>
            </w:tcMar>
          </w:tcPr>
          <w:p>
            <w:r>
              <w:rPr>
                <w:rFonts w:ascii="Consolas" w:hAnsi="Consolas"/>
                <w:color w:val="46505F"/>
                <w:sz w:val="15"/>
              </w:rPr>
              <w:t>halcyon/security/ledger.py</w:t>
            </w:r>
          </w:p>
        </w:tc>
        <w:tc>
          <w:tcPr>
            <w:tcW w:type="dxa" w:w="1680"/>
            <w:shd w:fill="FFFFFF"/>
            <w:tcMar>
              <w:top w:w="40" w:type="dxa"/>
              <w:bottom w:w="40" w:type="dxa"/>
              <w:left w:w="50" w:type="dxa"/>
              <w:right w:w="50" w:type="dxa"/>
            </w:tcMar>
          </w:tcPr>
          <w:p>
            <w:r>
              <w:rPr>
                <w:rFonts w:ascii="Calibri" w:hAnsi="Calibri"/>
                <w:sz w:val="16"/>
              </w:rPr>
              <w:t>Transactional Storage Engine</w:t>
            </w:r>
          </w:p>
        </w:tc>
        <w:tc>
          <w:tcPr>
            <w:tcW w:type="dxa" w:w="1680"/>
            <w:shd w:fill="FFFFFF"/>
            <w:tcMar>
              <w:top w:w="40" w:type="dxa"/>
              <w:bottom w:w="40" w:type="dxa"/>
              <w:left w:w="50" w:type="dxa"/>
              <w:right w:w="50" w:type="dxa"/>
            </w:tcMar>
          </w:tcPr>
          <w:p>
            <w:r>
              <w:rPr>
                <w:rFonts w:ascii="Calibri" w:hAnsi="Calibri"/>
                <w:b/>
                <w:color w:val="0B1A33"/>
                <w:sz w:val="16"/>
              </w:rPr>
              <w:t>VAPT-037, Critical</w:t>
            </w:r>
          </w:p>
        </w:tc>
      </w:tr>
      <w:tr>
        <w:tc>
          <w:tcPr>
            <w:tcW w:type="dxa" w:w="1680"/>
            <w:shd w:fill="F8FAFC"/>
            <w:tcMar>
              <w:top w:w="40" w:type="dxa"/>
              <w:bottom w:w="40" w:type="dxa"/>
              <w:left w:w="50" w:type="dxa"/>
              <w:right w:w="50" w:type="dxa"/>
            </w:tcMar>
          </w:tcPr>
          <w:p>
            <w:r>
              <w:rPr>
                <w:rFonts w:ascii="Calibri" w:hAnsi="Calibri"/>
                <w:b/>
                <w:color w:val="0B1A33"/>
                <w:sz w:val="17"/>
              </w:rPr>
              <w:t>Treasury Release</w:t>
            </w:r>
          </w:p>
        </w:tc>
        <w:tc>
          <w:tcPr>
            <w:tcW w:type="dxa" w:w="1680"/>
            <w:shd w:fill="F8FAFC"/>
            <w:tcMar>
              <w:top w:w="40" w:type="dxa"/>
              <w:bottom w:w="40" w:type="dxa"/>
              <w:left w:w="50" w:type="dxa"/>
              <w:right w:w="50" w:type="dxa"/>
            </w:tcMar>
          </w:tcPr>
          <w:p>
            <w:r>
              <w:rPr>
                <w:rFonts w:ascii="Calibri" w:hAnsi="Calibri"/>
                <w:color w:val="DC3545"/>
                <w:sz w:val="16"/>
              </w:rPr>
              <w:t>Transfers execute repeatedly on duplicate scenario review (45,000 -&gt; 90,000).</w:t>
            </w:r>
          </w:p>
        </w:tc>
        <w:tc>
          <w:tcPr>
            <w:tcW w:type="dxa" w:w="1680"/>
            <w:shd w:fill="F8FAFC"/>
            <w:tcMar>
              <w:top w:w="40" w:type="dxa"/>
              <w:bottom w:w="40" w:type="dxa"/>
              <w:left w:w="50" w:type="dxa"/>
              <w:right w:w="50" w:type="dxa"/>
            </w:tcMar>
          </w:tcPr>
          <w:p>
            <w:r>
              <w:rPr>
                <w:rFonts w:ascii="Calibri" w:hAnsi="Calibri"/>
                <w:b/>
                <w:color w:val="198754"/>
                <w:sz w:val="16"/>
              </w:rPr>
              <w:t>Server-controlled payment ID bound to bank idempotency key; replay returns cached result.</w:t>
            </w:r>
          </w:p>
        </w:tc>
        <w:tc>
          <w:tcPr>
            <w:tcW w:type="dxa" w:w="1680"/>
            <w:shd w:fill="F8FAFC"/>
            <w:tcMar>
              <w:top w:w="40" w:type="dxa"/>
              <w:bottom w:w="40" w:type="dxa"/>
              <w:left w:w="50" w:type="dxa"/>
              <w:right w:w="50" w:type="dxa"/>
            </w:tcMar>
          </w:tcPr>
          <w:p>
            <w:r>
              <w:rPr>
                <w:rFonts w:ascii="Consolas" w:hAnsi="Consolas"/>
                <w:color w:val="46505F"/>
                <w:sz w:val="15"/>
              </w:rPr>
              <w:t>halcyon/treasury_agent.py</w:t>
            </w:r>
          </w:p>
        </w:tc>
        <w:tc>
          <w:tcPr>
            <w:tcW w:type="dxa" w:w="1680"/>
            <w:shd w:fill="F8FAFC"/>
            <w:tcMar>
              <w:top w:w="40" w:type="dxa"/>
              <w:bottom w:w="40" w:type="dxa"/>
              <w:left w:w="50" w:type="dxa"/>
              <w:right w:w="50" w:type="dxa"/>
            </w:tcMar>
          </w:tcPr>
          <w:p>
            <w:r>
              <w:rPr>
                <w:rFonts w:ascii="Calibri" w:hAnsi="Calibri"/>
                <w:sz w:val="16"/>
              </w:rPr>
              <w:t>Idempotency State Binding</w:t>
            </w:r>
          </w:p>
        </w:tc>
        <w:tc>
          <w:tcPr>
            <w:tcW w:type="dxa" w:w="1680"/>
            <w:shd w:fill="F8FAFC"/>
            <w:tcMar>
              <w:top w:w="40" w:type="dxa"/>
              <w:bottom w:w="40" w:type="dxa"/>
              <w:left w:w="50" w:type="dxa"/>
              <w:right w:w="50" w:type="dxa"/>
            </w:tcMar>
          </w:tcPr>
          <w:p>
            <w:r>
              <w:rPr>
                <w:rFonts w:ascii="Calibri" w:hAnsi="Calibri"/>
                <w:b/>
                <w:color w:val="0B1A33"/>
                <w:sz w:val="16"/>
              </w:rPr>
              <w:t>VAPT-024, High</w:t>
            </w:r>
          </w:p>
        </w:tc>
      </w:tr>
      <w:tr>
        <w:tc>
          <w:tcPr>
            <w:tcW w:type="dxa" w:w="1680"/>
            <w:shd w:fill="FFFFFF"/>
            <w:tcMar>
              <w:top w:w="40" w:type="dxa"/>
              <w:bottom w:w="40" w:type="dxa"/>
              <w:left w:w="50" w:type="dxa"/>
              <w:right w:w="50" w:type="dxa"/>
            </w:tcMar>
          </w:tcPr>
          <w:p>
            <w:r>
              <w:rPr>
                <w:rFonts w:ascii="Calibri" w:hAnsi="Calibri"/>
                <w:b/>
                <w:color w:val="0B1A33"/>
                <w:sz w:val="17"/>
              </w:rPr>
              <w:t>Model Control Plane</w:t>
            </w:r>
          </w:p>
        </w:tc>
        <w:tc>
          <w:tcPr>
            <w:tcW w:type="dxa" w:w="1680"/>
            <w:shd w:fill="FFFFFF"/>
            <w:tcMar>
              <w:top w:w="40" w:type="dxa"/>
              <w:bottom w:w="40" w:type="dxa"/>
              <w:left w:w="50" w:type="dxa"/>
              <w:right w:w="50" w:type="dxa"/>
            </w:tcMar>
          </w:tcPr>
          <w:p>
            <w:r>
              <w:rPr>
                <w:rFonts w:ascii="Calibri" w:hAnsi="Calibri"/>
                <w:color w:val="DC3545"/>
                <w:sz w:val="16"/>
              </w:rPr>
              <w:t>Unauthenticated loopback Ollama (:11434); exposes /api/create, /api/delete, /api/pull.</w:t>
            </w:r>
          </w:p>
        </w:tc>
        <w:tc>
          <w:tcPr>
            <w:tcW w:type="dxa" w:w="1680"/>
            <w:shd w:fill="FFFFFF"/>
            <w:tcMar>
              <w:top w:w="40" w:type="dxa"/>
              <w:bottom w:w="40" w:type="dxa"/>
              <w:left w:w="50" w:type="dxa"/>
              <w:right w:w="50" w:type="dxa"/>
            </w:tcMar>
          </w:tcPr>
          <w:p>
            <w:r>
              <w:rPr>
                <w:rFonts w:ascii="Calibri" w:hAnsi="Calibri"/>
                <w:b/>
                <w:color w:val="198754"/>
                <w:sz w:val="16"/>
              </w:rPr>
              <w:t>Bearer-authenticated Ollama Gateway; whitelists inference paths and rejects control routes.</w:t>
            </w:r>
          </w:p>
        </w:tc>
        <w:tc>
          <w:tcPr>
            <w:tcW w:type="dxa" w:w="1680"/>
            <w:shd w:fill="FFFFFF"/>
            <w:tcMar>
              <w:top w:w="40" w:type="dxa"/>
              <w:bottom w:w="40" w:type="dxa"/>
              <w:left w:w="50" w:type="dxa"/>
              <w:right w:w="50" w:type="dxa"/>
            </w:tcMar>
          </w:tcPr>
          <w:p>
            <w:r>
              <w:rPr>
                <w:rFonts w:ascii="Consolas" w:hAnsi="Consolas"/>
                <w:color w:val="46505F"/>
                <w:sz w:val="15"/>
              </w:rPr>
              <w:t>halcyon/ollama_gateway.py</w:t>
            </w:r>
          </w:p>
        </w:tc>
        <w:tc>
          <w:tcPr>
            <w:tcW w:type="dxa" w:w="1680"/>
            <w:shd w:fill="FFFFFF"/>
            <w:tcMar>
              <w:top w:w="40" w:type="dxa"/>
              <w:bottom w:w="40" w:type="dxa"/>
              <w:left w:w="50" w:type="dxa"/>
              <w:right w:w="50" w:type="dxa"/>
            </w:tcMar>
          </w:tcPr>
          <w:p>
            <w:r>
              <w:rPr>
                <w:rFonts w:ascii="Calibri" w:hAnsi="Calibri"/>
                <w:sz w:val="16"/>
              </w:rPr>
              <w:t>Model Gateway Firewall</w:t>
            </w:r>
          </w:p>
        </w:tc>
        <w:tc>
          <w:tcPr>
            <w:tcW w:type="dxa" w:w="1680"/>
            <w:shd w:fill="FFFFFF"/>
            <w:tcMar>
              <w:top w:w="40" w:type="dxa"/>
              <w:bottom w:w="40" w:type="dxa"/>
              <w:left w:w="50" w:type="dxa"/>
              <w:right w:w="50" w:type="dxa"/>
            </w:tcMar>
          </w:tcPr>
          <w:p>
            <w:r>
              <w:rPr>
                <w:rFonts w:ascii="Calibri" w:hAnsi="Calibri"/>
                <w:b/>
                <w:color w:val="0B1A33"/>
                <w:sz w:val="16"/>
              </w:rPr>
              <w:t>VAPT-002, Critical</w:t>
            </w:r>
          </w:p>
        </w:tc>
      </w:tr>
      <w:tr>
        <w:tc>
          <w:tcPr>
            <w:tcW w:type="dxa" w:w="1680"/>
            <w:shd w:fill="F8FAFC"/>
            <w:tcMar>
              <w:top w:w="40" w:type="dxa"/>
              <w:bottom w:w="40" w:type="dxa"/>
              <w:left w:w="50" w:type="dxa"/>
              <w:right w:w="50" w:type="dxa"/>
            </w:tcMar>
          </w:tcPr>
          <w:p>
            <w:r>
              <w:rPr>
                <w:rFonts w:ascii="Calibri" w:hAnsi="Calibri"/>
                <w:b/>
                <w:color w:val="0B1A33"/>
                <w:sz w:val="17"/>
              </w:rPr>
              <w:t>Model Tampering</w:t>
            </w:r>
          </w:p>
        </w:tc>
        <w:tc>
          <w:tcPr>
            <w:tcW w:type="dxa" w:w="1680"/>
            <w:shd w:fill="F8FAFC"/>
            <w:tcMar>
              <w:top w:w="40" w:type="dxa"/>
              <w:bottom w:w="40" w:type="dxa"/>
              <w:left w:w="50" w:type="dxa"/>
              <w:right w:w="50" w:type="dxa"/>
            </w:tcMar>
          </w:tcPr>
          <w:p>
            <w:r>
              <w:rPr>
                <w:rFonts w:ascii="Calibri" w:hAnsi="Calibri"/>
                <w:color w:val="DC3545"/>
                <w:sz w:val="16"/>
              </w:rPr>
              <w:t>Local process can overwrite approved model with rogue prompt-injection template.</w:t>
            </w:r>
          </w:p>
        </w:tc>
        <w:tc>
          <w:tcPr>
            <w:tcW w:type="dxa" w:w="1680"/>
            <w:shd w:fill="F8FAFC"/>
            <w:tcMar>
              <w:top w:w="40" w:type="dxa"/>
              <w:bottom w:w="40" w:type="dxa"/>
              <w:left w:w="50" w:type="dxa"/>
              <w:right w:w="50" w:type="dxa"/>
            </w:tcMar>
          </w:tcPr>
          <w:p>
            <w:r>
              <w:rPr>
                <w:rFonts w:ascii="Calibri" w:hAnsi="Calibri"/>
                <w:b/>
                <w:color w:val="198754"/>
                <w:sz w:val="16"/>
              </w:rPr>
              <w:t>Per-request SHA-256 digest validation against reviewed config/models.json manifest.</w:t>
            </w:r>
          </w:p>
        </w:tc>
        <w:tc>
          <w:tcPr>
            <w:tcW w:type="dxa" w:w="1680"/>
            <w:shd w:fill="F8FAFC"/>
            <w:tcMar>
              <w:top w:w="40" w:type="dxa"/>
              <w:bottom w:w="40" w:type="dxa"/>
              <w:left w:w="50" w:type="dxa"/>
              <w:right w:w="50" w:type="dxa"/>
            </w:tcMar>
          </w:tcPr>
          <w:p>
            <w:r>
              <w:rPr>
                <w:rFonts w:ascii="Consolas" w:hAnsi="Consolas"/>
                <w:color w:val="46505F"/>
                <w:sz w:val="15"/>
              </w:rPr>
              <w:t>halcyon/ollama_gateway.py</w:t>
            </w:r>
          </w:p>
        </w:tc>
        <w:tc>
          <w:tcPr>
            <w:tcW w:type="dxa" w:w="1680"/>
            <w:shd w:fill="F8FAFC"/>
            <w:tcMar>
              <w:top w:w="40" w:type="dxa"/>
              <w:bottom w:w="40" w:type="dxa"/>
              <w:left w:w="50" w:type="dxa"/>
              <w:right w:w="50" w:type="dxa"/>
            </w:tcMar>
          </w:tcPr>
          <w:p>
            <w:r>
              <w:rPr>
                <w:rFonts w:ascii="Calibri" w:hAnsi="Calibri"/>
                <w:sz w:val="16"/>
              </w:rPr>
              <w:t>Model Digest Verification</w:t>
            </w:r>
          </w:p>
        </w:tc>
        <w:tc>
          <w:tcPr>
            <w:tcW w:type="dxa" w:w="1680"/>
            <w:shd w:fill="F8FAFC"/>
            <w:tcMar>
              <w:top w:w="40" w:type="dxa"/>
              <w:bottom w:w="40" w:type="dxa"/>
              <w:left w:w="50" w:type="dxa"/>
              <w:right w:w="50" w:type="dxa"/>
            </w:tcMar>
          </w:tcPr>
          <w:p>
            <w:r>
              <w:rPr>
                <w:rFonts w:ascii="Calibri" w:hAnsi="Calibri"/>
                <w:b/>
                <w:color w:val="0B1A33"/>
                <w:sz w:val="16"/>
              </w:rPr>
              <w:t>VAPT-002, High</w:t>
            </w:r>
          </w:p>
        </w:tc>
      </w:tr>
      <w:tr>
        <w:tc>
          <w:tcPr>
            <w:tcW w:type="dxa" w:w="1680"/>
            <w:shd w:fill="FFFFFF"/>
            <w:tcMar>
              <w:top w:w="40" w:type="dxa"/>
              <w:bottom w:w="40" w:type="dxa"/>
              <w:left w:w="50" w:type="dxa"/>
              <w:right w:w="50" w:type="dxa"/>
            </w:tcMar>
          </w:tcPr>
          <w:p>
            <w:r>
              <w:rPr>
                <w:rFonts w:ascii="Calibri" w:hAnsi="Calibri"/>
                <w:b/>
                <w:color w:val="0B1A33"/>
                <w:sz w:val="17"/>
              </w:rPr>
              <w:t>Provider SSRF</w:t>
            </w:r>
          </w:p>
        </w:tc>
        <w:tc>
          <w:tcPr>
            <w:tcW w:type="dxa" w:w="1680"/>
            <w:shd w:fill="FFFFFF"/>
            <w:tcMar>
              <w:top w:w="40" w:type="dxa"/>
              <w:bottom w:w="40" w:type="dxa"/>
              <w:left w:w="50" w:type="dxa"/>
              <w:right w:w="50" w:type="dxa"/>
            </w:tcMar>
          </w:tcPr>
          <w:p>
            <w:r>
              <w:rPr>
                <w:rFonts w:ascii="Calibri" w:hAnsi="Calibri"/>
                <w:color w:val="DC3545"/>
                <w:sz w:val="16"/>
              </w:rPr>
              <w:t>Model config accepts arbitrary endpoints; SSRF to cloud metadata (169.254.169.254).</w:t>
            </w:r>
          </w:p>
        </w:tc>
        <w:tc>
          <w:tcPr>
            <w:tcW w:type="dxa" w:w="1680"/>
            <w:shd w:fill="FFFFFF"/>
            <w:tcMar>
              <w:top w:w="40" w:type="dxa"/>
              <w:bottom w:w="40" w:type="dxa"/>
              <w:left w:w="50" w:type="dxa"/>
              <w:right w:w="50" w:type="dxa"/>
            </w:tcMar>
          </w:tcPr>
          <w:p>
            <w:r>
              <w:rPr>
                <w:rFonts w:ascii="Calibri" w:hAnsi="Calibri"/>
                <w:b/>
                <w:color w:val="198754"/>
                <w:sz w:val="16"/>
              </w:rPr>
              <w:t>Strict IP parser blocks link-local metadata (RFC 3927) and private subnets (RFC 1918).</w:t>
            </w:r>
          </w:p>
        </w:tc>
        <w:tc>
          <w:tcPr>
            <w:tcW w:type="dxa" w:w="1680"/>
            <w:shd w:fill="FFFFFF"/>
            <w:tcMar>
              <w:top w:w="40" w:type="dxa"/>
              <w:bottom w:w="40" w:type="dxa"/>
              <w:left w:w="50" w:type="dxa"/>
              <w:right w:w="50" w:type="dxa"/>
            </w:tcMar>
          </w:tcPr>
          <w:p>
            <w:r>
              <w:rPr>
                <w:rFonts w:ascii="Consolas" w:hAnsi="Consolas"/>
                <w:color w:val="46505F"/>
                <w:sz w:val="15"/>
              </w:rPr>
              <w:t>halcyon/llm.py, config.py</w:t>
            </w:r>
          </w:p>
        </w:tc>
        <w:tc>
          <w:tcPr>
            <w:tcW w:type="dxa" w:w="1680"/>
            <w:shd w:fill="FFFFFF"/>
            <w:tcMar>
              <w:top w:w="40" w:type="dxa"/>
              <w:bottom w:w="40" w:type="dxa"/>
              <w:left w:w="50" w:type="dxa"/>
              <w:right w:w="50" w:type="dxa"/>
            </w:tcMar>
          </w:tcPr>
          <w:p>
            <w:r>
              <w:rPr>
                <w:rFonts w:ascii="Calibri" w:hAnsi="Calibri"/>
                <w:sz w:val="16"/>
              </w:rPr>
              <w:t>SSRF IP Boundary Validation</w:t>
            </w:r>
          </w:p>
        </w:tc>
        <w:tc>
          <w:tcPr>
            <w:tcW w:type="dxa" w:w="1680"/>
            <w:shd w:fill="FFFFFF"/>
            <w:tcMar>
              <w:top w:w="40" w:type="dxa"/>
              <w:bottom w:w="40" w:type="dxa"/>
              <w:left w:w="50" w:type="dxa"/>
              <w:right w:w="50" w:type="dxa"/>
            </w:tcMar>
          </w:tcPr>
          <w:p>
            <w:r>
              <w:rPr>
                <w:rFonts w:ascii="Calibri" w:hAnsi="Calibri"/>
                <w:b/>
                <w:color w:val="0B1A33"/>
                <w:sz w:val="16"/>
              </w:rPr>
              <w:t>VAPT-003, Critical</w:t>
            </w:r>
          </w:p>
        </w:tc>
      </w:tr>
      <w:tr>
        <w:tc>
          <w:tcPr>
            <w:tcW w:type="dxa" w:w="1680"/>
            <w:shd w:fill="F8FAFC"/>
            <w:tcMar>
              <w:top w:w="40" w:type="dxa"/>
              <w:bottom w:w="40" w:type="dxa"/>
              <w:left w:w="50" w:type="dxa"/>
              <w:right w:w="50" w:type="dxa"/>
            </w:tcMar>
          </w:tcPr>
          <w:p>
            <w:r>
              <w:rPr>
                <w:rFonts w:ascii="Calibri" w:hAnsi="Calibri"/>
                <w:b/>
                <w:color w:val="0B1A33"/>
                <w:sz w:val="17"/>
              </w:rPr>
              <w:t>MCP Authentication</w:t>
            </w:r>
          </w:p>
        </w:tc>
        <w:tc>
          <w:tcPr>
            <w:tcW w:type="dxa" w:w="1680"/>
            <w:shd w:fill="F8FAFC"/>
            <w:tcMar>
              <w:top w:w="40" w:type="dxa"/>
              <w:bottom w:w="40" w:type="dxa"/>
              <w:left w:w="50" w:type="dxa"/>
              <w:right w:w="50" w:type="dxa"/>
            </w:tcMar>
          </w:tcPr>
          <w:p>
            <w:r>
              <w:rPr>
                <w:rFonts w:ascii="Calibri" w:hAnsi="Calibri"/>
                <w:color w:val="DC3545"/>
                <w:sz w:val="16"/>
              </w:rPr>
              <w:t>Ports 9001/9002 expose unauthenticated SSE; startup fails open on empty token.</w:t>
            </w:r>
          </w:p>
        </w:tc>
        <w:tc>
          <w:tcPr>
            <w:tcW w:type="dxa" w:w="1680"/>
            <w:shd w:fill="F8FAFC"/>
            <w:tcMar>
              <w:top w:w="40" w:type="dxa"/>
              <w:bottom w:w="40" w:type="dxa"/>
              <w:left w:w="50" w:type="dxa"/>
              <w:right w:w="50" w:type="dxa"/>
            </w:tcMar>
          </w:tcPr>
          <w:p>
            <w:r>
              <w:rPr>
                <w:rFonts w:ascii="Calibri" w:hAnsi="Calibri"/>
                <w:b/>
                <w:color w:val="198754"/>
                <w:sz w:val="16"/>
              </w:rPr>
              <w:t>Mandatory Bearer token authentication; startup fails closed immediately if token is empty.</w:t>
            </w:r>
          </w:p>
        </w:tc>
        <w:tc>
          <w:tcPr>
            <w:tcW w:type="dxa" w:w="1680"/>
            <w:shd w:fill="F8FAFC"/>
            <w:tcMar>
              <w:top w:w="40" w:type="dxa"/>
              <w:bottom w:w="40" w:type="dxa"/>
              <w:left w:w="50" w:type="dxa"/>
              <w:right w:w="50" w:type="dxa"/>
            </w:tcMar>
          </w:tcPr>
          <w:p>
            <w:r>
              <w:rPr>
                <w:rFonts w:ascii="Consolas" w:hAnsi="Consolas"/>
                <w:color w:val="46505F"/>
                <w:sz w:val="15"/>
              </w:rPr>
              <w:t>halcyon/mcp_deploy.py</w:t>
            </w:r>
          </w:p>
        </w:tc>
        <w:tc>
          <w:tcPr>
            <w:tcW w:type="dxa" w:w="1680"/>
            <w:shd w:fill="F8FAFC"/>
            <w:tcMar>
              <w:top w:w="40" w:type="dxa"/>
              <w:bottom w:w="40" w:type="dxa"/>
              <w:left w:w="50" w:type="dxa"/>
              <w:right w:w="50" w:type="dxa"/>
            </w:tcMar>
          </w:tcPr>
          <w:p>
            <w:r>
              <w:rPr>
                <w:rFonts w:ascii="Calibri" w:hAnsi="Calibri"/>
                <w:sz w:val="16"/>
              </w:rPr>
              <w:t>Fail-Closed Daemon Auth</w:t>
            </w:r>
          </w:p>
        </w:tc>
        <w:tc>
          <w:tcPr>
            <w:tcW w:type="dxa" w:w="1680"/>
            <w:shd w:fill="F8FAFC"/>
            <w:tcMar>
              <w:top w:w="40" w:type="dxa"/>
              <w:bottom w:w="40" w:type="dxa"/>
              <w:left w:w="50" w:type="dxa"/>
              <w:right w:w="50" w:type="dxa"/>
            </w:tcMar>
          </w:tcPr>
          <w:p>
            <w:r>
              <w:rPr>
                <w:rFonts w:ascii="Calibri" w:hAnsi="Calibri"/>
                <w:b/>
                <w:color w:val="0B1A33"/>
                <w:sz w:val="16"/>
              </w:rPr>
              <w:t>VAPT-007, High</w:t>
            </w:r>
          </w:p>
        </w:tc>
      </w:tr>
      <w:tr>
        <w:tc>
          <w:tcPr>
            <w:tcW w:type="dxa" w:w="1680"/>
            <w:shd w:fill="FFFFFF"/>
            <w:tcMar>
              <w:top w:w="40" w:type="dxa"/>
              <w:bottom w:w="40" w:type="dxa"/>
              <w:left w:w="50" w:type="dxa"/>
              <w:right w:w="50" w:type="dxa"/>
            </w:tcMar>
          </w:tcPr>
          <w:p>
            <w:r>
              <w:rPr>
                <w:rFonts w:ascii="Calibri" w:hAnsi="Calibri"/>
                <w:b/>
                <w:color w:val="0B1A33"/>
                <w:sz w:val="17"/>
              </w:rPr>
              <w:t>MCP Service Isolation</w:t>
            </w:r>
          </w:p>
        </w:tc>
        <w:tc>
          <w:tcPr>
            <w:tcW w:type="dxa" w:w="1680"/>
            <w:shd w:fill="FFFFFF"/>
            <w:tcMar>
              <w:top w:w="40" w:type="dxa"/>
              <w:bottom w:w="40" w:type="dxa"/>
              <w:left w:w="50" w:type="dxa"/>
              <w:right w:w="50" w:type="dxa"/>
            </w:tcMar>
          </w:tcPr>
          <w:p>
            <w:r>
              <w:rPr>
                <w:rFonts w:ascii="Calibri" w:hAnsi="Calibri"/>
                <w:color w:val="DC3545"/>
                <w:sz w:val="16"/>
              </w:rPr>
              <w:t>Banking MCP daemon accepted CRM service token; cross-service tool invocation.</w:t>
            </w:r>
          </w:p>
        </w:tc>
        <w:tc>
          <w:tcPr>
            <w:tcW w:type="dxa" w:w="1680"/>
            <w:shd w:fill="FFFFFF"/>
            <w:tcMar>
              <w:top w:w="40" w:type="dxa"/>
              <w:bottom w:w="40" w:type="dxa"/>
              <w:left w:w="50" w:type="dxa"/>
              <w:right w:w="50" w:type="dxa"/>
            </w:tcMar>
          </w:tcPr>
          <w:p>
            <w:r>
              <w:rPr>
                <w:rFonts w:ascii="Calibri" w:hAnsi="Calibri"/>
                <w:b/>
                <w:color w:val="198754"/>
                <w:sz w:val="16"/>
              </w:rPr>
              <w:t>Distinct token secrets per MCP daemon; Banking daemon strictly rejects CRM tokens.</w:t>
            </w:r>
          </w:p>
        </w:tc>
        <w:tc>
          <w:tcPr>
            <w:tcW w:type="dxa" w:w="1680"/>
            <w:shd w:fill="FFFFFF"/>
            <w:tcMar>
              <w:top w:w="40" w:type="dxa"/>
              <w:bottom w:w="40" w:type="dxa"/>
              <w:left w:w="50" w:type="dxa"/>
              <w:right w:w="50" w:type="dxa"/>
            </w:tcMar>
          </w:tcPr>
          <w:p>
            <w:r>
              <w:rPr>
                <w:rFonts w:ascii="Consolas" w:hAnsi="Consolas"/>
                <w:color w:val="46505F"/>
                <w:sz w:val="15"/>
              </w:rPr>
              <w:t>halcyon/mcp_deploy.py, vault.py</w:t>
            </w:r>
          </w:p>
        </w:tc>
        <w:tc>
          <w:tcPr>
            <w:tcW w:type="dxa" w:w="1680"/>
            <w:shd w:fill="FFFFFF"/>
            <w:tcMar>
              <w:top w:w="40" w:type="dxa"/>
              <w:bottom w:w="40" w:type="dxa"/>
              <w:left w:w="50" w:type="dxa"/>
              <w:right w:w="50" w:type="dxa"/>
            </w:tcMar>
          </w:tcPr>
          <w:p>
            <w:r>
              <w:rPr>
                <w:rFonts w:ascii="Calibri" w:hAnsi="Calibri"/>
                <w:sz w:val="16"/>
              </w:rPr>
              <w:t>Service Token Scoping</w:t>
            </w:r>
          </w:p>
        </w:tc>
        <w:tc>
          <w:tcPr>
            <w:tcW w:type="dxa" w:w="1680"/>
            <w:shd w:fill="FFFFFF"/>
            <w:tcMar>
              <w:top w:w="40" w:type="dxa"/>
              <w:bottom w:w="40" w:type="dxa"/>
              <w:left w:w="50" w:type="dxa"/>
              <w:right w:w="50" w:type="dxa"/>
            </w:tcMar>
          </w:tcPr>
          <w:p>
            <w:r>
              <w:rPr>
                <w:rFonts w:ascii="Calibri" w:hAnsi="Calibri"/>
                <w:b/>
                <w:color w:val="0B1A33"/>
                <w:sz w:val="16"/>
              </w:rPr>
              <w:t>VAPT-008, Critical</w:t>
            </w:r>
          </w:p>
        </w:tc>
      </w:tr>
      <w:tr>
        <w:tc>
          <w:tcPr>
            <w:tcW w:type="dxa" w:w="1680"/>
            <w:shd w:fill="F8FAFC"/>
            <w:tcMar>
              <w:top w:w="40" w:type="dxa"/>
              <w:bottom w:w="40" w:type="dxa"/>
              <w:left w:w="50" w:type="dxa"/>
              <w:right w:w="50" w:type="dxa"/>
            </w:tcMar>
          </w:tcPr>
          <w:p>
            <w:r>
              <w:rPr>
                <w:rFonts w:ascii="Calibri" w:hAnsi="Calibri"/>
                <w:b/>
                <w:color w:val="0B1A33"/>
                <w:sz w:val="17"/>
              </w:rPr>
              <w:t>MCP User Delegation</w:t>
            </w:r>
          </w:p>
        </w:tc>
        <w:tc>
          <w:tcPr>
            <w:tcW w:type="dxa" w:w="1680"/>
            <w:shd w:fill="F8FAFC"/>
            <w:tcMar>
              <w:top w:w="40" w:type="dxa"/>
              <w:bottom w:w="40" w:type="dxa"/>
              <w:left w:w="50" w:type="dxa"/>
              <w:right w:w="50" w:type="dxa"/>
            </w:tcMar>
          </w:tcPr>
          <w:p>
            <w:r>
              <w:rPr>
                <w:rFonts w:ascii="Calibri" w:hAnsi="Calibri"/>
                <w:color w:val="DC3545"/>
                <w:sz w:val="16"/>
              </w:rPr>
              <w:t>Tools executed without user identity; service credential allowed cross-user theft.</w:t>
            </w:r>
          </w:p>
        </w:tc>
        <w:tc>
          <w:tcPr>
            <w:tcW w:type="dxa" w:w="1680"/>
            <w:shd w:fill="F8FAFC"/>
            <w:tcMar>
              <w:top w:w="40" w:type="dxa"/>
              <w:bottom w:w="40" w:type="dxa"/>
              <w:left w:w="50" w:type="dxa"/>
              <w:right w:w="50" w:type="dxa"/>
            </w:tcMar>
          </w:tcPr>
          <w:p>
            <w:r>
              <w:rPr>
                <w:rFonts w:ascii="Calibri" w:hAnsi="Calibri"/>
                <w:b/>
                <w:color w:val="198754"/>
                <w:sz w:val="16"/>
              </w:rPr>
              <w:t>Dual authentication: service bearer token plus signed user delegation envelope bound to body.</w:t>
            </w:r>
          </w:p>
        </w:tc>
        <w:tc>
          <w:tcPr>
            <w:tcW w:type="dxa" w:w="1680"/>
            <w:shd w:fill="F8FAFC"/>
            <w:tcMar>
              <w:top w:w="40" w:type="dxa"/>
              <w:bottom w:w="40" w:type="dxa"/>
              <w:left w:w="50" w:type="dxa"/>
              <w:right w:w="50" w:type="dxa"/>
            </w:tcMar>
          </w:tcPr>
          <w:p>
            <w:r>
              <w:rPr>
                <w:rFonts w:ascii="Consolas" w:hAnsi="Consolas"/>
                <w:color w:val="46505F"/>
                <w:sz w:val="15"/>
              </w:rPr>
              <w:t>halcyon/security/transport.py</w:t>
            </w:r>
          </w:p>
        </w:tc>
        <w:tc>
          <w:tcPr>
            <w:tcW w:type="dxa" w:w="1680"/>
            <w:shd w:fill="F8FAFC"/>
            <w:tcMar>
              <w:top w:w="40" w:type="dxa"/>
              <w:bottom w:w="40" w:type="dxa"/>
              <w:left w:w="50" w:type="dxa"/>
              <w:right w:w="50" w:type="dxa"/>
            </w:tcMar>
          </w:tcPr>
          <w:p>
            <w:r>
              <w:rPr>
                <w:rFonts w:ascii="Calibri" w:hAnsi="Calibri"/>
                <w:sz w:val="16"/>
              </w:rPr>
              <w:t>Dual Auth &amp; Delegation</w:t>
            </w:r>
          </w:p>
        </w:tc>
        <w:tc>
          <w:tcPr>
            <w:tcW w:type="dxa" w:w="1680"/>
            <w:shd w:fill="F8FAFC"/>
            <w:tcMar>
              <w:top w:w="40" w:type="dxa"/>
              <w:bottom w:w="40" w:type="dxa"/>
              <w:left w:w="50" w:type="dxa"/>
              <w:right w:w="50" w:type="dxa"/>
            </w:tcMar>
          </w:tcPr>
          <w:p>
            <w:r>
              <w:rPr>
                <w:rFonts w:ascii="Calibri" w:hAnsi="Calibri"/>
                <w:b/>
                <w:color w:val="0B1A33"/>
                <w:sz w:val="16"/>
              </w:rPr>
              <w:t>OWASP Auth, High</w:t>
            </w:r>
          </w:p>
        </w:tc>
      </w:tr>
      <w:tr>
        <w:tc>
          <w:tcPr>
            <w:tcW w:type="dxa" w:w="1680"/>
            <w:shd w:fill="FFFFFF"/>
            <w:tcMar>
              <w:top w:w="40" w:type="dxa"/>
              <w:bottom w:w="40" w:type="dxa"/>
              <w:left w:w="50" w:type="dxa"/>
              <w:right w:w="50" w:type="dxa"/>
            </w:tcMar>
          </w:tcPr>
          <w:p>
            <w:r>
              <w:rPr>
                <w:rFonts w:ascii="Calibri" w:hAnsi="Calibri"/>
                <w:b/>
                <w:color w:val="0B1A33"/>
                <w:sz w:val="17"/>
              </w:rPr>
              <w:t>MCP Security Gateway</w:t>
            </w:r>
          </w:p>
        </w:tc>
        <w:tc>
          <w:tcPr>
            <w:tcW w:type="dxa" w:w="1680"/>
            <w:shd w:fill="FFFFFF"/>
            <w:tcMar>
              <w:top w:w="40" w:type="dxa"/>
              <w:bottom w:w="40" w:type="dxa"/>
              <w:left w:w="50" w:type="dxa"/>
              <w:right w:w="50" w:type="dxa"/>
            </w:tcMar>
          </w:tcPr>
          <w:p>
            <w:r>
              <w:rPr>
                <w:rFonts w:ascii="Calibri" w:hAnsi="Calibri"/>
                <w:color w:val="DC3545"/>
                <w:sz w:val="16"/>
              </w:rPr>
              <w:t>No gateway between agent and tools; raw arguments dispatch directly to tools.</w:t>
            </w:r>
          </w:p>
        </w:tc>
        <w:tc>
          <w:tcPr>
            <w:tcW w:type="dxa" w:w="1680"/>
            <w:shd w:fill="FFFFFF"/>
            <w:tcMar>
              <w:top w:w="40" w:type="dxa"/>
              <w:bottom w:w="40" w:type="dxa"/>
              <w:left w:w="50" w:type="dxa"/>
              <w:right w:w="50" w:type="dxa"/>
            </w:tcMar>
          </w:tcPr>
          <w:p>
            <w:r>
              <w:rPr>
                <w:rFonts w:ascii="Calibri" w:hAnsi="Calibri"/>
                <w:b/>
                <w:color w:val="198754"/>
                <w:sz w:val="16"/>
              </w:rPr>
              <w:t>Lasso-style MCP Gateway: validates types, blocks SQL/scripts, and applies egress DLP.</w:t>
            </w:r>
          </w:p>
        </w:tc>
        <w:tc>
          <w:tcPr>
            <w:tcW w:type="dxa" w:w="1680"/>
            <w:shd w:fill="FFFFFF"/>
            <w:tcMar>
              <w:top w:w="40" w:type="dxa"/>
              <w:bottom w:w="40" w:type="dxa"/>
              <w:left w:w="50" w:type="dxa"/>
              <w:right w:w="50" w:type="dxa"/>
            </w:tcMar>
          </w:tcPr>
          <w:p>
            <w:r>
              <w:rPr>
                <w:rFonts w:ascii="Consolas" w:hAnsi="Consolas"/>
                <w:color w:val="46505F"/>
                <w:sz w:val="15"/>
              </w:rPr>
              <w:t>halcyon/security/mcp_gateway.py</w:t>
            </w:r>
          </w:p>
        </w:tc>
        <w:tc>
          <w:tcPr>
            <w:tcW w:type="dxa" w:w="1680"/>
            <w:shd w:fill="FFFFFF"/>
            <w:tcMar>
              <w:top w:w="40" w:type="dxa"/>
              <w:bottom w:w="40" w:type="dxa"/>
              <w:left w:w="50" w:type="dxa"/>
              <w:right w:w="50" w:type="dxa"/>
            </w:tcMar>
          </w:tcPr>
          <w:p>
            <w:r>
              <w:rPr>
                <w:rFonts w:ascii="Calibri" w:hAnsi="Calibri"/>
                <w:sz w:val="16"/>
              </w:rPr>
              <w:t>Lasso MCP Gateway Layer</w:t>
            </w:r>
          </w:p>
        </w:tc>
        <w:tc>
          <w:tcPr>
            <w:tcW w:type="dxa" w:w="1680"/>
            <w:shd w:fill="FFFFFF"/>
            <w:tcMar>
              <w:top w:w="40" w:type="dxa"/>
              <w:bottom w:w="40" w:type="dxa"/>
              <w:left w:w="50" w:type="dxa"/>
              <w:right w:w="50" w:type="dxa"/>
            </w:tcMar>
          </w:tcPr>
          <w:p>
            <w:r>
              <w:rPr>
                <w:rFonts w:ascii="Calibri" w:hAnsi="Calibri"/>
                <w:b/>
                <w:color w:val="0B1A33"/>
                <w:sz w:val="16"/>
              </w:rPr>
              <w:t>Agent Defense</w:t>
            </w:r>
          </w:p>
        </w:tc>
      </w:tr>
      <w:tr>
        <w:tc>
          <w:tcPr>
            <w:tcW w:type="dxa" w:w="1680"/>
            <w:shd w:fill="F8FAFC"/>
            <w:tcMar>
              <w:top w:w="40" w:type="dxa"/>
              <w:bottom w:w="40" w:type="dxa"/>
              <w:left w:w="50" w:type="dxa"/>
              <w:right w:w="50" w:type="dxa"/>
            </w:tcMar>
          </w:tcPr>
          <w:p>
            <w:r>
              <w:rPr>
                <w:rFonts w:ascii="Calibri" w:hAnsi="Calibri"/>
                <w:b/>
                <w:color w:val="0B1A33"/>
                <w:sz w:val="17"/>
              </w:rPr>
              <w:t>Data Loss Prevention</w:t>
            </w:r>
          </w:p>
        </w:tc>
        <w:tc>
          <w:tcPr>
            <w:tcW w:type="dxa" w:w="1680"/>
            <w:shd w:fill="F8FAFC"/>
            <w:tcMar>
              <w:top w:w="40" w:type="dxa"/>
              <w:bottom w:w="40" w:type="dxa"/>
              <w:left w:w="50" w:type="dxa"/>
              <w:right w:w="50" w:type="dxa"/>
            </w:tcMar>
          </w:tcPr>
          <w:p>
            <w:r>
              <w:rPr>
                <w:rFonts w:ascii="Calibri" w:hAnsi="Calibri"/>
                <w:color w:val="DC3545"/>
                <w:sz w:val="16"/>
              </w:rPr>
              <w:t>Tool outputs expose credit card numbers, SSNs, and internal API tokens to LLM context.</w:t>
            </w:r>
          </w:p>
        </w:tc>
        <w:tc>
          <w:tcPr>
            <w:tcW w:type="dxa" w:w="1680"/>
            <w:shd w:fill="F8FAFC"/>
            <w:tcMar>
              <w:top w:w="40" w:type="dxa"/>
              <w:bottom w:w="40" w:type="dxa"/>
              <w:left w:w="50" w:type="dxa"/>
              <w:right w:w="50" w:type="dxa"/>
            </w:tcMar>
          </w:tcPr>
          <w:p>
            <w:r>
              <w:rPr>
                <w:rFonts w:ascii="Calibri" w:hAnsi="Calibri"/>
                <w:b/>
                <w:color w:val="198754"/>
                <w:sz w:val="16"/>
              </w:rPr>
              <w:t>Egress DLP sanitizer masks payment cards, SSNs, and tokens while preserving account IDs.</w:t>
            </w:r>
          </w:p>
        </w:tc>
        <w:tc>
          <w:tcPr>
            <w:tcW w:type="dxa" w:w="1680"/>
            <w:shd w:fill="F8FAFC"/>
            <w:tcMar>
              <w:top w:w="40" w:type="dxa"/>
              <w:bottom w:w="40" w:type="dxa"/>
              <w:left w:w="50" w:type="dxa"/>
              <w:right w:w="50" w:type="dxa"/>
            </w:tcMar>
          </w:tcPr>
          <w:p>
            <w:r>
              <w:rPr>
                <w:rFonts w:ascii="Consolas" w:hAnsi="Consolas"/>
                <w:color w:val="46505F"/>
                <w:sz w:val="15"/>
              </w:rPr>
              <w:t>halcyon/security/mcp_gateway.py</w:t>
            </w:r>
          </w:p>
        </w:tc>
        <w:tc>
          <w:tcPr>
            <w:tcW w:type="dxa" w:w="1680"/>
            <w:shd w:fill="F8FAFC"/>
            <w:tcMar>
              <w:top w:w="40" w:type="dxa"/>
              <w:bottom w:w="40" w:type="dxa"/>
              <w:left w:w="50" w:type="dxa"/>
              <w:right w:w="50" w:type="dxa"/>
            </w:tcMar>
          </w:tcPr>
          <w:p>
            <w:r>
              <w:rPr>
                <w:rFonts w:ascii="Calibri" w:hAnsi="Calibri"/>
                <w:sz w:val="16"/>
              </w:rPr>
              <w:t>Context DLP Masking</w:t>
            </w:r>
          </w:p>
        </w:tc>
        <w:tc>
          <w:tcPr>
            <w:tcW w:type="dxa" w:w="1680"/>
            <w:shd w:fill="F8FAFC"/>
            <w:tcMar>
              <w:top w:w="40" w:type="dxa"/>
              <w:bottom w:w="40" w:type="dxa"/>
              <w:left w:w="50" w:type="dxa"/>
              <w:right w:w="50" w:type="dxa"/>
            </w:tcMar>
          </w:tcPr>
          <w:p>
            <w:r>
              <w:rPr>
                <w:rFonts w:ascii="Calibri" w:hAnsi="Calibri"/>
                <w:b/>
                <w:color w:val="0B1A33"/>
                <w:sz w:val="16"/>
              </w:rPr>
              <w:t>OWASP LLM06, Med</w:t>
            </w:r>
          </w:p>
        </w:tc>
      </w:tr>
      <w:tr>
        <w:tc>
          <w:tcPr>
            <w:tcW w:type="dxa" w:w="1680"/>
            <w:shd w:fill="FFFFFF"/>
            <w:tcMar>
              <w:top w:w="40" w:type="dxa"/>
              <w:bottom w:w="40" w:type="dxa"/>
              <w:left w:w="50" w:type="dxa"/>
              <w:right w:w="50" w:type="dxa"/>
            </w:tcMar>
          </w:tcPr>
          <w:p>
            <w:r>
              <w:rPr>
                <w:rFonts w:ascii="Calibri" w:hAnsi="Calibri"/>
                <w:b/>
                <w:color w:val="0B1A33"/>
                <w:sz w:val="17"/>
              </w:rPr>
              <w:t>Vector DB Dependency</w:t>
            </w:r>
          </w:p>
        </w:tc>
        <w:tc>
          <w:tcPr>
            <w:tcW w:type="dxa" w:w="1680"/>
            <w:shd w:fill="FFFFFF"/>
            <w:tcMar>
              <w:top w:w="40" w:type="dxa"/>
              <w:bottom w:w="40" w:type="dxa"/>
              <w:left w:w="50" w:type="dxa"/>
              <w:right w:w="50" w:type="dxa"/>
            </w:tcMar>
          </w:tcPr>
          <w:p>
            <w:r>
              <w:rPr>
                <w:rFonts w:ascii="Calibri" w:hAnsi="Calibri"/>
                <w:color w:val="DC3545"/>
                <w:sz w:val="16"/>
              </w:rPr>
              <w:t>ChromaDB embedded dependency introduced heavy footprint and known CVE exposures.</w:t>
            </w:r>
          </w:p>
        </w:tc>
        <w:tc>
          <w:tcPr>
            <w:tcW w:type="dxa" w:w="1680"/>
            <w:shd w:fill="FFFFFF"/>
            <w:tcMar>
              <w:top w:w="40" w:type="dxa"/>
              <w:bottom w:w="40" w:type="dxa"/>
              <w:left w:w="50" w:type="dxa"/>
              <w:right w:w="50" w:type="dxa"/>
            </w:tcMar>
          </w:tcPr>
          <w:p>
            <w:r>
              <w:rPr>
                <w:rFonts w:ascii="Calibri" w:hAnsi="Calibri"/>
                <w:b/>
                <w:color w:val="198754"/>
                <w:sz w:val="16"/>
              </w:rPr>
              <w:t>Complete removal of ChromaDB; replaced with persistent SQLite KB with access filtering.</w:t>
            </w:r>
          </w:p>
        </w:tc>
        <w:tc>
          <w:tcPr>
            <w:tcW w:type="dxa" w:w="1680"/>
            <w:shd w:fill="FFFFFF"/>
            <w:tcMar>
              <w:top w:w="40" w:type="dxa"/>
              <w:bottom w:w="40" w:type="dxa"/>
              <w:left w:w="50" w:type="dxa"/>
              <w:right w:w="50" w:type="dxa"/>
            </w:tcMar>
          </w:tcPr>
          <w:p>
            <w:r>
              <w:rPr>
                <w:rFonts w:ascii="Consolas" w:hAnsi="Consolas"/>
                <w:color w:val="46505F"/>
                <w:sz w:val="15"/>
              </w:rPr>
              <w:t>halcyon/sqlite_kb.py</w:t>
            </w:r>
          </w:p>
        </w:tc>
        <w:tc>
          <w:tcPr>
            <w:tcW w:type="dxa" w:w="1680"/>
            <w:shd w:fill="FFFFFF"/>
            <w:tcMar>
              <w:top w:w="40" w:type="dxa"/>
              <w:bottom w:w="40" w:type="dxa"/>
              <w:left w:w="50" w:type="dxa"/>
              <w:right w:w="50" w:type="dxa"/>
            </w:tcMar>
          </w:tcPr>
          <w:p>
            <w:r>
              <w:rPr>
                <w:rFonts w:ascii="Calibri" w:hAnsi="Calibri"/>
                <w:sz w:val="16"/>
              </w:rPr>
              <w:t>Dependency Surface Reduction</w:t>
            </w:r>
          </w:p>
        </w:tc>
        <w:tc>
          <w:tcPr>
            <w:tcW w:type="dxa" w:w="1680"/>
            <w:shd w:fill="FFFFFF"/>
            <w:tcMar>
              <w:top w:w="40" w:type="dxa"/>
              <w:bottom w:w="40" w:type="dxa"/>
              <w:left w:w="50" w:type="dxa"/>
              <w:right w:w="50" w:type="dxa"/>
            </w:tcMar>
          </w:tcPr>
          <w:p>
            <w:r>
              <w:rPr>
                <w:rFonts w:ascii="Calibri" w:hAnsi="Calibri"/>
                <w:b/>
                <w:color w:val="0B1A33"/>
                <w:sz w:val="16"/>
              </w:rPr>
              <w:t>VAPT-003, Med</w:t>
            </w:r>
          </w:p>
        </w:tc>
      </w:tr>
      <w:tr>
        <w:tc>
          <w:tcPr>
            <w:tcW w:type="dxa" w:w="1680"/>
            <w:shd w:fill="F8FAFC"/>
            <w:tcMar>
              <w:top w:w="40" w:type="dxa"/>
              <w:bottom w:w="40" w:type="dxa"/>
              <w:left w:w="50" w:type="dxa"/>
              <w:right w:w="50" w:type="dxa"/>
            </w:tcMar>
          </w:tcPr>
          <w:p>
            <w:r>
              <w:rPr>
                <w:rFonts w:ascii="Calibri" w:hAnsi="Calibri"/>
                <w:b/>
                <w:color w:val="0B1A33"/>
                <w:sz w:val="17"/>
              </w:rPr>
              <w:t>Vulnerable Packages</w:t>
            </w:r>
          </w:p>
        </w:tc>
        <w:tc>
          <w:tcPr>
            <w:tcW w:type="dxa" w:w="1680"/>
            <w:shd w:fill="F8FAFC"/>
            <w:tcMar>
              <w:top w:w="40" w:type="dxa"/>
              <w:bottom w:w="40" w:type="dxa"/>
              <w:left w:w="50" w:type="dxa"/>
              <w:right w:w="50" w:type="dxa"/>
            </w:tcMar>
          </w:tcPr>
          <w:p>
            <w:r>
              <w:rPr>
                <w:rFonts w:ascii="Calibri" w:hAnsi="Calibri"/>
                <w:color w:val="DC3545"/>
                <w:sz w:val="16"/>
              </w:rPr>
              <w:t>aiohttp 3.14.1 and PyJWT 2.13.0 with known public vulnerability advisories.</w:t>
            </w:r>
          </w:p>
        </w:tc>
        <w:tc>
          <w:tcPr>
            <w:tcW w:type="dxa" w:w="1680"/>
            <w:shd w:fill="F8FAFC"/>
            <w:tcMar>
              <w:top w:w="40" w:type="dxa"/>
              <w:bottom w:w="40" w:type="dxa"/>
              <w:left w:w="50" w:type="dxa"/>
              <w:right w:w="50" w:type="dxa"/>
            </w:tcMar>
          </w:tcPr>
          <w:p>
            <w:r>
              <w:rPr>
                <w:rFonts w:ascii="Calibri" w:hAnsi="Calibri"/>
                <w:b/>
                <w:color w:val="198754"/>
                <w:sz w:val="16"/>
              </w:rPr>
              <w:t>Upgraded to aiohttp 3.14.5 and PyJWT 2.15.1; pip-audit confirms zero known vulnerabilities.</w:t>
            </w:r>
          </w:p>
        </w:tc>
        <w:tc>
          <w:tcPr>
            <w:tcW w:type="dxa" w:w="1680"/>
            <w:shd w:fill="F8FAFC"/>
            <w:tcMar>
              <w:top w:w="40" w:type="dxa"/>
              <w:bottom w:w="40" w:type="dxa"/>
              <w:left w:w="50" w:type="dxa"/>
              <w:right w:w="50" w:type="dxa"/>
            </w:tcMar>
          </w:tcPr>
          <w:p>
            <w:r>
              <w:rPr>
                <w:rFonts w:ascii="Consolas" w:hAnsi="Consolas"/>
                <w:color w:val="46505F"/>
                <w:sz w:val="15"/>
              </w:rPr>
              <w:t>pyproject.toml, uv.lock</w:t>
            </w:r>
          </w:p>
        </w:tc>
        <w:tc>
          <w:tcPr>
            <w:tcW w:type="dxa" w:w="1680"/>
            <w:shd w:fill="F8FAFC"/>
            <w:tcMar>
              <w:top w:w="40" w:type="dxa"/>
              <w:bottom w:w="40" w:type="dxa"/>
              <w:left w:w="50" w:type="dxa"/>
              <w:right w:w="50" w:type="dxa"/>
            </w:tcMar>
          </w:tcPr>
          <w:p>
            <w:r>
              <w:rPr>
                <w:rFonts w:ascii="Calibri" w:hAnsi="Calibri"/>
                <w:sz w:val="16"/>
              </w:rPr>
              <w:t>Automated Package Patching</w:t>
            </w:r>
          </w:p>
        </w:tc>
        <w:tc>
          <w:tcPr>
            <w:tcW w:type="dxa" w:w="1680"/>
            <w:shd w:fill="F8FAFC"/>
            <w:tcMar>
              <w:top w:w="40" w:type="dxa"/>
              <w:bottom w:w="40" w:type="dxa"/>
              <w:left w:w="50" w:type="dxa"/>
              <w:right w:w="50" w:type="dxa"/>
            </w:tcMar>
          </w:tcPr>
          <w:p>
            <w:r>
              <w:rPr>
                <w:rFonts w:ascii="Calibri" w:hAnsi="Calibri"/>
                <w:b/>
                <w:color w:val="0B1A33"/>
                <w:sz w:val="16"/>
              </w:rPr>
              <w:t>VAPT-018, 029, 034</w:t>
            </w:r>
          </w:p>
        </w:tc>
      </w:tr>
      <w:tr>
        <w:tc>
          <w:tcPr>
            <w:tcW w:type="dxa" w:w="1680"/>
            <w:shd w:fill="FFFFFF"/>
            <w:tcMar>
              <w:top w:w="40" w:type="dxa"/>
              <w:bottom w:w="40" w:type="dxa"/>
              <w:left w:w="50" w:type="dxa"/>
              <w:right w:w="50" w:type="dxa"/>
            </w:tcMar>
          </w:tcPr>
          <w:p>
            <w:r>
              <w:rPr>
                <w:rFonts w:ascii="Calibri" w:hAnsi="Calibri"/>
                <w:b/>
                <w:color w:val="0B1A33"/>
                <w:sz w:val="17"/>
              </w:rPr>
              <w:t>Pickle Deserialization</w:t>
            </w:r>
          </w:p>
        </w:tc>
        <w:tc>
          <w:tcPr>
            <w:tcW w:type="dxa" w:w="1680"/>
            <w:shd w:fill="FFFFFF"/>
            <w:tcMar>
              <w:top w:w="40" w:type="dxa"/>
              <w:bottom w:w="40" w:type="dxa"/>
              <w:left w:w="50" w:type="dxa"/>
              <w:right w:w="50" w:type="dxa"/>
            </w:tcMar>
          </w:tcPr>
          <w:p>
            <w:r>
              <w:rPr>
                <w:rFonts w:ascii="Calibri" w:hAnsi="Calibri"/>
                <w:color w:val="DC3545"/>
                <w:sz w:val="16"/>
              </w:rPr>
              <w:t>M4 bundle distributed executable pickle (community_model.pkl) triggering RCE.</w:t>
            </w:r>
          </w:p>
        </w:tc>
        <w:tc>
          <w:tcPr>
            <w:tcW w:type="dxa" w:w="1680"/>
            <w:shd w:fill="FFFFFF"/>
            <w:tcMar>
              <w:top w:w="40" w:type="dxa"/>
              <w:bottom w:w="40" w:type="dxa"/>
              <w:left w:w="50" w:type="dxa"/>
              <w:right w:w="50" w:type="dxa"/>
            </w:tcMar>
          </w:tcPr>
          <w:p>
            <w:r>
              <w:rPr>
                <w:rFonts w:ascii="Calibri" w:hAnsi="Calibri"/>
                <w:b/>
                <w:color w:val="198754"/>
                <w:sz w:val="16"/>
              </w:rPr>
              <w:t>Removed executable pickle; replaced with quarantine record; disabled pickle deserialization.</w:t>
            </w:r>
          </w:p>
        </w:tc>
        <w:tc>
          <w:tcPr>
            <w:tcW w:type="dxa" w:w="1680"/>
            <w:shd w:fill="FFFFFF"/>
            <w:tcMar>
              <w:top w:w="40" w:type="dxa"/>
              <w:bottom w:w="40" w:type="dxa"/>
              <w:left w:w="50" w:type="dxa"/>
              <w:right w:w="50" w:type="dxa"/>
            </w:tcMar>
          </w:tcPr>
          <w:p>
            <w:r>
              <w:rPr>
                <w:rFonts w:ascii="Consolas" w:hAnsi="Consolas"/>
                <w:color w:val="46505F"/>
                <w:sz w:val="15"/>
              </w:rPr>
              <w:t>halcyon/artifacts.py</w:t>
            </w:r>
          </w:p>
        </w:tc>
        <w:tc>
          <w:tcPr>
            <w:tcW w:type="dxa" w:w="1680"/>
            <w:shd w:fill="FFFFFF"/>
            <w:tcMar>
              <w:top w:w="40" w:type="dxa"/>
              <w:bottom w:w="40" w:type="dxa"/>
              <w:left w:w="50" w:type="dxa"/>
              <w:right w:w="50" w:type="dxa"/>
            </w:tcMar>
          </w:tcPr>
          <w:p>
            <w:r>
              <w:rPr>
                <w:rFonts w:ascii="Calibri" w:hAnsi="Calibri"/>
                <w:sz w:val="16"/>
              </w:rPr>
              <w:t>Pickle RCE Elimination</w:t>
            </w:r>
          </w:p>
        </w:tc>
        <w:tc>
          <w:tcPr>
            <w:tcW w:type="dxa" w:w="1680"/>
            <w:shd w:fill="FFFFFF"/>
            <w:tcMar>
              <w:top w:w="40" w:type="dxa"/>
              <w:bottom w:w="40" w:type="dxa"/>
              <w:left w:w="50" w:type="dxa"/>
              <w:right w:w="50" w:type="dxa"/>
            </w:tcMar>
          </w:tcPr>
          <w:p>
            <w:r>
              <w:rPr>
                <w:rFonts w:ascii="Calibri" w:hAnsi="Calibri"/>
                <w:b/>
                <w:color w:val="0B1A33"/>
                <w:sz w:val="16"/>
              </w:rPr>
              <w:t>VAPT-001, Critical</w:t>
            </w:r>
          </w:p>
        </w:tc>
      </w:tr>
      <w:tr>
        <w:tc>
          <w:tcPr>
            <w:tcW w:type="dxa" w:w="1680"/>
            <w:shd w:fill="F8FAFC"/>
            <w:tcMar>
              <w:top w:w="40" w:type="dxa"/>
              <w:bottom w:w="40" w:type="dxa"/>
              <w:left w:w="50" w:type="dxa"/>
              <w:right w:w="50" w:type="dxa"/>
            </w:tcMar>
          </w:tcPr>
          <w:p>
            <w:r>
              <w:rPr>
                <w:rFonts w:ascii="Calibri" w:hAnsi="Calibri"/>
                <w:b/>
                <w:color w:val="0B1A33"/>
                <w:sz w:val="17"/>
              </w:rPr>
              <w:t>AI Safety Guardrails</w:t>
            </w:r>
          </w:p>
        </w:tc>
        <w:tc>
          <w:tcPr>
            <w:tcW w:type="dxa" w:w="1680"/>
            <w:shd w:fill="F8FAFC"/>
            <w:tcMar>
              <w:top w:w="40" w:type="dxa"/>
              <w:bottom w:w="40" w:type="dxa"/>
              <w:left w:w="50" w:type="dxa"/>
              <w:right w:w="50" w:type="dxa"/>
            </w:tcMar>
          </w:tcPr>
          <w:p>
            <w:r>
              <w:rPr>
                <w:rFonts w:ascii="Calibri" w:hAnsi="Calibri"/>
                <w:color w:val="DC3545"/>
                <w:sz w:val="16"/>
              </w:rPr>
              <w:t>No runtime guardrails; model vulnerable to direct prompt injection and jailbreaks.</w:t>
            </w:r>
          </w:p>
        </w:tc>
        <w:tc>
          <w:tcPr>
            <w:tcW w:type="dxa" w:w="1680"/>
            <w:shd w:fill="F8FAFC"/>
            <w:tcMar>
              <w:top w:w="40" w:type="dxa"/>
              <w:bottom w:w="40" w:type="dxa"/>
              <w:left w:w="50" w:type="dxa"/>
              <w:right w:w="50" w:type="dxa"/>
            </w:tcMar>
          </w:tcPr>
          <w:p>
            <w:r>
              <w:rPr>
                <w:rFonts w:ascii="Calibri" w:hAnsi="Calibri"/>
                <w:b/>
                <w:color w:val="198754"/>
                <w:sz w:val="16"/>
              </w:rPr>
              <w:t>NVIDIA NeMo Guardrails (Colang dialog rails) and Meta Llama Guard 3-1B classifier.</w:t>
            </w:r>
          </w:p>
        </w:tc>
        <w:tc>
          <w:tcPr>
            <w:tcW w:type="dxa" w:w="1680"/>
            <w:shd w:fill="F8FAFC"/>
            <w:tcMar>
              <w:top w:w="40" w:type="dxa"/>
              <w:bottom w:w="40" w:type="dxa"/>
              <w:left w:w="50" w:type="dxa"/>
              <w:right w:w="50" w:type="dxa"/>
            </w:tcMar>
          </w:tcPr>
          <w:p>
            <w:r>
              <w:rPr>
                <w:rFonts w:ascii="Consolas" w:hAnsi="Consolas"/>
                <w:color w:val="46505F"/>
                <w:sz w:val="15"/>
              </w:rPr>
              <w:t>halcyon/security/runtime.py</w:t>
            </w:r>
          </w:p>
        </w:tc>
        <w:tc>
          <w:tcPr>
            <w:tcW w:type="dxa" w:w="1680"/>
            <w:shd w:fill="F8FAFC"/>
            <w:tcMar>
              <w:top w:w="40" w:type="dxa"/>
              <w:bottom w:w="40" w:type="dxa"/>
              <w:left w:w="50" w:type="dxa"/>
              <w:right w:w="50" w:type="dxa"/>
            </w:tcMar>
          </w:tcPr>
          <w:p>
            <w:r>
              <w:rPr>
                <w:rFonts w:ascii="Calibri" w:hAnsi="Calibri"/>
                <w:sz w:val="16"/>
              </w:rPr>
              <w:t>NeMo &amp; Llama Guard Rails</w:t>
            </w:r>
          </w:p>
        </w:tc>
        <w:tc>
          <w:tcPr>
            <w:tcW w:type="dxa" w:w="1680"/>
            <w:shd w:fill="F8FAFC"/>
            <w:tcMar>
              <w:top w:w="40" w:type="dxa"/>
              <w:bottom w:w="40" w:type="dxa"/>
              <w:left w:w="50" w:type="dxa"/>
              <w:right w:w="50" w:type="dxa"/>
            </w:tcMar>
          </w:tcPr>
          <w:p>
            <w:r>
              <w:rPr>
                <w:rFonts w:ascii="Calibri" w:hAnsi="Calibri"/>
                <w:b/>
                <w:color w:val="0B1A33"/>
                <w:sz w:val="16"/>
              </w:rPr>
              <w:t>Runtime Defense</w:t>
            </w:r>
          </w:p>
        </w:tc>
      </w:tr>
      <w:tr>
        <w:tc>
          <w:tcPr>
            <w:tcW w:type="dxa" w:w="1680"/>
            <w:shd w:fill="FFFFFF"/>
            <w:tcMar>
              <w:top w:w="40" w:type="dxa"/>
              <w:bottom w:w="40" w:type="dxa"/>
              <w:left w:w="50" w:type="dxa"/>
              <w:right w:w="50" w:type="dxa"/>
            </w:tcMar>
          </w:tcPr>
          <w:p>
            <w:r>
              <w:rPr>
                <w:rFonts w:ascii="Calibri" w:hAnsi="Calibri"/>
                <w:b/>
                <w:color w:val="0B1A33"/>
                <w:sz w:val="17"/>
              </w:rPr>
              <w:t>Classifier Taxonomy</w:t>
            </w:r>
          </w:p>
        </w:tc>
        <w:tc>
          <w:tcPr>
            <w:tcW w:type="dxa" w:w="1680"/>
            <w:shd w:fill="FFFFFF"/>
            <w:tcMar>
              <w:top w:w="40" w:type="dxa"/>
              <w:bottom w:w="40" w:type="dxa"/>
              <w:left w:w="50" w:type="dxa"/>
              <w:right w:w="50" w:type="dxa"/>
            </w:tcMar>
          </w:tcPr>
          <w:p>
            <w:r>
              <w:rPr>
                <w:rFonts w:ascii="Calibri" w:hAnsi="Calibri"/>
                <w:color w:val="DC3545"/>
                <w:sz w:val="16"/>
              </w:rPr>
              <w:t>Proposed classifier conflated injection with elections; returned safe on failure.</w:t>
            </w:r>
          </w:p>
        </w:tc>
        <w:tc>
          <w:tcPr>
            <w:tcW w:type="dxa" w:w="1680"/>
            <w:shd w:fill="FFFFFF"/>
            <w:tcMar>
              <w:top w:w="40" w:type="dxa"/>
              <w:bottom w:w="40" w:type="dxa"/>
              <w:left w:w="50" w:type="dxa"/>
              <w:right w:w="50" w:type="dxa"/>
            </w:tcMar>
          </w:tcPr>
          <w:p>
            <w:r>
              <w:rPr>
                <w:rFonts w:ascii="Calibri" w:hAnsi="Calibri"/>
                <w:b/>
                <w:color w:val="198754"/>
                <w:sz w:val="16"/>
              </w:rPr>
              <w:t>Official 13-category taxonomy (S13=Elections); explicit UNAVAILABLE fail-closed contract.</w:t>
            </w:r>
          </w:p>
        </w:tc>
        <w:tc>
          <w:tcPr>
            <w:tcW w:type="dxa" w:w="1680"/>
            <w:shd w:fill="FFFFFF"/>
            <w:tcMar>
              <w:top w:w="40" w:type="dxa"/>
              <w:bottom w:w="40" w:type="dxa"/>
              <w:left w:w="50" w:type="dxa"/>
              <w:right w:w="50" w:type="dxa"/>
            </w:tcMar>
          </w:tcPr>
          <w:p>
            <w:r>
              <w:rPr>
                <w:rFonts w:ascii="Consolas" w:hAnsi="Consolas"/>
                <w:color w:val="46505F"/>
                <w:sz w:val="15"/>
              </w:rPr>
              <w:t>halcyon/security/contracts.py</w:t>
            </w:r>
          </w:p>
        </w:tc>
        <w:tc>
          <w:tcPr>
            <w:tcW w:type="dxa" w:w="1680"/>
            <w:shd w:fill="FFFFFF"/>
            <w:tcMar>
              <w:top w:w="40" w:type="dxa"/>
              <w:bottom w:w="40" w:type="dxa"/>
              <w:left w:w="50" w:type="dxa"/>
              <w:right w:w="50" w:type="dxa"/>
            </w:tcMar>
          </w:tcPr>
          <w:p>
            <w:r>
              <w:rPr>
                <w:rFonts w:ascii="Calibri" w:hAnsi="Calibri"/>
                <w:sz w:val="16"/>
              </w:rPr>
              <w:t>Standard 13-Cat Taxonomy</w:t>
            </w:r>
          </w:p>
        </w:tc>
        <w:tc>
          <w:tcPr>
            <w:tcW w:type="dxa" w:w="1680"/>
            <w:shd w:fill="FFFFFF"/>
            <w:tcMar>
              <w:top w:w="40" w:type="dxa"/>
              <w:bottom w:w="40" w:type="dxa"/>
              <w:left w:w="50" w:type="dxa"/>
              <w:right w:w="50" w:type="dxa"/>
            </w:tcMar>
          </w:tcPr>
          <w:p>
            <w:r>
              <w:rPr>
                <w:rFonts w:ascii="Calibri" w:hAnsi="Calibri"/>
                <w:b/>
                <w:color w:val="0B1A33"/>
                <w:sz w:val="16"/>
              </w:rPr>
              <w:t>Classifier Standard</w:t>
            </w:r>
          </w:p>
        </w:tc>
      </w:tr>
      <w:tr>
        <w:tc>
          <w:tcPr>
            <w:tcW w:type="dxa" w:w="1680"/>
            <w:shd w:fill="F8FAFC"/>
            <w:tcMar>
              <w:top w:w="40" w:type="dxa"/>
              <w:bottom w:w="40" w:type="dxa"/>
              <w:left w:w="50" w:type="dxa"/>
              <w:right w:w="50" w:type="dxa"/>
            </w:tcMar>
          </w:tcPr>
          <w:p>
            <w:r>
              <w:rPr>
                <w:rFonts w:ascii="Calibri" w:hAnsi="Calibri"/>
                <w:b/>
                <w:color w:val="0B1A33"/>
                <w:sz w:val="17"/>
              </w:rPr>
              <w:t>SIEM Observability</w:t>
            </w:r>
          </w:p>
        </w:tc>
        <w:tc>
          <w:tcPr>
            <w:tcW w:type="dxa" w:w="1680"/>
            <w:shd w:fill="F8FAFC"/>
            <w:tcMar>
              <w:top w:w="40" w:type="dxa"/>
              <w:bottom w:w="40" w:type="dxa"/>
              <w:left w:w="50" w:type="dxa"/>
              <w:right w:w="50" w:type="dxa"/>
            </w:tcMar>
          </w:tcPr>
          <w:p>
            <w:r>
              <w:rPr>
                <w:rFonts w:ascii="Calibri" w:hAnsi="Calibri"/>
                <w:color w:val="DC3545"/>
                <w:sz w:val="16"/>
              </w:rPr>
              <w:t>Ephemeral console logging; unformatted and unmonitored security decisions.</w:t>
            </w:r>
          </w:p>
        </w:tc>
        <w:tc>
          <w:tcPr>
            <w:tcW w:type="dxa" w:w="1680"/>
            <w:shd w:fill="F8FAFC"/>
            <w:tcMar>
              <w:top w:w="40" w:type="dxa"/>
              <w:bottom w:w="40" w:type="dxa"/>
              <w:left w:w="50" w:type="dxa"/>
              <w:right w:w="50" w:type="dxa"/>
            </w:tcMar>
          </w:tcPr>
          <w:p>
            <w:r>
              <w:rPr>
                <w:rFonts w:ascii="Calibri" w:hAnsi="Calibri"/>
                <w:b/>
                <w:color w:val="198754"/>
                <w:sz w:val="16"/>
              </w:rPr>
              <w:t>Wazuh SIEM structured JSON audit logger with keyed pseudonyms and bounded rotation.</w:t>
            </w:r>
          </w:p>
        </w:tc>
        <w:tc>
          <w:tcPr>
            <w:tcW w:type="dxa" w:w="1680"/>
            <w:shd w:fill="F8FAFC"/>
            <w:tcMar>
              <w:top w:w="40" w:type="dxa"/>
              <w:bottom w:w="40" w:type="dxa"/>
              <w:left w:w="50" w:type="dxa"/>
              <w:right w:w="50" w:type="dxa"/>
            </w:tcMar>
          </w:tcPr>
          <w:p>
            <w:r>
              <w:rPr>
                <w:rFonts w:ascii="Consolas" w:hAnsi="Consolas"/>
                <w:color w:val="46505F"/>
                <w:sz w:val="15"/>
              </w:rPr>
              <w:t>halcyon/security/wazuh_logger.py</w:t>
            </w:r>
          </w:p>
        </w:tc>
        <w:tc>
          <w:tcPr>
            <w:tcW w:type="dxa" w:w="1680"/>
            <w:shd w:fill="F8FAFC"/>
            <w:tcMar>
              <w:top w:w="40" w:type="dxa"/>
              <w:bottom w:w="40" w:type="dxa"/>
              <w:left w:w="50" w:type="dxa"/>
              <w:right w:w="50" w:type="dxa"/>
            </w:tcMar>
          </w:tcPr>
          <w:p>
            <w:r>
              <w:rPr>
                <w:rFonts w:ascii="Calibri" w:hAnsi="Calibri"/>
                <w:sz w:val="16"/>
              </w:rPr>
              <w:t>Structured SIEM Integration</w:t>
            </w:r>
          </w:p>
        </w:tc>
        <w:tc>
          <w:tcPr>
            <w:tcW w:type="dxa" w:w="1680"/>
            <w:shd w:fill="F8FAFC"/>
            <w:tcMar>
              <w:top w:w="40" w:type="dxa"/>
              <w:bottom w:w="40" w:type="dxa"/>
              <w:left w:w="50" w:type="dxa"/>
              <w:right w:w="50" w:type="dxa"/>
            </w:tcMar>
          </w:tcPr>
          <w:p>
            <w:r>
              <w:rPr>
                <w:rFonts w:ascii="Calibri" w:hAnsi="Calibri"/>
                <w:b/>
                <w:color w:val="0B1A33"/>
                <w:sz w:val="16"/>
              </w:rPr>
              <w:t>Observability</w:t>
            </w:r>
          </w:p>
        </w:tc>
      </w:tr>
      <w:tr>
        <w:tc>
          <w:tcPr>
            <w:tcW w:type="dxa" w:w="1680"/>
            <w:shd w:fill="FFFFFF"/>
            <w:tcMar>
              <w:top w:w="40" w:type="dxa"/>
              <w:bottom w:w="40" w:type="dxa"/>
              <w:left w:w="50" w:type="dxa"/>
              <w:right w:w="50" w:type="dxa"/>
            </w:tcMar>
          </w:tcPr>
          <w:p>
            <w:r>
              <w:rPr>
                <w:rFonts w:ascii="Calibri" w:hAnsi="Calibri"/>
                <w:b/>
                <w:color w:val="0B1A33"/>
                <w:sz w:val="17"/>
              </w:rPr>
              <w:t>Supply-Chain Scans</w:t>
            </w:r>
          </w:p>
        </w:tc>
        <w:tc>
          <w:tcPr>
            <w:tcW w:type="dxa" w:w="1680"/>
            <w:shd w:fill="FFFFFF"/>
            <w:tcMar>
              <w:top w:w="40" w:type="dxa"/>
              <w:bottom w:w="40" w:type="dxa"/>
              <w:left w:w="50" w:type="dxa"/>
              <w:right w:w="50" w:type="dxa"/>
            </w:tcMar>
          </w:tcPr>
          <w:p>
            <w:r>
              <w:rPr>
                <w:rFonts w:ascii="Calibri" w:hAnsi="Calibri"/>
                <w:color w:val="DC3545"/>
                <w:sz w:val="16"/>
              </w:rPr>
              <w:t>Static source-text regex searching without empirical runtime validation.</w:t>
            </w:r>
          </w:p>
        </w:tc>
        <w:tc>
          <w:tcPr>
            <w:tcW w:type="dxa" w:w="1680"/>
            <w:shd w:fill="FFFFFF"/>
            <w:tcMar>
              <w:top w:w="40" w:type="dxa"/>
              <w:bottom w:w="40" w:type="dxa"/>
              <w:left w:w="50" w:type="dxa"/>
              <w:right w:w="50" w:type="dxa"/>
            </w:tcMar>
          </w:tcPr>
          <w:p>
            <w:r>
              <w:rPr>
                <w:rFonts w:ascii="Calibri" w:hAnsi="Calibri"/>
                <w:b/>
                <w:color w:val="198754"/>
                <w:sz w:val="16"/>
              </w:rPr>
              <w:t>Evidence-based MCP scanner with isolated probes (Grade A+) and CycloneDX 1.6 AI BOM.</w:t>
            </w:r>
          </w:p>
        </w:tc>
        <w:tc>
          <w:tcPr>
            <w:tcW w:type="dxa" w:w="1680"/>
            <w:shd w:fill="FFFFFF"/>
            <w:tcMar>
              <w:top w:w="40" w:type="dxa"/>
              <w:bottom w:w="40" w:type="dxa"/>
              <w:left w:w="50" w:type="dxa"/>
              <w:right w:w="50" w:type="dxa"/>
            </w:tcMar>
          </w:tcPr>
          <w:p>
            <w:r>
              <w:rPr>
                <w:rFonts w:ascii="Consolas" w:hAnsi="Consolas"/>
                <w:color w:val="46505F"/>
                <w:sz w:val="15"/>
              </w:rPr>
              <w:t>scripts/security/mcp_scanner.py</w:t>
            </w:r>
          </w:p>
        </w:tc>
        <w:tc>
          <w:tcPr>
            <w:tcW w:type="dxa" w:w="1680"/>
            <w:shd w:fill="FFFFFF"/>
            <w:tcMar>
              <w:top w:w="40" w:type="dxa"/>
              <w:bottom w:w="40" w:type="dxa"/>
              <w:left w:w="50" w:type="dxa"/>
              <w:right w:w="50" w:type="dxa"/>
            </w:tcMar>
          </w:tcPr>
          <w:p>
            <w:r>
              <w:rPr>
                <w:rFonts w:ascii="Calibri" w:hAnsi="Calibri"/>
                <w:sz w:val="16"/>
              </w:rPr>
              <w:t>Evidence-Based Scanning</w:t>
            </w:r>
          </w:p>
        </w:tc>
        <w:tc>
          <w:tcPr>
            <w:tcW w:type="dxa" w:w="1680"/>
            <w:shd w:fill="FFFFFF"/>
            <w:tcMar>
              <w:top w:w="40" w:type="dxa"/>
              <w:bottom w:w="40" w:type="dxa"/>
              <w:left w:w="50" w:type="dxa"/>
              <w:right w:w="50" w:type="dxa"/>
            </w:tcMar>
          </w:tcPr>
          <w:p>
            <w:r>
              <w:rPr>
                <w:rFonts w:ascii="Calibri" w:hAnsi="Calibri"/>
                <w:b/>
                <w:color w:val="0B1A33"/>
                <w:sz w:val="16"/>
              </w:rPr>
              <w:t>Supply Chain</w:t>
            </w:r>
          </w:p>
        </w:tc>
      </w:tr>
      <w:tr>
        <w:tc>
          <w:tcPr>
            <w:tcW w:type="dxa" w:w="1680"/>
            <w:shd w:fill="F8FAFC"/>
            <w:tcMar>
              <w:top w:w="40" w:type="dxa"/>
              <w:bottom w:w="40" w:type="dxa"/>
              <w:left w:w="50" w:type="dxa"/>
              <w:right w:w="50" w:type="dxa"/>
            </w:tcMar>
          </w:tcPr>
          <w:p>
            <w:r>
              <w:rPr>
                <w:rFonts w:ascii="Calibri" w:hAnsi="Calibri"/>
                <w:b/>
                <w:color w:val="0B1A33"/>
                <w:sz w:val="17"/>
              </w:rPr>
              <w:t>Container Hardening</w:t>
            </w:r>
          </w:p>
        </w:tc>
        <w:tc>
          <w:tcPr>
            <w:tcW w:type="dxa" w:w="1680"/>
            <w:shd w:fill="F8FAFC"/>
            <w:tcMar>
              <w:top w:w="40" w:type="dxa"/>
              <w:bottom w:w="40" w:type="dxa"/>
              <w:left w:w="50" w:type="dxa"/>
              <w:right w:w="50" w:type="dxa"/>
            </w:tcMar>
          </w:tcPr>
          <w:p>
            <w:r>
              <w:rPr>
                <w:rFonts w:ascii="Calibri" w:hAnsi="Calibri"/>
                <w:color w:val="DC3545"/>
                <w:sz w:val="16"/>
              </w:rPr>
              <w:t>Root execution, writable container filesystems, exposed daemon ports.</w:t>
            </w:r>
          </w:p>
        </w:tc>
        <w:tc>
          <w:tcPr>
            <w:tcW w:type="dxa" w:w="1680"/>
            <w:shd w:fill="F8FAFC"/>
            <w:tcMar>
              <w:top w:w="40" w:type="dxa"/>
              <w:bottom w:w="40" w:type="dxa"/>
              <w:left w:w="50" w:type="dxa"/>
              <w:right w:w="50" w:type="dxa"/>
            </w:tcMar>
          </w:tcPr>
          <w:p>
            <w:r>
              <w:rPr>
                <w:rFonts w:ascii="Calibri" w:hAnsi="Calibri"/>
                <w:b/>
                <w:color w:val="198754"/>
                <w:sz w:val="16"/>
              </w:rPr>
              <w:t>Non-root user, read-only root filesystems, dropped capabilities, isolated bridge networks.</w:t>
            </w:r>
          </w:p>
        </w:tc>
        <w:tc>
          <w:tcPr>
            <w:tcW w:type="dxa" w:w="1680"/>
            <w:shd w:fill="F8FAFC"/>
            <w:tcMar>
              <w:top w:w="40" w:type="dxa"/>
              <w:bottom w:w="40" w:type="dxa"/>
              <w:left w:w="50" w:type="dxa"/>
              <w:right w:w="50" w:type="dxa"/>
            </w:tcMar>
          </w:tcPr>
          <w:p>
            <w:r>
              <w:rPr>
                <w:rFonts w:ascii="Consolas" w:hAnsi="Consolas"/>
                <w:color w:val="46505F"/>
                <w:sz w:val="15"/>
              </w:rPr>
              <w:t>docker-compose.blue-team.yml</w:t>
            </w:r>
          </w:p>
        </w:tc>
        <w:tc>
          <w:tcPr>
            <w:tcW w:type="dxa" w:w="1680"/>
            <w:shd w:fill="F8FAFC"/>
            <w:tcMar>
              <w:top w:w="40" w:type="dxa"/>
              <w:bottom w:w="40" w:type="dxa"/>
              <w:left w:w="50" w:type="dxa"/>
              <w:right w:w="50" w:type="dxa"/>
            </w:tcMar>
          </w:tcPr>
          <w:p>
            <w:r>
              <w:rPr>
                <w:rFonts w:ascii="Calibri" w:hAnsi="Calibri"/>
                <w:sz w:val="16"/>
              </w:rPr>
              <w:t>Least-Privilege Containers</w:t>
            </w:r>
          </w:p>
        </w:tc>
        <w:tc>
          <w:tcPr>
            <w:tcW w:type="dxa" w:w="1680"/>
            <w:shd w:fill="F8FAFC"/>
            <w:tcMar>
              <w:top w:w="40" w:type="dxa"/>
              <w:bottom w:w="40" w:type="dxa"/>
              <w:left w:w="50" w:type="dxa"/>
              <w:right w:w="50" w:type="dxa"/>
            </w:tcMar>
          </w:tcPr>
          <w:p>
            <w:r>
              <w:rPr>
                <w:rFonts w:ascii="Calibri" w:hAnsi="Calibri"/>
                <w:b/>
                <w:color w:val="0B1A33"/>
                <w:sz w:val="16"/>
              </w:rPr>
              <w:t>Container Security</w:t>
            </w:r>
          </w:p>
        </w:tc>
      </w:tr>
    </w:tbl>
    <w:p>
      <w:pPr>
        <w:spacing w:after="80"/>
      </w:pPr>
    </w:p>
    <w:p>
      <w:pPr>
        <w:spacing w:before="360" w:after="120"/>
      </w:pPr>
      <w:r>
        <w:rPr>
          <w:rFonts w:ascii="Arial" w:hAnsi="Arial"/>
          <w:b/>
          <w:color w:val="0B1A33"/>
          <w:sz w:val="28"/>
        </w:rPr>
        <w:t>3. Detailed Technical Delineation by Security Domain</w:t>
      </w:r>
    </w:p>
    <w:p>
      <w:pPr>
        <w:spacing w:before="240" w:after="80"/>
      </w:pPr>
      <w:r>
        <w:rPr>
          <w:rFonts w:ascii="Arial" w:hAnsi="Arial"/>
          <w:b/>
          <w:color w:val="0D6EFD"/>
          <w:sz w:val="24"/>
        </w:rPr>
        <w:t>3.1 Web Identity, Authentication &amp; Session Architecture</w:t>
      </w:r>
    </w:p>
    <w:p>
      <w:pPr>
        <w:spacing w:before="40" w:after="80" w:line="276" w:lineRule="auto"/>
      </w:pPr>
      <w:r>
        <w:rPr>
          <w:rFonts w:ascii="Calibri" w:hAnsi="Calibri"/>
          <w:color w:val="212529"/>
          <w:sz w:val="20"/>
        </w:rPr>
        <w:t>In the benchmark application, web authentication and session issuance exhibited critical architectural vulnerabilities: production endpoints accepted raw unverified bearer tokens, URL query parameters (?session=...) allowed callers to dictate their session identities, and cookies lacked standard security attributes.</w:t>
      </w:r>
    </w:p>
    <w:p>
      <w:pPr>
        <w:pStyle w:val="ListBullet"/>
        <w:spacing w:before="20" w:after="60" w:line="276" w:lineRule="auto"/>
      </w:pPr>
      <w:r>
        <w:rPr>
          <w:rFonts w:ascii="Calibri" w:hAnsi="Calibri"/>
          <w:b/>
          <w:color w:val="0B1A33"/>
          <w:sz w:val="20"/>
        </w:rPr>
        <w:t xml:space="preserve">OIDC Cryptographic Verification: </w:t>
      </w:r>
      <w:r>
        <w:rPr>
          <w:rFonts w:ascii="Calibri" w:hAnsi="Calibri"/>
          <w:color w:val="212529"/>
          <w:sz w:val="20"/>
        </w:rPr>
        <w:t>The benchmark evaluated 'verified or token', allowing unverified bearer strings to authenticate if signature checks failed. The hardened platform validates OIDC tokens against configured JWKS, strictly rejecting unverified signatures.</w:t>
      </w:r>
    </w:p>
    <w:p>
      <w:pPr>
        <w:pStyle w:val="ListBullet"/>
        <w:spacing w:before="20" w:after="60" w:line="276" w:lineRule="auto"/>
      </w:pPr>
      <w:r>
        <w:rPr>
          <w:rFonts w:ascii="Calibri" w:hAnsi="Calibri"/>
          <w:b/>
          <w:color w:val="0B1A33"/>
          <w:sz w:val="20"/>
        </w:rPr>
        <w:t xml:space="preserve">Elimination of Session Fixation: </w:t>
      </w:r>
      <w:r>
        <w:rPr>
          <w:rFonts w:ascii="Calibri" w:hAnsi="Calibri"/>
          <w:color w:val="212529"/>
          <w:sz w:val="20"/>
        </w:rPr>
        <w:t>The benchmark /chat?session=alice signed caller-selected identities into cookies. The hardened platform completely ignores caller-supplied session parameters and mints cryptographically signed, random server-generated IDs (eiger-{hex}).</w:t>
      </w:r>
    </w:p>
    <w:p>
      <w:pPr>
        <w:pStyle w:val="ListBullet"/>
        <w:spacing w:before="20" w:after="60" w:line="276" w:lineRule="auto"/>
      </w:pPr>
      <w:r>
        <w:rPr>
          <w:rFonts w:ascii="Calibri" w:hAnsi="Calibri"/>
          <w:b/>
          <w:color w:val="0B1A33"/>
          <w:sz w:val="20"/>
        </w:rPr>
        <w:t xml:space="preserve">Cookie Hardening Attributes: </w:t>
      </w:r>
      <w:r>
        <w:rPr>
          <w:rFonts w:ascii="Calibri" w:hAnsi="Calibri"/>
          <w:color w:val="212529"/>
          <w:sz w:val="20"/>
        </w:rPr>
        <w:t>Benchmark cookies lacked flags. Hardened profile cookies enforce Secure, HttpOnly, SameSite=Strict, and an explicit 24-hour Max-Age (86400).</w:t>
      </w:r>
    </w:p>
    <w:p>
      <w:pPr>
        <w:pStyle w:val="ListBullet"/>
        <w:spacing w:before="20" w:after="60" w:line="276" w:lineRule="auto"/>
      </w:pPr>
      <w:r>
        <w:rPr>
          <w:rFonts w:ascii="Calibri" w:hAnsi="Calibri"/>
          <w:b/>
          <w:color w:val="0B1A33"/>
          <w:sz w:val="20"/>
        </w:rPr>
        <w:t xml:space="preserve">CSRF &amp; Origin Enforcement: </w:t>
      </w:r>
      <w:r>
        <w:rPr>
          <w:rFonts w:ascii="Calibri" w:hAnsi="Calibri"/>
          <w:color w:val="212529"/>
          <w:sz w:val="20"/>
        </w:rPr>
        <w:t>Benchmark state-changing POST routes lacked CSRF defenses. Hardened platform requires strict Origin/Referer matching against the server host and session-bound CSRF tokens.</w:t>
      </w:r>
    </w:p>
    <w:p>
      <w:pPr>
        <w:pStyle w:val="ListBullet"/>
        <w:spacing w:before="20" w:after="60" w:line="276" w:lineRule="auto"/>
      </w:pPr>
      <w:r>
        <w:rPr>
          <w:rFonts w:ascii="Calibri" w:hAnsi="Calibri"/>
          <w:b/>
          <w:color w:val="0B1A33"/>
          <w:sz w:val="20"/>
        </w:rPr>
        <w:t xml:space="preserve">OWASP Deny-by-Default Authorization: </w:t>
      </w:r>
      <w:r>
        <w:rPr>
          <w:rFonts w:ascii="Calibri" w:hAnsi="Calibri"/>
          <w:color w:val="212529"/>
          <w:sz w:val="20"/>
        </w:rPr>
        <w:t>Benchmark routes defaulted to require_ownership=False. Hardened platform enforces require_ownership=True across all protected routes (/api/profile, /api/kb, /api/dispute, /api/guarded-chat).</w:t>
      </w:r>
    </w:p>
    <w:p>
      <w:pPr>
        <w:spacing w:before="240" w:after="80"/>
      </w:pPr>
      <w:r>
        <w:rPr>
          <w:rFonts w:ascii="Arial" w:hAnsi="Arial"/>
          <w:b/>
          <w:color w:val="0D6EFD"/>
          <w:sz w:val="24"/>
        </w:rPr>
        <w:t>3.2 Financial Integrity, Ledgers &amp; Transactional Persistence</w:t>
      </w:r>
    </w:p>
    <w:p>
      <w:pPr>
        <w:spacing w:before="40" w:after="80" w:line="276" w:lineRule="auto"/>
      </w:pPr>
      <w:r>
        <w:rPr>
          <w:rFonts w:ascii="Calibri" w:hAnsi="Calibri"/>
          <w:color w:val="212529"/>
          <w:sz w:val="20"/>
        </w:rPr>
        <w:t>In the benchmark application, financial execution suffered from fundamental accounting and integrity flaws: tools called bank.transfer(from_account=None) creating unbacked currency, dispute refunds bypassed the transaction ledger, and treasury disbursements could be triggered repeatedly without idempotency.</w:t>
      </w:r>
    </w:p>
    <w:p>
      <w:pPr>
        <w:pStyle w:val="ListBullet"/>
        <w:spacing w:before="20" w:after="60" w:line="276" w:lineRule="auto"/>
      </w:pPr>
      <w:r>
        <w:rPr>
          <w:rFonts w:ascii="Calibri" w:hAnsi="Calibri"/>
          <w:b/>
          <w:color w:val="0B1A33"/>
          <w:sz w:val="20"/>
        </w:rPr>
        <w:t xml:space="preserve">Conservation of Money Supply: </w:t>
      </w:r>
      <w:r>
        <w:rPr>
          <w:rFonts w:ascii="Calibri" w:hAnsi="Calibri"/>
          <w:color w:val="212529"/>
          <w:sz w:val="20"/>
        </w:rPr>
        <w:t>Benchmark transfers permitted None source accounts, inflating the money supply out of thin air. Hardened platform enforces that every transfer requires a valid source account owned by the caller with verified available balance.</w:t>
      </w:r>
    </w:p>
    <w:p>
      <w:pPr>
        <w:pStyle w:val="ListBullet"/>
        <w:spacing w:before="20" w:after="60" w:line="276" w:lineRule="auto"/>
      </w:pPr>
      <w:r>
        <w:rPr>
          <w:rFonts w:ascii="Calibri" w:hAnsi="Calibri"/>
          <w:b/>
          <w:color w:val="0B1A33"/>
          <w:sz w:val="20"/>
        </w:rPr>
        <w:t xml:space="preserve">Elimination of Merchant Withdrawal Exemption: </w:t>
      </w:r>
      <w:r>
        <w:rPr>
          <w:rFonts w:ascii="Calibri" w:hAnsi="Calibri"/>
          <w:color w:val="212529"/>
          <w:sz w:val="20"/>
        </w:rPr>
        <w:t>Benchmark tools.py exempted acct-merchant from ownership checks, allowing attackers to withdraw 250 units without authorization. Hardened platform eliminates all merchant exemptions and fallbacks.</w:t>
      </w:r>
    </w:p>
    <w:p>
      <w:pPr>
        <w:pStyle w:val="ListBullet"/>
        <w:spacing w:before="20" w:after="60" w:line="276" w:lineRule="auto"/>
      </w:pPr>
      <w:r>
        <w:rPr>
          <w:rFonts w:ascii="Calibri" w:hAnsi="Calibri"/>
          <w:b/>
          <w:color w:val="0B1A33"/>
          <w:sz w:val="20"/>
        </w:rPr>
        <w:t xml:space="preserve">Strict Refund Derivation &amp; Limits: </w:t>
      </w:r>
      <w:r>
        <w:rPr>
          <w:rFonts w:ascii="Calibri" w:hAnsi="Calibri"/>
          <w:color w:val="212529"/>
          <w:sz w:val="20"/>
        </w:rPr>
        <w:t>Benchmark refunds credited arbitrary accounts directly. Hardened platform requires the original transaction ID, derives the destination account from the original purchase, and enforces cumulative refund caps.</w:t>
      </w:r>
    </w:p>
    <w:p>
      <w:pPr>
        <w:pStyle w:val="ListBullet"/>
        <w:spacing w:before="20" w:after="60" w:line="276" w:lineRule="auto"/>
      </w:pPr>
      <w:r>
        <w:rPr>
          <w:rFonts w:ascii="Calibri" w:hAnsi="Calibri"/>
          <w:b/>
          <w:color w:val="0B1A33"/>
          <w:sz w:val="20"/>
        </w:rPr>
        <w:t xml:space="preserve">Strict Numeric Type Safety: </w:t>
      </w:r>
      <w:r>
        <w:rPr>
          <w:rFonts w:ascii="Calibri" w:hAnsi="Calibri"/>
          <w:color w:val="212529"/>
          <w:sz w:val="20"/>
        </w:rPr>
        <w:t>Python booleans subclass int (isinstance(True, int) == True). Benchmark allowed amount=True to credit 1 unit. Hardened platform rejects booleans, floats, and negative values before execution.</w:t>
      </w:r>
    </w:p>
    <w:p>
      <w:pPr>
        <w:pStyle w:val="ListBullet"/>
        <w:spacing w:before="20" w:after="60" w:line="276" w:lineRule="auto"/>
      </w:pPr>
      <w:r>
        <w:rPr>
          <w:rFonts w:ascii="Calibri" w:hAnsi="Calibri"/>
          <w:b/>
          <w:color w:val="0B1A33"/>
          <w:sz w:val="20"/>
        </w:rPr>
        <w:t xml:space="preserve">PostgreSQL Transactional Ledger: </w:t>
      </w:r>
      <w:r>
        <w:rPr>
          <w:rFonts w:ascii="Calibri" w:hAnsi="Calibri"/>
          <w:color w:val="212529"/>
          <w:sz w:val="20"/>
        </w:rPr>
        <w:t>Benchmark stored balances in process-local dictionaries. Hardened platform implements a true PostgreSQL ACID ledger (halcyon/security/ledger.py) using SELECT ... FOR UPDATE row locks and atomic audit outbox commits.</w:t>
      </w:r>
    </w:p>
    <w:p>
      <w:pPr>
        <w:pStyle w:val="ListBullet"/>
        <w:spacing w:before="20" w:after="60" w:line="276" w:lineRule="auto"/>
      </w:pPr>
      <w:r>
        <w:rPr>
          <w:rFonts w:ascii="Calibri" w:hAnsi="Calibri"/>
          <w:b/>
          <w:color w:val="0B1A33"/>
          <w:sz w:val="20"/>
        </w:rPr>
        <w:t xml:space="preserve">Treasury Disbursement Idempotency: </w:t>
      </w:r>
      <w:r>
        <w:rPr>
          <w:rFonts w:ascii="Calibri" w:hAnsi="Calibri"/>
          <w:color w:val="212529"/>
          <w:sz w:val="20"/>
        </w:rPr>
        <w:t>Benchmark treasury releases lacked payment binding. Hardened platform binds every release to a server-controlled ID (treasury-payout-{session_id}-{scenario.key}) scoped to the bank idempotency ledger.</w:t>
      </w:r>
    </w:p>
    <w:p>
      <w:pPr>
        <w:spacing w:before="240" w:after="80"/>
      </w:pPr>
      <w:r>
        <w:rPr>
          <w:rFonts w:ascii="Arial" w:hAnsi="Arial"/>
          <w:b/>
          <w:color w:val="0D6EFD"/>
          <w:sz w:val="24"/>
        </w:rPr>
        <w:t>3.3 Model Control Plane, Gateway &amp; SSRF Protections</w:t>
      </w:r>
    </w:p>
    <w:p>
      <w:pPr>
        <w:spacing w:before="40" w:after="80" w:line="276" w:lineRule="auto"/>
      </w:pPr>
      <w:r>
        <w:rPr>
          <w:rFonts w:ascii="Calibri" w:hAnsi="Calibri"/>
          <w:color w:val="212529"/>
          <w:sz w:val="20"/>
        </w:rPr>
        <w:t>The benchmark application connected directly to an unauthenticated Ollama daemon on loopback port 11434 without authorization, allowing any local process or SSRF vulnerability to create, delete, or overwrite approved model weights.</w:t>
      </w:r>
    </w:p>
    <w:p>
      <w:pPr>
        <w:pStyle w:val="ListBullet"/>
        <w:spacing w:before="20" w:after="60" w:line="276" w:lineRule="auto"/>
      </w:pPr>
      <w:r>
        <w:rPr>
          <w:rFonts w:ascii="Calibri" w:hAnsi="Calibri"/>
          <w:b/>
          <w:color w:val="0B1A33"/>
          <w:sz w:val="20"/>
        </w:rPr>
        <w:t xml:space="preserve">Ollama Bearer Gateway: </w:t>
      </w:r>
      <w:r>
        <w:rPr>
          <w:rFonts w:ascii="Calibri" w:hAnsi="Calibri"/>
          <w:color w:val="212529"/>
          <w:sz w:val="20"/>
        </w:rPr>
        <w:t>Hardened platform introduces halcyon/ollama_gateway.py, requiring bearer token authentication and rejecting all administrative management routes (/api/create, /api/delete, /api/pull).</w:t>
      </w:r>
    </w:p>
    <w:p>
      <w:pPr>
        <w:pStyle w:val="ListBullet"/>
        <w:spacing w:before="20" w:after="60" w:line="276" w:lineRule="auto"/>
      </w:pPr>
      <w:r>
        <w:rPr>
          <w:rFonts w:ascii="Calibri" w:hAnsi="Calibri"/>
          <w:b/>
          <w:color w:val="0B1A33"/>
          <w:sz w:val="20"/>
        </w:rPr>
        <w:t xml:space="preserve">Per-Request Model Digest Verification: </w:t>
      </w:r>
      <w:r>
        <w:rPr>
          <w:rFonts w:ascii="Calibri" w:hAnsi="Calibri"/>
          <w:color w:val="212529"/>
          <w:sz w:val="20"/>
        </w:rPr>
        <w:t>Before forwarding inference requests, the gateway checks the upstream model digest against an authoritative, reviewed manifest (config/models.json). Mismatches block execution.</w:t>
      </w:r>
    </w:p>
    <w:p>
      <w:pPr>
        <w:pStyle w:val="ListBullet"/>
        <w:spacing w:before="20" w:after="60" w:line="276" w:lineRule="auto"/>
      </w:pPr>
      <w:r>
        <w:rPr>
          <w:rFonts w:ascii="Calibri" w:hAnsi="Calibri"/>
          <w:b/>
          <w:color w:val="0B1A33"/>
          <w:sz w:val="20"/>
        </w:rPr>
        <w:t xml:space="preserve">Cloud Metadata &amp; Private Network SSRF Blocking: </w:t>
      </w:r>
      <w:r>
        <w:rPr>
          <w:rFonts w:ascii="Calibri" w:hAnsi="Calibri"/>
          <w:color w:val="212529"/>
          <w:sz w:val="20"/>
        </w:rPr>
        <w:t>Benchmark provider configuration accepted arbitrary URLs. Hardened platform strictly blocks cloud metadata IPs (169.254.169.254) and RFC 1918 private subnets.</w:t>
      </w:r>
    </w:p>
    <w:p>
      <w:pPr>
        <w:pStyle w:val="ListBullet"/>
        <w:spacing w:before="20" w:after="60" w:line="276" w:lineRule="auto"/>
      </w:pPr>
      <w:r>
        <w:rPr>
          <w:rFonts w:ascii="Calibri" w:hAnsi="Calibri"/>
          <w:b/>
          <w:color w:val="0B1A33"/>
          <w:sz w:val="20"/>
        </w:rPr>
        <w:t xml:space="preserve">Read-Only Model Storage Topology: </w:t>
      </w:r>
      <w:r>
        <w:rPr>
          <w:rFonts w:ascii="Calibri" w:hAnsi="Calibri"/>
          <w:color w:val="212529"/>
          <w:sz w:val="20"/>
        </w:rPr>
        <w:t>Production Docker Compose mounts Ollama model storage as read-only and unpublishes port 11434, ensuring inference occurs strictly over internal networks.</w:t>
      </w:r>
    </w:p>
    <w:p>
      <w:pPr>
        <w:spacing w:before="240" w:after="80"/>
      </w:pPr>
      <w:r>
        <w:rPr>
          <w:rFonts w:ascii="Arial" w:hAnsi="Arial"/>
          <w:b/>
          <w:color w:val="0D6EFD"/>
          <w:sz w:val="24"/>
        </w:rPr>
        <w:t>3.4 MCP Tool Execution, Gateway &amp; Data Minimization</w:t>
      </w:r>
    </w:p>
    <w:p>
      <w:pPr>
        <w:spacing w:before="40" w:after="80" w:line="276" w:lineRule="auto"/>
      </w:pPr>
      <w:r>
        <w:rPr>
          <w:rFonts w:ascii="Calibri" w:hAnsi="Calibri"/>
          <w:color w:val="212529"/>
          <w:sz w:val="20"/>
        </w:rPr>
        <w:t>In the benchmark application, Model Context Protocol (MCP) daemons ran without authentication, shared identical tokens across disparate services, and executed tool calls without verifying caller account authorization.</w:t>
      </w:r>
    </w:p>
    <w:p>
      <w:pPr>
        <w:pStyle w:val="ListBullet"/>
        <w:spacing w:before="20" w:after="60" w:line="276" w:lineRule="auto"/>
      </w:pPr>
      <w:r>
        <w:rPr>
          <w:rFonts w:ascii="Calibri" w:hAnsi="Calibri"/>
          <w:b/>
          <w:color w:val="0B1A33"/>
          <w:sz w:val="20"/>
        </w:rPr>
        <w:t xml:space="preserve">Dual Transport Authentication: </w:t>
      </w:r>
      <w:r>
        <w:rPr>
          <w:rFonts w:ascii="Calibri" w:hAnsi="Calibri"/>
          <w:color w:val="212529"/>
          <w:sz w:val="20"/>
        </w:rPr>
        <w:t>Hardened platform requires both a dedicated service bearer token and a short-lived user delegation signature bound to the request body and target audience (halcyon/security/transport.py).</w:t>
      </w:r>
    </w:p>
    <w:p>
      <w:pPr>
        <w:pStyle w:val="ListBullet"/>
        <w:spacing w:before="20" w:after="60" w:line="276" w:lineRule="auto"/>
      </w:pPr>
      <w:r>
        <w:rPr>
          <w:rFonts w:ascii="Calibri" w:hAnsi="Calibri"/>
          <w:b/>
          <w:color w:val="0B1A33"/>
          <w:sz w:val="20"/>
        </w:rPr>
        <w:t xml:space="preserve">Token Isolation: </w:t>
      </w:r>
      <w:r>
        <w:rPr>
          <w:rFonts w:ascii="Calibri" w:hAnsi="Calibri"/>
          <w:color w:val="212529"/>
          <w:sz w:val="20"/>
        </w:rPr>
        <w:t>Benchmark Banking daemon accepted the CRM token. Hardened platform enforces distinct cryptographic tokens per daemon; Banking strictly rejects CRM credentials.</w:t>
      </w:r>
    </w:p>
    <w:p>
      <w:pPr>
        <w:pStyle w:val="ListBullet"/>
        <w:spacing w:before="20" w:after="60" w:line="276" w:lineRule="auto"/>
      </w:pPr>
      <w:r>
        <w:rPr>
          <w:rFonts w:ascii="Calibri" w:hAnsi="Calibri"/>
          <w:b/>
          <w:color w:val="0B1A33"/>
          <w:sz w:val="20"/>
        </w:rPr>
        <w:t xml:space="preserve">Account-Level Authorization in Tools: </w:t>
      </w:r>
      <w:r>
        <w:rPr>
          <w:rFonts w:ascii="Calibri" w:hAnsi="Calibri"/>
          <w:color w:val="212529"/>
          <w:sz w:val="20"/>
        </w:rPr>
        <w:t>Core banking tools (get_balance, get_account_details, transfer_funds, update_email) enforce bank.owns(caller, account) inside the tool handler.</w:t>
      </w:r>
    </w:p>
    <w:p>
      <w:pPr>
        <w:pStyle w:val="ListBullet"/>
        <w:spacing w:before="20" w:after="60" w:line="276" w:lineRule="auto"/>
      </w:pPr>
      <w:r>
        <w:rPr>
          <w:rFonts w:ascii="Calibri" w:hAnsi="Calibri"/>
          <w:b/>
          <w:color w:val="0B1A33"/>
          <w:sz w:val="20"/>
        </w:rPr>
        <w:t xml:space="preserve">Lasso-Style MCP Security Gateway: </w:t>
      </w:r>
      <w:r>
        <w:rPr>
          <w:rFonts w:ascii="Calibri" w:hAnsi="Calibri"/>
          <w:color w:val="212529"/>
          <w:sz w:val="20"/>
        </w:rPr>
        <w:t>Implemented halcyon/security/mcp_gateway.py intercepting all MCP traffic. Ingress enforces strict parameter schemas; Egress DLP sanitizes credit card numbers, SSNs, API secrets, and indirect prompt injections.</w:t>
      </w:r>
    </w:p>
    <w:p>
      <w:pPr>
        <w:spacing w:before="240" w:after="80"/>
      </w:pPr>
      <w:r>
        <w:rPr>
          <w:rFonts w:ascii="Arial" w:hAnsi="Arial"/>
          <w:b/>
          <w:color w:val="0D6EFD"/>
          <w:sz w:val="24"/>
        </w:rPr>
        <w:t>3.5 Knowledge Base Architecture &amp; Dependency Reduction</w:t>
      </w:r>
    </w:p>
    <w:p>
      <w:pPr>
        <w:spacing w:before="40" w:after="80" w:line="276" w:lineRule="auto"/>
      </w:pPr>
      <w:r>
        <w:rPr>
          <w:rFonts w:ascii="Calibri" w:hAnsi="Calibri"/>
          <w:color w:val="212529"/>
          <w:sz w:val="20"/>
        </w:rPr>
        <w:t>The benchmark application relied on ChromaDB, which introduced a massive transitive dependency footprint, vulnerable packages, and in-memory candidate displacement risks.</w:t>
      </w:r>
    </w:p>
    <w:p>
      <w:pPr>
        <w:pStyle w:val="ListBullet"/>
        <w:spacing w:before="20" w:after="60" w:line="276" w:lineRule="auto"/>
      </w:pPr>
      <w:r>
        <w:rPr>
          <w:rFonts w:ascii="Calibri" w:hAnsi="Calibri"/>
          <w:b/>
          <w:color w:val="0B1A33"/>
          <w:sz w:val="20"/>
        </w:rPr>
        <w:t xml:space="preserve">Complete ChromaDB Removal: </w:t>
      </w:r>
      <w:r>
        <w:rPr>
          <w:rFonts w:ascii="Calibri" w:hAnsi="Calibri"/>
          <w:color w:val="212529"/>
          <w:sz w:val="20"/>
        </w:rPr>
        <w:t>ChromaDB was entirely eliminated from the application codebase, dependencies, and Compose files.</w:t>
      </w:r>
    </w:p>
    <w:p>
      <w:pPr>
        <w:pStyle w:val="ListBullet"/>
        <w:spacing w:before="20" w:after="60" w:line="276" w:lineRule="auto"/>
      </w:pPr>
      <w:r>
        <w:rPr>
          <w:rFonts w:ascii="Calibri" w:hAnsi="Calibri"/>
          <w:b/>
          <w:color w:val="0B1A33"/>
          <w:sz w:val="20"/>
        </w:rPr>
        <w:t xml:space="preserve">Persistent SQLite Lexical Retrieval: </w:t>
      </w:r>
      <w:r>
        <w:rPr>
          <w:rFonts w:ascii="Calibri" w:hAnsi="Calibri"/>
          <w:color w:val="212529"/>
          <w:sz w:val="20"/>
        </w:rPr>
        <w:t>Implemented halcyon/sqlite_kb.py providing deterministic lexical retrieval with pre-retrieval ownership filtering, preventing cross-tenant document leakage.</w:t>
      </w:r>
    </w:p>
    <w:p>
      <w:pPr>
        <w:pStyle w:val="ListBullet"/>
        <w:spacing w:before="20" w:after="60" w:line="276" w:lineRule="auto"/>
      </w:pPr>
      <w:r>
        <w:rPr>
          <w:rFonts w:ascii="Calibri" w:hAnsi="Calibri"/>
          <w:b/>
          <w:color w:val="0B1A33"/>
          <w:sz w:val="20"/>
        </w:rPr>
        <w:t xml:space="preserve">Dependency Upgrades &amp; Vulnerability Remediation: </w:t>
      </w:r>
      <w:r>
        <w:rPr>
          <w:rFonts w:ascii="Calibri" w:hAnsi="Calibri"/>
          <w:color w:val="212529"/>
          <w:sz w:val="20"/>
        </w:rPr>
        <w:t>Upgraded aiohttp from 3.14.1 to 3.14.5 and PyJWT to 2.15.1. Installed environment audits with pip-audit report zero known vulnerabilities.</w:t>
      </w:r>
    </w:p>
    <w:p>
      <w:pPr>
        <w:pStyle w:val="ListBullet"/>
        <w:spacing w:before="20" w:after="60" w:line="276" w:lineRule="auto"/>
      </w:pPr>
      <w:r>
        <w:rPr>
          <w:rFonts w:ascii="Calibri" w:hAnsi="Calibri"/>
          <w:b/>
          <w:color w:val="0B1A33"/>
          <w:sz w:val="20"/>
        </w:rPr>
        <w:t xml:space="preserve">RAG Context Boundary Isolation: </w:t>
      </w:r>
      <w:r>
        <w:rPr>
          <w:rFonts w:ascii="Calibri" w:hAnsi="Calibri"/>
          <w:color w:val="212529"/>
          <w:sz w:val="20"/>
        </w:rPr>
        <w:t>Implemented XML boundary tags (&lt;official_bank_knowledge&gt;, &lt;untrusted_user_notes&gt;) and regex neutralizing patterns to prevent delimiter breakouts.</w:t>
      </w:r>
    </w:p>
    <w:p>
      <w:pPr>
        <w:spacing w:before="240" w:after="80"/>
      </w:pPr>
      <w:r>
        <w:rPr>
          <w:rFonts w:ascii="Arial" w:hAnsi="Arial"/>
          <w:b/>
          <w:color w:val="0D6EFD"/>
          <w:sz w:val="24"/>
        </w:rPr>
        <w:t>3.6 Supply Chain, Serialization &amp; Artifact Safety</w:t>
      </w:r>
    </w:p>
    <w:p>
      <w:pPr>
        <w:spacing w:before="40" w:after="80" w:line="276" w:lineRule="auto"/>
      </w:pPr>
      <w:r>
        <w:rPr>
          <w:rFonts w:ascii="Calibri" w:hAnsi="Calibri"/>
          <w:color w:val="212529"/>
          <w:sz w:val="20"/>
        </w:rPr>
        <w:t>The benchmark application distributed an executable Python pickle (community_model.pkl) in the M4 lab bundle that executed arbitrary OS commands upon deserialization.</w:t>
      </w:r>
    </w:p>
    <w:p>
      <w:pPr>
        <w:pStyle w:val="ListBullet"/>
        <w:spacing w:before="20" w:after="60" w:line="276" w:lineRule="auto"/>
      </w:pPr>
      <w:r>
        <w:rPr>
          <w:rFonts w:ascii="Calibri" w:hAnsi="Calibri"/>
          <w:b/>
          <w:color w:val="0B1A33"/>
          <w:sz w:val="20"/>
        </w:rPr>
        <w:t xml:space="preserve">Removal of Executable Pickles: </w:t>
      </w:r>
      <w:r>
        <w:rPr>
          <w:rFonts w:ascii="Calibri" w:hAnsi="Calibri"/>
          <w:color w:val="212529"/>
          <w:sz w:val="20"/>
        </w:rPr>
        <w:t>Removed community_model.pkl and its builder from the repository; replaced with a static quarantine record (community_model.quarantine.json).</w:t>
      </w:r>
    </w:p>
    <w:p>
      <w:pPr>
        <w:pStyle w:val="ListBullet"/>
        <w:spacing w:before="20" w:after="60" w:line="276" w:lineRule="auto"/>
      </w:pPr>
      <w:r>
        <w:rPr>
          <w:rFonts w:ascii="Calibri" w:hAnsi="Calibri"/>
          <w:b/>
          <w:color w:val="0B1A33"/>
          <w:sz w:val="20"/>
        </w:rPr>
        <w:t xml:space="preserve">Pickle Deserialization Elimination: </w:t>
      </w:r>
      <w:r>
        <w:rPr>
          <w:rFonts w:ascii="Calibri" w:hAnsi="Calibri"/>
          <w:color w:val="212529"/>
          <w:sz w:val="20"/>
        </w:rPr>
        <w:t>Disabled application pickle deserialization across all operational profiles; secure admission requires approved safetensors digests.</w:t>
      </w:r>
    </w:p>
    <w:p>
      <w:pPr>
        <w:pStyle w:val="ListBullet"/>
        <w:spacing w:before="20" w:after="60" w:line="276" w:lineRule="auto"/>
      </w:pPr>
      <w:r>
        <w:rPr>
          <w:rFonts w:ascii="Calibri" w:hAnsi="Calibri"/>
          <w:b/>
          <w:color w:val="0B1A33"/>
          <w:sz w:val="20"/>
        </w:rPr>
        <w:t xml:space="preserve">Safe Bytecode Inspection: </w:t>
      </w:r>
      <w:r>
        <w:rPr>
          <w:rFonts w:ascii="Calibri" w:hAnsi="Calibri"/>
          <w:color w:val="212529"/>
          <w:sz w:val="20"/>
        </w:rPr>
        <w:t>Implemented halcyon/scan_artifact.py using pickletools.genops to evaluate serialization opcodes without unpickling or executing code.</w:t>
      </w:r>
    </w:p>
    <w:p>
      <w:pPr>
        <w:pStyle w:val="ListBullet"/>
        <w:spacing w:before="20" w:after="60" w:line="276" w:lineRule="auto"/>
      </w:pPr>
      <w:r>
        <w:rPr>
          <w:rFonts w:ascii="Calibri" w:hAnsi="Calibri"/>
          <w:b/>
          <w:color w:val="0B1A33"/>
          <w:sz w:val="20"/>
        </w:rPr>
        <w:t xml:space="preserve">CycloneDX 1.6 AI BOM: </w:t>
      </w:r>
      <w:r>
        <w:rPr>
          <w:rFonts w:ascii="Calibri" w:hAnsi="Calibri"/>
          <w:color w:val="212529"/>
          <w:sz w:val="20"/>
        </w:rPr>
        <w:t>Generated ai-bom.json adhering to CycloneDX 1.6 specifications, properly categorizing AI models, separated services, and dataset components.</w:t>
      </w:r>
    </w:p>
    <w:p>
      <w:pPr>
        <w:spacing w:before="240" w:after="80"/>
      </w:pPr>
      <w:r>
        <w:rPr>
          <w:rFonts w:ascii="Arial" w:hAnsi="Arial"/>
          <w:b/>
          <w:color w:val="0D6EFD"/>
          <w:sz w:val="24"/>
        </w:rPr>
        <w:t>3.7 Layered AI Guardrails &amp; Probabilistic Safety</w:t>
      </w:r>
    </w:p>
    <w:p>
      <w:pPr>
        <w:spacing w:before="40" w:after="80" w:line="276" w:lineRule="auto"/>
      </w:pPr>
      <w:r>
        <w:rPr>
          <w:rFonts w:ascii="Calibri" w:hAnsi="Calibri"/>
          <w:color w:val="212529"/>
          <w:sz w:val="20"/>
        </w:rPr>
        <w:t>The benchmark application possessed no runtime AI guardrails, leaving the conversational LLM directly vulnerable to prompt injection, jailbreaks, and unauthorized financial instructions.</w:t>
      </w:r>
    </w:p>
    <w:p>
      <w:pPr>
        <w:pStyle w:val="ListBullet"/>
        <w:spacing w:before="20" w:after="60" w:line="276" w:lineRule="auto"/>
      </w:pPr>
      <w:r>
        <w:rPr>
          <w:rFonts w:ascii="Calibri" w:hAnsi="Calibri"/>
          <w:b/>
          <w:color w:val="0B1A33"/>
          <w:sz w:val="20"/>
        </w:rPr>
        <w:t xml:space="preserve">NVIDIA NeMo Guardrails: </w:t>
      </w:r>
      <w:r>
        <w:rPr>
          <w:rFonts w:ascii="Calibri" w:hAnsi="Calibri"/>
          <w:color w:val="212529"/>
          <w:sz w:val="20"/>
        </w:rPr>
        <w:t>Integrated NeMo Guardrails with domain-specific Colang banking rules (halcyon/security/nemo_config/rails.co) to block jailbreaks and prompt override attempts.</w:t>
      </w:r>
    </w:p>
    <w:p>
      <w:pPr>
        <w:pStyle w:val="ListBullet"/>
        <w:spacing w:before="20" w:after="60" w:line="276" w:lineRule="auto"/>
      </w:pPr>
      <w:r>
        <w:rPr>
          <w:rFonts w:ascii="Calibri" w:hAnsi="Calibri"/>
          <w:b/>
          <w:color w:val="0B1A33"/>
          <w:sz w:val="20"/>
        </w:rPr>
        <w:t xml:space="preserve">Meta Llama Guard 3-1B Classifier: </w:t>
      </w:r>
      <w:r>
        <w:rPr>
          <w:rFonts w:ascii="Calibri" w:hAnsi="Calibri"/>
          <w:color w:val="212529"/>
          <w:sz w:val="20"/>
        </w:rPr>
        <w:t>Integrated Llama Guard 3-1B using official Meta prompt templates and the 13-category taxonomy (S13=Elections). Defined distinct Eiger policy codes.</w:t>
      </w:r>
    </w:p>
    <w:p>
      <w:pPr>
        <w:pStyle w:val="ListBullet"/>
        <w:spacing w:before="20" w:after="60" w:line="276" w:lineRule="auto"/>
      </w:pPr>
      <w:r>
        <w:rPr>
          <w:rFonts w:ascii="Calibri" w:hAnsi="Calibri"/>
          <w:b/>
          <w:color w:val="0B1A33"/>
          <w:sz w:val="20"/>
        </w:rPr>
        <w:t xml:space="preserve">Fail-Closed Security Contracts: </w:t>
      </w:r>
      <w:r>
        <w:rPr>
          <w:rFonts w:ascii="Calibri" w:hAnsi="Calibri"/>
          <w:color w:val="212529"/>
          <w:sz w:val="20"/>
        </w:rPr>
        <w:t>Implemented halcyon/security/contracts.py ensuring that network timeouts, outages, or malformed classifier responses yield UNAVAILABLE, never false safe.</w:t>
      </w:r>
    </w:p>
    <w:p>
      <w:pPr>
        <w:pStyle w:val="ListBullet"/>
        <w:spacing w:before="20" w:after="60" w:line="276" w:lineRule="auto"/>
      </w:pPr>
      <w:r>
        <w:rPr>
          <w:rFonts w:ascii="Calibri" w:hAnsi="Calibri"/>
          <w:b/>
          <w:color w:val="0B1A33"/>
          <w:sz w:val="20"/>
        </w:rPr>
        <w:t xml:space="preserve">Safe Phased Rollout: </w:t>
      </w:r>
      <w:r>
        <w:rPr>
          <w:rFonts w:ascii="Calibri" w:hAnsi="Calibri"/>
          <w:color w:val="212529"/>
          <w:sz w:val="20"/>
        </w:rPr>
        <w:t>Configured observe_only telemetry mode for initial deployment, ensuring deterministic authorization remains the sole execution authority.</w:t>
      </w:r>
    </w:p>
    <w:p>
      <w:pPr>
        <w:spacing w:before="240" w:after="80"/>
      </w:pPr>
      <w:r>
        <w:rPr>
          <w:rFonts w:ascii="Arial" w:hAnsi="Arial"/>
          <w:b/>
          <w:color w:val="0D6EFD"/>
          <w:sz w:val="24"/>
        </w:rPr>
        <w:t>3.8 Enterprise Observability &amp; Wazuh SIEM Integration</w:t>
      </w:r>
    </w:p>
    <w:p>
      <w:pPr>
        <w:spacing w:before="40" w:after="80" w:line="276" w:lineRule="auto"/>
      </w:pPr>
      <w:r>
        <w:rPr>
          <w:rFonts w:ascii="Calibri" w:hAnsi="Calibri"/>
          <w:color w:val="212529"/>
          <w:sz w:val="20"/>
        </w:rPr>
        <w:t>The benchmark application emitted unstructured console output that lacked security correlation, audit tracing, or SIEM integration.</w:t>
      </w:r>
    </w:p>
    <w:p>
      <w:pPr>
        <w:pStyle w:val="ListBullet"/>
        <w:spacing w:before="20" w:after="60" w:line="276" w:lineRule="auto"/>
      </w:pPr>
      <w:r>
        <w:rPr>
          <w:rFonts w:ascii="Calibri" w:hAnsi="Calibri"/>
          <w:b/>
          <w:color w:val="0B1A33"/>
          <w:sz w:val="20"/>
        </w:rPr>
        <w:t xml:space="preserve">Structured Wazuh JSON Logger: </w:t>
      </w:r>
      <w:r>
        <w:rPr>
          <w:rFonts w:ascii="Calibri" w:hAnsi="Calibri"/>
          <w:color w:val="212529"/>
          <w:sz w:val="20"/>
        </w:rPr>
        <w:t>Implemented halcyon/security/wazuh_logger.py emitting versioned security events adhering to Wazuh/OSSEC JSON standards.</w:t>
      </w:r>
    </w:p>
    <w:p>
      <w:pPr>
        <w:pStyle w:val="ListBullet"/>
        <w:spacing w:before="20" w:after="60" w:line="276" w:lineRule="auto"/>
      </w:pPr>
      <w:r>
        <w:rPr>
          <w:rFonts w:ascii="Calibri" w:hAnsi="Calibri"/>
          <w:b/>
          <w:color w:val="0B1A33"/>
          <w:sz w:val="20"/>
        </w:rPr>
        <w:t xml:space="preserve">Keyed Actor Pseudonymization: </w:t>
      </w:r>
      <w:r>
        <w:rPr>
          <w:rFonts w:ascii="Calibri" w:hAnsi="Calibri"/>
          <w:color w:val="212529"/>
          <w:sz w:val="20"/>
        </w:rPr>
        <w:t>Customer identities are hashed to actor-{sha256} to prevent high-cardinality PII from leaking into SIEM logs.</w:t>
      </w:r>
    </w:p>
    <w:p>
      <w:pPr>
        <w:pStyle w:val="ListBullet"/>
        <w:spacing w:before="20" w:after="60" w:line="276" w:lineRule="auto"/>
      </w:pPr>
      <w:r>
        <w:rPr>
          <w:rFonts w:ascii="Calibri" w:hAnsi="Calibri"/>
          <w:b/>
          <w:color w:val="0B1A33"/>
          <w:sz w:val="20"/>
        </w:rPr>
        <w:t xml:space="preserve">Bounded Spooling &amp; Rotation: </w:t>
      </w:r>
      <w:r>
        <w:rPr>
          <w:rFonts w:ascii="Calibri" w:hAnsi="Calibri"/>
          <w:color w:val="212529"/>
          <w:sz w:val="20"/>
        </w:rPr>
        <w:t>Local log spooling automatically rotates segments (.json.1) at 10 MB to prevent disk exhaustion.</w:t>
      </w:r>
    </w:p>
    <w:p>
      <w:pPr>
        <w:pStyle w:val="ListBullet"/>
        <w:spacing w:before="20" w:after="60" w:line="276" w:lineRule="auto"/>
      </w:pPr>
      <w:r>
        <w:rPr>
          <w:rFonts w:ascii="Calibri" w:hAnsi="Calibri"/>
          <w:b/>
          <w:color w:val="0B1A33"/>
          <w:sz w:val="20"/>
        </w:rPr>
        <w:t xml:space="preserve">Wazuh XML Decoders &amp; Rules: </w:t>
      </w:r>
      <w:r>
        <w:rPr>
          <w:rFonts w:ascii="Calibri" w:hAnsi="Calibri"/>
          <w:color w:val="212529"/>
          <w:sz w:val="20"/>
        </w:rPr>
        <w:t>Created wazuh/decoders/eiger_decoders.xml and wazuh/rules/eiger_rules.xml mapping event types to alert levels 6 through 14.</w:t>
      </w:r>
    </w:p>
    <w:p>
      <w:pPr>
        <w:spacing w:before="240" w:after="80"/>
      </w:pPr>
      <w:r>
        <w:rPr>
          <w:rFonts w:ascii="Arial" w:hAnsi="Arial"/>
          <w:b/>
          <w:color w:val="0D6EFD"/>
          <w:sz w:val="24"/>
        </w:rPr>
        <w:t>3.9 Production Containerization &amp; Deployment Hardening</w:t>
      </w:r>
    </w:p>
    <w:p>
      <w:pPr>
        <w:spacing w:before="40" w:after="80" w:line="276" w:lineRule="auto"/>
      </w:pPr>
      <w:r>
        <w:rPr>
          <w:rFonts w:ascii="Calibri" w:hAnsi="Calibri"/>
          <w:color w:val="212529"/>
          <w:sz w:val="20"/>
        </w:rPr>
        <w:t>The benchmark deployment ran as root, lacked resource bounds, exposed raw backend ports, and used default hardcoded development secrets.</w:t>
      </w:r>
    </w:p>
    <w:p>
      <w:pPr>
        <w:pStyle w:val="ListBullet"/>
        <w:spacing w:before="20" w:after="60" w:line="276" w:lineRule="auto"/>
      </w:pPr>
      <w:r>
        <w:rPr>
          <w:rFonts w:ascii="Calibri" w:hAnsi="Calibri"/>
          <w:b/>
          <w:color w:val="0B1A33"/>
          <w:sz w:val="20"/>
        </w:rPr>
        <w:t xml:space="preserve">Non-Root &amp; Read-Only Containers: </w:t>
      </w:r>
      <w:r>
        <w:rPr>
          <w:rFonts w:ascii="Calibri" w:hAnsi="Calibri"/>
          <w:color w:val="212529"/>
          <w:sz w:val="20"/>
        </w:rPr>
        <w:t>Production Dockerfile configures an unprivileged user and read-only container filesystems.</w:t>
      </w:r>
    </w:p>
    <w:p>
      <w:pPr>
        <w:pStyle w:val="ListBullet"/>
        <w:spacing w:before="20" w:after="60" w:line="276" w:lineRule="auto"/>
      </w:pPr>
      <w:r>
        <w:rPr>
          <w:rFonts w:ascii="Calibri" w:hAnsi="Calibri"/>
          <w:b/>
          <w:color w:val="0B1A33"/>
          <w:sz w:val="20"/>
        </w:rPr>
        <w:t xml:space="preserve">Capability Dropping &amp; Resource Limits: </w:t>
      </w:r>
      <w:r>
        <w:rPr>
          <w:rFonts w:ascii="Calibri" w:hAnsi="Calibri"/>
          <w:color w:val="212529"/>
          <w:sz w:val="20"/>
        </w:rPr>
        <w:t>Containers drop unnecessary Linux capabilities and enforce memory and CPU limits.</w:t>
      </w:r>
    </w:p>
    <w:p>
      <w:pPr>
        <w:pStyle w:val="ListBullet"/>
        <w:spacing w:before="20" w:after="60" w:line="276" w:lineRule="auto"/>
      </w:pPr>
      <w:r>
        <w:rPr>
          <w:rFonts w:ascii="Calibri" w:hAnsi="Calibri"/>
          <w:b/>
          <w:color w:val="0B1A33"/>
          <w:sz w:val="20"/>
        </w:rPr>
        <w:t xml:space="preserve">Internal Network Isolation: </w:t>
      </w:r>
      <w:r>
        <w:rPr>
          <w:rFonts w:ascii="Calibri" w:hAnsi="Calibri"/>
          <w:color w:val="212529"/>
          <w:sz w:val="20"/>
        </w:rPr>
        <w:t>Ollama, database, and MCP services communicate strictly across an unexposed internal bridge network.</w:t>
      </w:r>
    </w:p>
    <w:p>
      <w:pPr>
        <w:pStyle w:val="ListBullet"/>
        <w:spacing w:before="20" w:after="60" w:line="276" w:lineRule="auto"/>
      </w:pPr>
      <w:r>
        <w:rPr>
          <w:rFonts w:ascii="Calibri" w:hAnsi="Calibri"/>
          <w:b/>
          <w:color w:val="0B1A33"/>
          <w:sz w:val="20"/>
        </w:rPr>
        <w:t xml:space="preserve">Mandatory Secret Provisioning: </w:t>
      </w:r>
      <w:r>
        <w:rPr>
          <w:rFonts w:ascii="Calibri" w:hAnsi="Calibri"/>
          <w:color w:val="212529"/>
          <w:sz w:val="20"/>
        </w:rPr>
        <w:t>Eliminated default secrets; Compose fails immediately if session secrets or tokens are unset in the environment.</w:t>
      </w:r>
    </w:p>
    <w:p>
      <w:pPr>
        <w:spacing w:before="360" w:after="120"/>
      </w:pPr>
      <w:r>
        <w:rPr>
          <w:rFonts w:ascii="Arial" w:hAnsi="Arial"/>
          <w:b/>
          <w:color w:val="0B1A33"/>
          <w:sz w:val="28"/>
        </w:rPr>
        <w:t>4. Empirical Verification &amp; Test Suite Metrics</w:t>
      </w:r>
    </w:p>
    <w:p>
      <w:pPr>
        <w:spacing w:before="40" w:after="80" w:line="276" w:lineRule="auto"/>
      </w:pPr>
      <w:r>
        <w:rPr>
          <w:rFonts w:ascii="Calibri" w:hAnsi="Calibri"/>
          <w:color w:val="212529"/>
          <w:sz w:val="20"/>
        </w:rPr>
        <w:t>The security improvements were validated through comprehensive automated testing suites and live probe replays:</w:t>
      </w:r>
    </w:p>
    <w:p>
      <w:pPr>
        <w:pStyle w:val="ListBullet"/>
        <w:spacing w:before="20" w:after="60" w:line="276" w:lineRule="auto"/>
      </w:pPr>
      <w:r>
        <w:rPr>
          <w:rFonts w:ascii="Calibri" w:hAnsi="Calibri"/>
          <w:b/>
          <w:color w:val="0B1A33"/>
          <w:sz w:val="20"/>
        </w:rPr>
        <w:t xml:space="preserve">Full Test Suite Execution: </w:t>
      </w:r>
      <w:r>
        <w:rPr>
          <w:rFonts w:ascii="Calibri" w:hAnsi="Calibri"/>
          <w:color w:val="212529"/>
          <w:sz w:val="20"/>
        </w:rPr>
        <w:t>The latest regression run recorded 448 passed, 8 skipped (external DBs), and 12 deselected tests with zero failures in 45.55s.</w:t>
      </w:r>
    </w:p>
    <w:p>
      <w:pPr>
        <w:pStyle w:val="ListBullet"/>
        <w:spacing w:before="20" w:after="60" w:line="276" w:lineRule="auto"/>
      </w:pPr>
      <w:r>
        <w:rPr>
          <w:rFonts w:ascii="Calibri" w:hAnsi="Calibri"/>
          <w:b/>
          <w:color w:val="0B1A33"/>
          <w:sz w:val="20"/>
        </w:rPr>
        <w:t xml:space="preserve">Dedicated Negative Security Suite: </w:t>
      </w:r>
      <w:r>
        <w:rPr>
          <w:rFonts w:ascii="Calibri" w:hAnsi="Calibri"/>
          <w:color w:val="212529"/>
          <w:sz w:val="20"/>
        </w:rPr>
        <w:t>All 35 dedicated negative security tests in tests/test_negative_security.py pass with 100% compliance, verifying that denied requests cause zero balance or state changes.</w:t>
      </w:r>
    </w:p>
    <w:p>
      <w:pPr>
        <w:pStyle w:val="ListBullet"/>
        <w:spacing w:before="20" w:after="60" w:line="276" w:lineRule="auto"/>
      </w:pPr>
      <w:r>
        <w:rPr>
          <w:rFonts w:ascii="Calibri" w:hAnsi="Calibri"/>
          <w:b/>
          <w:color w:val="0B1A33"/>
          <w:sz w:val="20"/>
        </w:rPr>
        <w:t xml:space="preserve">Ollama Gateway Tests: </w:t>
      </w:r>
      <w:r>
        <w:rPr>
          <w:rFonts w:ascii="Calibri" w:hAnsi="Calibri"/>
          <w:color w:val="212529"/>
          <w:sz w:val="20"/>
        </w:rPr>
        <w:t>4 focused gateway tests in tests/test_ollama_gateway.py verified bearer authentication, path whitelisting, and digest mismatch rejection.</w:t>
      </w:r>
    </w:p>
    <w:p>
      <w:pPr>
        <w:pStyle w:val="ListBullet"/>
        <w:spacing w:before="20" w:after="60" w:line="276" w:lineRule="auto"/>
      </w:pPr>
      <w:r>
        <w:rPr>
          <w:rFonts w:ascii="Calibri" w:hAnsi="Calibri"/>
          <w:b/>
          <w:color w:val="0B1A33"/>
          <w:sz w:val="20"/>
        </w:rPr>
        <w:t xml:space="preserve">MCP Security Probes: </w:t>
      </w:r>
      <w:r>
        <w:rPr>
          <w:rFonts w:ascii="Calibri" w:hAnsi="Calibri"/>
          <w:color w:val="212529"/>
          <w:sz w:val="20"/>
        </w:rPr>
        <w:t>scripts/security/mcp_scanner.py executed 4 live positive and negative authorization probes against isolated fixtures, scoring Grade A+ (100/100).</w:t>
      </w:r>
    </w:p>
    <w:p>
      <w:pPr>
        <w:pStyle w:val="ListBullet"/>
        <w:spacing w:before="20" w:after="60" w:line="276" w:lineRule="auto"/>
      </w:pPr>
      <w:r>
        <w:rPr>
          <w:rFonts w:ascii="Calibri" w:hAnsi="Calibri"/>
          <w:b/>
          <w:color w:val="0B1A33"/>
          <w:sz w:val="20"/>
        </w:rPr>
        <w:t xml:space="preserve">Dependency Audit: </w:t>
      </w:r>
      <w:r>
        <w:rPr>
          <w:rFonts w:ascii="Calibri" w:hAnsi="Calibri"/>
          <w:color w:val="212529"/>
          <w:sz w:val="20"/>
        </w:rPr>
        <w:t>pip-audit --local confirmed zero known vulnerabilities in the active hardened environment.</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