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0B1A33"/>
          <w:sz w:val="46"/>
        </w:rPr>
        <w:t>EIGER AI BANKING PLATFORM</w:t>
      </w:r>
    </w:p>
    <w:p>
      <w:pPr>
        <w:spacing w:before="0" w:after="280"/>
        <w:jc w:val="center"/>
      </w:pPr>
      <w:r>
        <w:rPr>
          <w:rFonts w:ascii="Calibri" w:hAnsi="Calibri"/>
          <w:i/>
          <w:color w:val="475569"/>
          <w:sz w:val="25"/>
        </w:rPr>
        <w:t>Comprehensive Implementation &amp; Deployment Architecture Specification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A33"/>
            <w:tcMar>
              <w:top w:w="60" w:type="dxa"/>
              <w:bottom w:w="60" w:type="dxa"/>
              <w:left w:w="80" w:type="dxa"/>
              <w:right w:w="80" w:type="dxa"/>
            </w:tcMar>
          </w:tcPr>
          <w:p>
            <w:r>
              <w:rPr>
                <w:rFonts w:ascii="Calibri" w:hAnsi="Calibri"/>
                <w:b/>
                <w:color w:val="FFFFFF"/>
                <w:sz w:val="17"/>
              </w:rPr>
              <w:t>Document Version</w:t>
            </w:r>
          </w:p>
        </w:tc>
        <w:tc>
          <w:tcPr>
            <w:tcW w:type="dxa" w:w="2484"/>
            <w:shd w:val="clear" w:color="auto" w:fill="0B1A33"/>
            <w:tcMar>
              <w:top w:w="60" w:type="dxa"/>
              <w:bottom w:w="60" w:type="dxa"/>
              <w:left w:w="80" w:type="dxa"/>
              <w:right w:w="80" w:type="dxa"/>
            </w:tcMar>
          </w:tcPr>
          <w:p>
            <w:r>
              <w:rPr>
                <w:rFonts w:ascii="Calibri" w:hAnsi="Calibri"/>
                <w:b/>
                <w:color w:val="FFFFFF"/>
                <w:sz w:val="17"/>
              </w:rPr>
              <w:t>Hardened Repository</w:t>
            </w:r>
          </w:p>
        </w:tc>
        <w:tc>
          <w:tcPr>
            <w:tcW w:type="dxa" w:w="2484"/>
            <w:shd w:val="clear" w:color="auto" w:fill="0B1A33"/>
            <w:tcMar>
              <w:top w:w="60" w:type="dxa"/>
              <w:bottom w:w="60" w:type="dxa"/>
              <w:left w:w="80" w:type="dxa"/>
              <w:right w:w="80" w:type="dxa"/>
            </w:tcMar>
          </w:tcPr>
          <w:p>
            <w:r>
              <w:rPr>
                <w:rFonts w:ascii="Calibri" w:hAnsi="Calibri"/>
                <w:b/>
                <w:color w:val="FFFFFF"/>
                <w:sz w:val="17"/>
              </w:rPr>
              <w:t>Baseline Reference</w:t>
            </w:r>
          </w:p>
        </w:tc>
        <w:tc>
          <w:tcPr>
            <w:tcW w:type="dxa" w:w="2484"/>
            <w:shd w:val="clear" w:color="auto" w:fill="0B1A33"/>
            <w:tcMar>
              <w:top w:w="60" w:type="dxa"/>
              <w:bottom w:w="60" w:type="dxa"/>
              <w:left w:w="80" w:type="dxa"/>
              <w:right w:w="80" w:type="dxa"/>
            </w:tcMar>
          </w:tcPr>
          <w:p>
            <w:r>
              <w:rPr>
                <w:rFonts w:ascii="Calibri" w:hAnsi="Calibri"/>
                <w:b/>
                <w:color w:val="FFFFFF"/>
                <w:sz w:val="17"/>
              </w:rPr>
              <w:t>Classification</w:t>
            </w:r>
          </w:p>
        </w:tc>
      </w:tr>
      <w:tr>
        <w:tc>
          <w:tcPr>
            <w:tcW w:type="dxa" w:w="2484"/>
            <w:shd w:val="clear" w:color="auto" w:fill="F8FAFC"/>
            <w:tcMar>
              <w:top w:w="60" w:type="dxa"/>
              <w:bottom w:w="60" w:type="dxa"/>
              <w:left w:w="80" w:type="dxa"/>
              <w:right w:w="80" w:type="dxa"/>
            </w:tcMar>
          </w:tcPr>
          <w:p>
            <w:r>
              <w:rPr>
                <w:rFonts w:ascii="Calibri" w:hAnsi="Calibri"/>
                <w:color w:val="0F172A"/>
                <w:sz w:val="17"/>
              </w:rPr>
              <w:t>1.0 (Production)</w:t>
            </w:r>
          </w:p>
        </w:tc>
        <w:tc>
          <w:tcPr>
            <w:tcW w:type="dxa" w:w="2484"/>
            <w:shd w:val="clear" w:color="auto" w:fill="F8FAFC"/>
            <w:tcMar>
              <w:top w:w="60" w:type="dxa"/>
              <w:bottom w:w="60" w:type="dxa"/>
              <w:left w:w="80" w:type="dxa"/>
              <w:right w:w="80" w:type="dxa"/>
            </w:tcMar>
          </w:tcPr>
          <w:p>
            <w:r>
              <w:rPr>
                <w:rFonts w:ascii="Calibri" w:hAnsi="Calibri"/>
                <w:color w:val="0F172A"/>
                <w:sz w:val="17"/>
              </w:rPr>
              <w:t>eiger repo 2 (security-hardening)</w:t>
            </w:r>
          </w:p>
        </w:tc>
        <w:tc>
          <w:tcPr>
            <w:tcW w:type="dxa" w:w="2484"/>
            <w:shd w:val="clear" w:color="auto" w:fill="F8FAFC"/>
            <w:tcMar>
              <w:top w:w="60" w:type="dxa"/>
              <w:bottom w:w="60" w:type="dxa"/>
              <w:left w:w="80" w:type="dxa"/>
              <w:right w:w="80" w:type="dxa"/>
            </w:tcMar>
          </w:tcPr>
          <w:p>
            <w:r>
              <w:rPr>
                <w:rFonts w:ascii="Calibri" w:hAnsi="Calibri"/>
                <w:color w:val="0F172A"/>
                <w:sz w:val="17"/>
              </w:rPr>
              <w:t>eiger (m3-submission)</w:t>
            </w:r>
          </w:p>
        </w:tc>
        <w:tc>
          <w:tcPr>
            <w:tcW w:type="dxa" w:w="2484"/>
            <w:shd w:val="clear" w:color="auto" w:fill="F8FAFC"/>
            <w:tcMar>
              <w:top w:w="60" w:type="dxa"/>
              <w:bottom w:w="60" w:type="dxa"/>
              <w:left w:w="80" w:type="dxa"/>
              <w:right w:w="80" w:type="dxa"/>
            </w:tcMar>
          </w:tcPr>
          <w:p>
            <w:r>
              <w:rPr>
                <w:rFonts w:ascii="Calibri" w:hAnsi="Calibri"/>
                <w:color w:val="0F172A"/>
                <w:sz w:val="17"/>
              </w:rPr>
              <w:t>Restricted / Engineering</w:t>
            </w:r>
          </w:p>
        </w:tc>
      </w:tr>
    </w:tbl>
    <w:p>
      <w:pPr>
        <w:spacing w:after="160"/>
      </w:pPr>
    </w:p>
    <w:p>
      <w:pPr>
        <w:keepNext/>
        <w:spacing w:before="320" w:after="120"/>
      </w:pPr>
      <w:r>
        <w:rPr>
          <w:rFonts w:ascii="Calibri" w:hAnsi="Calibri"/>
          <w:b/>
          <w:color w:val="0B1A33"/>
          <w:sz w:val="30"/>
        </w:rPr>
        <w:t>1. Executive Overview &amp; Security Engineering Philosophy</w:t>
      </w:r>
    </w:p>
    <w:p>
      <w:pPr>
        <w:spacing w:before="0" w:after="100" w:line="276" w:lineRule="auto"/>
      </w:pPr>
      <w:r>
        <w:rPr>
          <w:rFonts w:ascii="Calibri" w:hAnsi="Calibri"/>
          <w:color w:val="0F172A"/>
          <w:sz w:val="19"/>
        </w:rPr>
        <w:t>This architectural specification provides an exhaustive, code-level exposition of exactly how the Eiger AI Banking Platform has been hardened and where each constituent component is deployed across both containerized production and local runtime environments. The baseline benchmark application (eiger) contained systemic vulnerabilities across session management, financial transactions, model exposure, and inter-service authentication. The hardened platform (eiger repo 2) transitions the system from an unauthenticated, memory-only experimental prototype to an enterprise-grade, deterministic, fail-closed financial AI architecture.</w:t>
      </w:r>
    </w:p>
    <w:tbl>
      <w:tblPr>
        <w:tblW w:type="auto" w:w="0"/>
        <w:jc w:val="center"/>
        <w:tblLook w:firstColumn="1" w:firstRow="1" w:lastColumn="0" w:lastRow="0" w:noHBand="0" w:noVBand="1" w:val="04A0"/>
      </w:tblPr>
      <w:tblGrid>
        <w:gridCol w:w="9936"/>
      </w:tblGrid>
      <w:tr>
        <w:tc>
          <w:tcPr>
            <w:tcW w:type="dxa" w:w="9936"/>
            <w:shd w:val="clear" w:color="auto" w:fill="F1F5F9"/>
            <w:tcMar>
              <w:top w:w="100" w:type="dxa"/>
              <w:bottom w:w="100" w:type="dxa"/>
              <w:left w:w="140" w:type="dxa"/>
              <w:right w:w="140" w:type="dxa"/>
            </w:tcMar>
            <w:tcBorders>
              <w:top w:val="none"/>
              <w:left w:val="single" w:sz="24" w:space="0" w:color="0B1A33"/>
              <w:bottom w:val="none"/>
              <w:right w:val="none"/>
            </w:tcBorders>
          </w:tcPr>
          <w:p>
            <w:pPr>
              <w:spacing w:before="40" w:after="40" w:line="276" w:lineRule="auto"/>
            </w:pPr>
            <w:r>
              <w:rPr>
                <w:rFonts w:ascii="Calibri" w:hAnsi="Calibri"/>
                <w:b/>
                <w:color w:val="0B1A33"/>
                <w:sz w:val="19"/>
              </w:rPr>
              <w:t xml:space="preserve">Core Security Philosophy: </w:t>
            </w:r>
            <w:r>
              <w:rPr>
                <w:rFonts w:ascii="Calibri" w:hAnsi="Calibri"/>
                <w:color w:val="0F172A"/>
                <w:sz w:val="19"/>
              </w:rPr>
              <w:t>Fundamental Engineering Principle: Deterministic Defense Over Probabilistic Alignment. In an agentic banking environment, probabilistic safety controls (such as system prompt guardrails or model classifiers) can be subverted through novel prompt injections. Therefore, in the hardened architecture, financial authorization, balance invariants, session authentication, and inter-process delegation are enforced by deterministic, non-bypassable software boundaries. AI safety classifiers (NeMo and Llama Guard) provide defense-in-depth screening, but the core financial state remains cryptographically and transactionally immutable to model manipulation.</w:t>
            </w:r>
          </w:p>
        </w:tc>
      </w:tr>
    </w:tbl>
    <w:p>
      <w:pPr>
        <w:spacing w:after="60"/>
      </w:pPr>
    </w:p>
    <w:p>
      <w:pPr>
        <w:keepNext/>
        <w:spacing w:before="320" w:after="120"/>
      </w:pPr>
      <w:r>
        <w:rPr>
          <w:rFonts w:ascii="Calibri" w:hAnsi="Calibri"/>
          <w:b/>
          <w:color w:val="0B1A33"/>
          <w:sz w:val="30"/>
        </w:rPr>
        <w:t>2. Granular Implementation Architecture (How It Has Been Implemented)</w:t>
      </w:r>
    </w:p>
    <w:p>
      <w:pPr>
        <w:spacing w:before="0" w:after="100" w:line="276" w:lineRule="auto"/>
      </w:pPr>
      <w:r>
        <w:rPr>
          <w:rFonts w:ascii="Calibri" w:hAnsi="Calibri"/>
          <w:color w:val="0F172A"/>
          <w:sz w:val="19"/>
        </w:rPr>
        <w:t>The hardened architecture decomposes security responsibilities into specialized, decoupled modules. The following subsections delineate the concrete implementation mechanisms, cryptographic algorithms, schema invariants, and data flows governing each subsystem.</w:t>
      </w:r>
    </w:p>
    <w:p>
      <w:pPr>
        <w:keepNext/>
        <w:spacing w:before="240" w:after="80"/>
      </w:pPr>
      <w:r>
        <w:rPr>
          <w:rFonts w:ascii="Calibri" w:hAnsi="Calibri"/>
          <w:b/>
          <w:color w:val="0284C7"/>
          <w:sz w:val="24"/>
        </w:rPr>
        <w:t>2.1 Web Identity, Authentication &amp; Session Engine</w:t>
      </w:r>
    </w:p>
    <w:p>
      <w:pPr>
        <w:spacing w:before="0" w:after="100" w:line="276" w:lineRule="auto"/>
      </w:pPr>
      <w:r>
        <w:rPr>
          <w:rFonts w:ascii="Calibri" w:hAnsi="Calibri"/>
          <w:color w:val="0F172A"/>
          <w:sz w:val="19"/>
        </w:rPr>
        <w:t>Implemented primarily in: halcyon/web.py and halcyon/config.py</w:t>
      </w:r>
    </w:p>
    <w:p>
      <w:pPr>
        <w:pStyle w:val="ListBullet"/>
        <w:spacing w:before="20" w:after="60" w:line="269" w:lineRule="auto"/>
      </w:pPr>
      <w:r>
        <w:rPr>
          <w:rFonts w:ascii="Calibri" w:hAnsi="Calibri"/>
          <w:b/>
          <w:color w:val="0B1A33"/>
          <w:sz w:val="19"/>
        </w:rPr>
        <w:t xml:space="preserve">OIDC JWKS Signature Verification: </w:t>
      </w:r>
      <w:r>
        <w:rPr>
          <w:rFonts w:ascii="Calibri" w:hAnsi="Calibri"/>
          <w:color w:val="0F172A"/>
          <w:sz w:val="19"/>
        </w:rPr>
        <w:t>In the benchmark application, authentication evaluated 'verified or token', allowing unverified bearer strings to succeed. In the hardened platform, incoming tokens are parsed and cryptographically validated against the configured OpenID Connect JSON Web Key Set (JWKS) URL using PyJWT 2.15.1. Signature validation, issuer verification, and audience binding are strictly mandatory; unverified tokens immediately raise HTTP 401 Unauthorized.</w:t>
      </w:r>
    </w:p>
    <w:p>
      <w:pPr>
        <w:pStyle w:val="ListBullet"/>
        <w:spacing w:before="20" w:after="60" w:line="269" w:lineRule="auto"/>
      </w:pPr>
      <w:r>
        <w:rPr>
          <w:rFonts w:ascii="Calibri" w:hAnsi="Calibri"/>
          <w:b/>
          <w:color w:val="0B1A33"/>
          <w:sz w:val="19"/>
        </w:rPr>
        <w:t xml:space="preserve">Mint-Only Session Lifecycle: </w:t>
      </w:r>
      <w:r>
        <w:rPr>
          <w:rFonts w:ascii="Calibri" w:hAnsi="Calibri"/>
          <w:color w:val="0F172A"/>
          <w:sz w:val="19"/>
        </w:rPr>
        <w:t>To eliminate Session Fixation (where an attacker supplies ?session=alice in the URL to establish a known session cookie), the server completely ignores client-dictated session parameters in request query strings and bodies. Session IDs are minted exclusively by the server using secrets.token_hex(24), prefixed with 'eiger-', and signed using an HMAC-SHA256 signature keyed by HALCYON_SESSION_SECRET. Any tampering with the session cookie causes immediate invalidation and generation of a fresh identity.</w:t>
      </w:r>
    </w:p>
    <w:p>
      <w:pPr>
        <w:pStyle w:val="ListBullet"/>
        <w:spacing w:before="20" w:after="60" w:line="269" w:lineRule="auto"/>
      </w:pPr>
      <w:r>
        <w:rPr>
          <w:rFonts w:ascii="Calibri" w:hAnsi="Calibri"/>
          <w:b/>
          <w:color w:val="0B1A33"/>
          <w:sz w:val="19"/>
        </w:rPr>
        <w:t xml:space="preserve">Hardened Cookie Policy: </w:t>
      </w:r>
      <w:r>
        <w:rPr>
          <w:rFonts w:ascii="Calibri" w:hAnsi="Calibri"/>
          <w:color w:val="0F172A"/>
          <w:sz w:val="19"/>
        </w:rPr>
        <w:t>Session cookies are dispatched with strict enterprise security flags: Secure (mandating HTTPS transmission), HttpOnly (preventing DOM/XSS script access), SameSite=Strict (mitigating Cross-Site Request Forgery), and a bounded Max-Age of 86400 seconds (24 hours).</w:t>
      </w:r>
    </w:p>
    <w:p>
      <w:pPr>
        <w:pStyle w:val="ListBullet"/>
        <w:spacing w:before="20" w:after="60" w:line="269" w:lineRule="auto"/>
      </w:pPr>
      <w:r>
        <w:rPr>
          <w:rFonts w:ascii="Calibri" w:hAnsi="Calibri"/>
          <w:b/>
          <w:color w:val="0B1A33"/>
          <w:sz w:val="19"/>
        </w:rPr>
        <w:t xml:space="preserve">Origin Matching &amp; CSRF Token Guard: </w:t>
      </w:r>
      <w:r>
        <w:rPr>
          <w:rFonts w:ascii="Calibri" w:hAnsi="Calibri"/>
          <w:color w:val="0F172A"/>
          <w:sz w:val="19"/>
        </w:rPr>
        <w:t>All state-changing endpoints (/api/profile, /api/kb) enforce dual CSRF defenses: strict validation of the HTTP Origin and Referer headers against the configured whitelist (EIGER_ALLOWED_ORIGINS), combined with a cryptographic CSRF token bound to the active authenticated session.</w:t>
      </w:r>
    </w:p>
    <w:p>
      <w:pPr>
        <w:pStyle w:val="ListBullet"/>
        <w:spacing w:before="20" w:after="60" w:line="269" w:lineRule="auto"/>
      </w:pPr>
      <w:r>
        <w:rPr>
          <w:rFonts w:ascii="Calibri" w:hAnsi="Calibri"/>
          <w:b/>
          <w:color w:val="0B1A33"/>
          <w:sz w:val="19"/>
        </w:rPr>
        <w:t xml:space="preserve">OWASP Deny-by-Default Route Decorator: </w:t>
      </w:r>
      <w:r>
        <w:rPr>
          <w:rFonts w:ascii="Calibri" w:hAnsi="Calibri"/>
          <w:color w:val="0F172A"/>
          <w:sz w:val="19"/>
        </w:rPr>
        <w:t>The web route protection decorator defaults require_ownership=True. Stateful routes automatically verify that the session identity derived from the cryptographic cookie matches the resource owner. Unauthenticated access attempts to profile or knowledge management routes are blocked with HTTP 403 Forbidden.</w:t>
      </w:r>
    </w:p>
    <w:p>
      <w:pPr>
        <w:pStyle w:val="ListBullet"/>
        <w:spacing w:before="20" w:after="60" w:line="269" w:lineRule="auto"/>
      </w:pPr>
      <w:r>
        <w:rPr>
          <w:rFonts w:ascii="Calibri" w:hAnsi="Calibri"/>
          <w:b/>
          <w:color w:val="0B1A33"/>
          <w:sz w:val="19"/>
        </w:rPr>
        <w:t xml:space="preserve">Public View Pseudonymization: </w:t>
      </w:r>
      <w:r>
        <w:rPr>
          <w:rFonts w:ascii="Calibri" w:hAnsi="Calibri"/>
          <w:color w:val="0F172A"/>
          <w:sz w:val="19"/>
        </w:rPr>
        <w:t>Scoreboards, audit logs, and leaderboards (/board, /api/reach) no longer expose raw session IDs. Identities are hashed via HMAC-SHA256 into deterministic, non-reversible public pseudonyms of the form Participant-XXXXXX.</w:t>
      </w:r>
    </w:p>
    <w:p>
      <w:pPr>
        <w:pStyle w:val="ListBullet"/>
        <w:spacing w:before="20" w:after="60" w:line="269" w:lineRule="auto"/>
      </w:pPr>
      <w:r>
        <w:rPr>
          <w:rFonts w:ascii="Calibri" w:hAnsi="Calibri"/>
          <w:b/>
          <w:color w:val="0B1A33"/>
          <w:sz w:val="19"/>
        </w:rPr>
        <w:t xml:space="preserve">Production Endpoint Lockdown: </w:t>
      </w:r>
      <w:r>
        <w:rPr>
          <w:rFonts w:ascii="Calibri" w:hAnsi="Calibri"/>
          <w:color w:val="0F172A"/>
          <w:sz w:val="19"/>
        </w:rPr>
        <w:t>In production mode (HALCYON_PROFILE=production), all diagnostic and lab reset routes (/reset/*, /validate/*, /source) are permanently gated and return HTTP 403 Forbidden, eliminating administrative backdoors.</w:t>
      </w:r>
    </w:p>
    <w:p>
      <w:pPr>
        <w:keepNext/>
        <w:spacing w:before="240" w:after="80"/>
      </w:pPr>
      <w:r>
        <w:rPr>
          <w:rFonts w:ascii="Calibri" w:hAnsi="Calibri"/>
          <w:b/>
          <w:color w:val="0284C7"/>
          <w:sz w:val="24"/>
        </w:rPr>
        <w:t>2.2 Financial Integrity, Invariants &amp; Transactional Persistence</w:t>
      </w:r>
    </w:p>
    <w:p>
      <w:pPr>
        <w:spacing w:before="0" w:after="100" w:line="276" w:lineRule="auto"/>
      </w:pPr>
      <w:r>
        <w:rPr>
          <w:rFonts w:ascii="Calibri" w:hAnsi="Calibri"/>
          <w:color w:val="0F172A"/>
          <w:sz w:val="19"/>
        </w:rPr>
        <w:t>Implemented primarily in: halcyon/bank.py, halcyon/security/ledger.py, halcyon/tools.py, and halcyon/treasury_agent.py</w:t>
      </w:r>
    </w:p>
    <w:p>
      <w:pPr>
        <w:pStyle w:val="ListBullet"/>
        <w:spacing w:before="20" w:after="60" w:line="269" w:lineRule="auto"/>
      </w:pPr>
      <w:r>
        <w:rPr>
          <w:rFonts w:ascii="Calibri" w:hAnsi="Calibri"/>
          <w:b/>
          <w:color w:val="0B1A33"/>
          <w:sz w:val="19"/>
        </w:rPr>
        <w:t xml:space="preserve">Double-Entry Balance Conservation: </w:t>
      </w:r>
      <w:r>
        <w:rPr>
          <w:rFonts w:ascii="Calibri" w:hAnsi="Calibri"/>
          <w:color w:val="0F172A"/>
          <w:sz w:val="19"/>
        </w:rPr>
        <w:t>In the benchmark system, transfer_funds(from_account=None) created arbitrary synthetic credits. The hardened engine enforces an absolute conservation invariant: every credit to a destination account must be paired with an exact, simultaneous debit from an authorized source account. Transfers without a verified source account are rejected as invariant violations.</w:t>
      </w:r>
    </w:p>
    <w:p>
      <w:pPr>
        <w:pStyle w:val="ListBullet"/>
        <w:spacing w:before="20" w:after="60" w:line="269" w:lineRule="auto"/>
      </w:pPr>
      <w:r>
        <w:rPr>
          <w:rFonts w:ascii="Calibri" w:hAnsi="Calibri"/>
          <w:b/>
          <w:color w:val="0B1A33"/>
          <w:sz w:val="19"/>
        </w:rPr>
        <w:t xml:space="preserve">Elimination of Merchant Fallbacks: </w:t>
      </w:r>
      <w:r>
        <w:rPr>
          <w:rFonts w:ascii="Calibri" w:hAnsi="Calibri"/>
          <w:color w:val="0F172A"/>
          <w:sz w:val="19"/>
        </w:rPr>
        <w:t>The tool dispatch layer previously exempted 'acct-merchant' from caller ownership checks, allowing attackers to withdraw funds from the merchant account. This exemption and all automatic merchant source fallbacks were completely eliminated. The execution layer enforces bank.owns(caller_session, from_account) on every transaction.</w:t>
      </w:r>
    </w:p>
    <w:p>
      <w:pPr>
        <w:pStyle w:val="ListBullet"/>
        <w:spacing w:before="20" w:after="60" w:line="269" w:lineRule="auto"/>
      </w:pPr>
      <w:r>
        <w:rPr>
          <w:rFonts w:ascii="Calibri" w:hAnsi="Calibri"/>
          <w:b/>
          <w:color w:val="0B1A33"/>
          <w:sz w:val="19"/>
        </w:rPr>
        <w:t xml:space="preserve">Strict Numeric Schema Validation: </w:t>
      </w:r>
      <w:r>
        <w:rPr>
          <w:rFonts w:ascii="Calibri" w:hAnsi="Calibri"/>
          <w:color w:val="0F172A"/>
          <w:sz w:val="19"/>
        </w:rPr>
        <w:t>To prevent type-coercion bypasses (such as Python booleans where True evaluates to 1, or negative numbers causing credit generation), the bank schema enforces type(amount) is int and amount &gt; 0. Booleans, floats, strings, and non-positive integers raise immediate validation errors.</w:t>
      </w:r>
    </w:p>
    <w:p>
      <w:pPr>
        <w:pStyle w:val="ListBullet"/>
        <w:spacing w:before="20" w:after="60" w:line="269" w:lineRule="auto"/>
      </w:pPr>
      <w:r>
        <w:rPr>
          <w:rFonts w:ascii="Calibri" w:hAnsi="Calibri"/>
          <w:b/>
          <w:color w:val="0B1A33"/>
          <w:sz w:val="19"/>
        </w:rPr>
        <w:t xml:space="preserve">Atomic Refund Pipeline: </w:t>
      </w:r>
      <w:r>
        <w:rPr>
          <w:rFonts w:ascii="Calibri" w:hAnsi="Calibri"/>
          <w:color w:val="0F172A"/>
          <w:sz w:val="19"/>
        </w:rPr>
        <w:t>Direct refund minting via bank.credit() has been removed. Refunds must route through a dedicated refund engine that validates the original purchase transaction ID, confirms the purchase was completed, verifies that cumulative refunds do not exceed the original payment, and automatically derives the refund destination from the original payer account.</w:t>
      </w:r>
    </w:p>
    <w:p>
      <w:pPr>
        <w:pStyle w:val="ListBullet"/>
        <w:spacing w:before="20" w:after="60" w:line="269" w:lineRule="auto"/>
      </w:pPr>
      <w:r>
        <w:rPr>
          <w:rFonts w:ascii="Calibri" w:hAnsi="Calibri"/>
          <w:b/>
          <w:color w:val="0B1A33"/>
          <w:sz w:val="19"/>
        </w:rPr>
        <w:t xml:space="preserve">PostgreSQL ACID Transactional Storage: </w:t>
      </w:r>
      <w:r>
        <w:rPr>
          <w:rFonts w:ascii="Calibri" w:hAnsi="Calibri"/>
          <w:color w:val="0F172A"/>
          <w:sz w:val="19"/>
        </w:rPr>
        <w:t>Process-local in-memory dictionaries have been superseded by halcyon/security/ledger.py. The engine executes transactions within PostgreSQL SERIALIZABLE / READ COMMITTED transactions utilizing pessimistic row-level locking (SELECT balance FROM accounts WHERE id = $1 FOR UPDATE). Invariant violations trigger atomic rollbacks, and audit events are committed to an transactional outbox table in the same commit.</w:t>
      </w:r>
    </w:p>
    <w:p>
      <w:pPr>
        <w:pStyle w:val="ListBullet"/>
        <w:spacing w:before="20" w:after="60" w:line="269" w:lineRule="auto"/>
      </w:pPr>
      <w:r>
        <w:rPr>
          <w:rFonts w:ascii="Calibri" w:hAnsi="Calibri"/>
          <w:b/>
          <w:color w:val="0B1A33"/>
          <w:sz w:val="19"/>
        </w:rPr>
        <w:t xml:space="preserve">Treasury Replay &amp; Idempotency Binding: </w:t>
      </w:r>
      <w:r>
        <w:rPr>
          <w:rFonts w:ascii="Calibri" w:hAnsi="Calibri"/>
          <w:color w:val="0F172A"/>
          <w:sz w:val="19"/>
        </w:rPr>
        <w:t>Treasury disbursements in halcyon/treasury_agent.py are bound to a server-generated payment ID and an atomic bank idempotency key. Processing the same scenario multiple times safely returns the original execution record without moving additional capital.</w:t>
      </w:r>
    </w:p>
    <w:p>
      <w:pPr>
        <w:keepNext/>
        <w:spacing w:before="240" w:after="80"/>
      </w:pPr>
      <w:r>
        <w:rPr>
          <w:rFonts w:ascii="Calibri" w:hAnsi="Calibri"/>
          <w:b/>
          <w:color w:val="0284C7"/>
          <w:sz w:val="24"/>
        </w:rPr>
        <w:t>2.3 Model Control Plane, Reverse Proxy Gateway &amp; SSRF Boundary</w:t>
      </w:r>
    </w:p>
    <w:p>
      <w:pPr>
        <w:spacing w:before="0" w:after="100" w:line="276" w:lineRule="auto"/>
      </w:pPr>
      <w:r>
        <w:rPr>
          <w:rFonts w:ascii="Calibri" w:hAnsi="Calibri"/>
          <w:color w:val="0F172A"/>
          <w:sz w:val="19"/>
        </w:rPr>
        <w:t>Implemented primarily in: halcyon/ollama_gateway.py and halcyon/llm.py</w:t>
      </w:r>
    </w:p>
    <w:p>
      <w:pPr>
        <w:pStyle w:val="ListBullet"/>
        <w:spacing w:before="20" w:after="60" w:line="269" w:lineRule="auto"/>
      </w:pPr>
      <w:r>
        <w:rPr>
          <w:rFonts w:ascii="Calibri" w:hAnsi="Calibri"/>
          <w:b/>
          <w:color w:val="0B1A33"/>
          <w:sz w:val="19"/>
        </w:rPr>
        <w:t xml:space="preserve">Ollama Reverse Proxy Gateway: </w:t>
      </w:r>
      <w:r>
        <w:rPr>
          <w:rFonts w:ascii="Calibri" w:hAnsi="Calibri"/>
          <w:color w:val="0F172A"/>
          <w:sz w:val="19"/>
        </w:rPr>
        <w:t>The Ollama daemon contains no native authentication and exposes high-risk management endpoints. halcyon/ollama_gateway.py deploys a FastAPI reverse proxy that mediates all model communications. Requests must present a valid Bearer token matching EIGER_OLLAMA_GATEWAY_TOKEN.</w:t>
      </w:r>
    </w:p>
    <w:p>
      <w:pPr>
        <w:pStyle w:val="ListBullet"/>
        <w:spacing w:before="20" w:after="60" w:line="269" w:lineRule="auto"/>
      </w:pPr>
      <w:r>
        <w:rPr>
          <w:rFonts w:ascii="Calibri" w:hAnsi="Calibri"/>
          <w:b/>
          <w:color w:val="0B1A33"/>
          <w:sz w:val="19"/>
        </w:rPr>
        <w:t xml:space="preserve">Strict Path Whitelisting: </w:t>
      </w:r>
      <w:r>
        <w:rPr>
          <w:rFonts w:ascii="Calibri" w:hAnsi="Calibri"/>
          <w:color w:val="0F172A"/>
          <w:sz w:val="19"/>
        </w:rPr>
        <w:t>The gateway inspects incoming HTTP request paths. Only inference routes (/api/chat, /api/generate, and /api/tags) are forwarded upstream. Administrative and destructive routes (/api/create, /api/delete, /api/pull, /api/push, /api/copy) are blocked at the perimeter and return HTTP 403 Forbidden.</w:t>
      </w:r>
    </w:p>
    <w:p>
      <w:pPr>
        <w:pStyle w:val="ListBullet"/>
        <w:spacing w:before="20" w:after="60" w:line="269" w:lineRule="auto"/>
      </w:pPr>
      <w:r>
        <w:rPr>
          <w:rFonts w:ascii="Calibri" w:hAnsi="Calibri"/>
          <w:b/>
          <w:color w:val="0B1A33"/>
          <w:sz w:val="19"/>
        </w:rPr>
        <w:t xml:space="preserve">Per-Request SHA-256 Digest Verification: </w:t>
      </w:r>
      <w:r>
        <w:rPr>
          <w:rFonts w:ascii="Calibri" w:hAnsi="Calibri"/>
          <w:color w:val="0F172A"/>
          <w:sz w:val="19"/>
        </w:rPr>
        <w:t>To prevent model tampering or rogue prompt-injection model substitution, the gateway queries the upstream daemon's active model manifest and verifies its SHA-256 digest against the cryptographically audited config/models.json manifest. Mismatched digests abort inference immediately.</w:t>
      </w:r>
    </w:p>
    <w:p>
      <w:pPr>
        <w:pStyle w:val="ListBullet"/>
        <w:spacing w:before="20" w:after="60" w:line="269" w:lineRule="auto"/>
      </w:pPr>
      <w:r>
        <w:rPr>
          <w:rFonts w:ascii="Calibri" w:hAnsi="Calibri"/>
          <w:b/>
          <w:color w:val="0B1A33"/>
          <w:sz w:val="19"/>
        </w:rPr>
        <w:t xml:space="preserve">Network SSRF Boundary Guard: </w:t>
      </w:r>
      <w:r>
        <w:rPr>
          <w:rFonts w:ascii="Calibri" w:hAnsi="Calibri"/>
          <w:color w:val="0F172A"/>
          <w:sz w:val="19"/>
        </w:rPr>
        <w:t>halcyon/llm.py validates all target provider URLs against link-local cloud metadata endpoints (169.254.169.254), RFC 3927 auto-configuration subnets, and RFC 1918 private IP ranges, preventing SSRF attacks against container host interfaces.</w:t>
      </w:r>
    </w:p>
    <w:p>
      <w:pPr>
        <w:keepNext/>
        <w:spacing w:before="240" w:after="80"/>
      </w:pPr>
      <w:r>
        <w:rPr>
          <w:rFonts w:ascii="Calibri" w:hAnsi="Calibri"/>
          <w:b/>
          <w:color w:val="0284C7"/>
          <w:sz w:val="24"/>
        </w:rPr>
        <w:t>2.4 MCP Tool Execution, Dual Transport &amp; DLP Gateway</w:t>
      </w:r>
    </w:p>
    <w:p>
      <w:pPr>
        <w:spacing w:before="0" w:after="100" w:line="276" w:lineRule="auto"/>
      </w:pPr>
      <w:r>
        <w:rPr>
          <w:rFonts w:ascii="Calibri" w:hAnsi="Calibri"/>
          <w:color w:val="0F172A"/>
          <w:sz w:val="19"/>
        </w:rPr>
        <w:t>Implemented primarily in: halcyon/security/transport.py, halcyon/security/mcp_gateway.py, and halcyon/mcp_deploy.py</w:t>
      </w:r>
    </w:p>
    <w:p>
      <w:pPr>
        <w:pStyle w:val="ListBullet"/>
        <w:spacing w:before="20" w:after="60" w:line="269" w:lineRule="auto"/>
      </w:pPr>
      <w:r>
        <w:rPr>
          <w:rFonts w:ascii="Calibri" w:hAnsi="Calibri"/>
          <w:b/>
          <w:color w:val="0B1A33"/>
          <w:sz w:val="19"/>
        </w:rPr>
        <w:t xml:space="preserve">Dual Transport Authentication: </w:t>
      </w:r>
      <w:r>
        <w:rPr>
          <w:rFonts w:ascii="Calibri" w:hAnsi="Calibri"/>
          <w:color w:val="0F172A"/>
          <w:sz w:val="19"/>
        </w:rPr>
        <w:t>To bridge the gap between service-level authentication and user-level authorization, halcyon/security/transport.py implements a dual-credential protocol. Each request carries: (1) a Bearer service token authenticating the calling daemon, and (2) an X-Eiger-Delegation-Signature header containing an HMAC-SHA256 signature that binds the caller's session ID, target account, timestamp, and the exact SHA-256 digest of the request body.</w:t>
      </w:r>
    </w:p>
    <w:p>
      <w:pPr>
        <w:pStyle w:val="ListBullet"/>
        <w:spacing w:before="20" w:after="60" w:line="269" w:lineRule="auto"/>
      </w:pPr>
      <w:r>
        <w:rPr>
          <w:rFonts w:ascii="Calibri" w:hAnsi="Calibri"/>
          <w:b/>
          <w:color w:val="0B1A33"/>
          <w:sz w:val="19"/>
        </w:rPr>
        <w:t xml:space="preserve">Inter-Service Credential Isolation: </w:t>
      </w:r>
      <w:r>
        <w:rPr>
          <w:rFonts w:ascii="Calibri" w:hAnsi="Calibri"/>
          <w:color w:val="0F172A"/>
          <w:sz w:val="19"/>
        </w:rPr>
        <w:t>The Banking daemon (:9001) and CRM daemon (:9002) utilize completely distinct cryptographic secrets (HALCYON_MCP_CORE_TOKEN vs. HALCYON_MCP_CRM_TOKEN). The Banking daemon strictly rejects CRM service tokens.</w:t>
      </w:r>
    </w:p>
    <w:p>
      <w:pPr>
        <w:pStyle w:val="ListBullet"/>
        <w:spacing w:before="20" w:after="60" w:line="269" w:lineRule="auto"/>
      </w:pPr>
      <w:r>
        <w:rPr>
          <w:rFonts w:ascii="Calibri" w:hAnsi="Calibri"/>
          <w:b/>
          <w:color w:val="0B1A33"/>
          <w:sz w:val="19"/>
        </w:rPr>
        <w:t xml:space="preserve">In-Daemon Permission Enforcement: </w:t>
      </w:r>
      <w:r>
        <w:rPr>
          <w:rFonts w:ascii="Calibri" w:hAnsi="Calibri"/>
          <w:color w:val="0F172A"/>
          <w:sz w:val="19"/>
        </w:rPr>
        <w:t>The MCP daemons independently unpack the verified user delegation envelope and invoke bank.owns(caller_session, account_id) before executing reads or balance mutations, ensuring that a compromised service cannot access unauthorized customer accounts.</w:t>
      </w:r>
    </w:p>
    <w:p>
      <w:pPr>
        <w:pStyle w:val="ListBullet"/>
        <w:spacing w:before="20" w:after="60" w:line="269" w:lineRule="auto"/>
      </w:pPr>
      <w:r>
        <w:rPr>
          <w:rFonts w:ascii="Calibri" w:hAnsi="Calibri"/>
          <w:b/>
          <w:color w:val="0B1A33"/>
          <w:sz w:val="19"/>
        </w:rPr>
        <w:t xml:space="preserve">Lasso-Style MCP Security Gateway: </w:t>
      </w:r>
      <w:r>
        <w:rPr>
          <w:rFonts w:ascii="Calibri" w:hAnsi="Calibri"/>
          <w:color w:val="0F172A"/>
          <w:sz w:val="19"/>
        </w:rPr>
        <w:t>halcyon/security/mcp_gateway.py intercepts tool invocations between the LLM and the daemons: (1) Ingress validation enforces schema types and neutralizes SQL/command injection metacharacters; (2) Egress DLP sanitizes model responses, masking 16-digit credit card PANs, 9-digit SSNs, and bearer authorization tokens while preserving legitimate account IDs.</w:t>
      </w:r>
    </w:p>
    <w:p>
      <w:pPr>
        <w:keepNext/>
        <w:spacing w:before="240" w:after="80"/>
      </w:pPr>
      <w:r>
        <w:rPr>
          <w:rFonts w:ascii="Calibri" w:hAnsi="Calibri"/>
          <w:b/>
          <w:color w:val="0284C7"/>
          <w:sz w:val="24"/>
        </w:rPr>
        <w:t>2.5 Knowledge Base Architecture &amp; Surface Minimization</w:t>
      </w:r>
    </w:p>
    <w:p>
      <w:pPr>
        <w:spacing w:before="0" w:after="100" w:line="276" w:lineRule="auto"/>
      </w:pPr>
      <w:r>
        <w:rPr>
          <w:rFonts w:ascii="Calibri" w:hAnsi="Calibri"/>
          <w:color w:val="0F172A"/>
          <w:sz w:val="19"/>
        </w:rPr>
        <w:t>Implemented primarily in: halcyon/sqlite_kb.py</w:t>
      </w:r>
    </w:p>
    <w:p>
      <w:pPr>
        <w:pStyle w:val="ListBullet"/>
        <w:spacing w:before="20" w:after="60" w:line="269" w:lineRule="auto"/>
      </w:pPr>
      <w:r>
        <w:rPr>
          <w:rFonts w:ascii="Calibri" w:hAnsi="Calibri"/>
          <w:b/>
          <w:color w:val="0B1A33"/>
          <w:sz w:val="19"/>
        </w:rPr>
        <w:t xml:space="preserve">ChromaDB Dependency Removal: </w:t>
      </w:r>
      <w:r>
        <w:rPr>
          <w:rFonts w:ascii="Calibri" w:hAnsi="Calibri"/>
          <w:color w:val="0F172A"/>
          <w:sz w:val="19"/>
        </w:rPr>
        <w:t>ChromaDB and its heavy transitive dependency tree (including legacy ONNX runtimes and vector dependencies) were completely eliminated, drastically reducing attack surface and CVE exposure.</w:t>
      </w:r>
    </w:p>
    <w:p>
      <w:pPr>
        <w:pStyle w:val="ListBullet"/>
        <w:spacing w:before="20" w:after="60" w:line="269" w:lineRule="auto"/>
      </w:pPr>
      <w:r>
        <w:rPr>
          <w:rFonts w:ascii="Calibri" w:hAnsi="Calibri"/>
          <w:b/>
          <w:color w:val="0B1A33"/>
          <w:sz w:val="19"/>
        </w:rPr>
        <w:t xml:space="preserve">Deterministic SQLite Lexical Retrieval: </w:t>
      </w:r>
      <w:r>
        <w:rPr>
          <w:rFonts w:ascii="Calibri" w:hAnsi="Calibri"/>
          <w:color w:val="0F172A"/>
          <w:sz w:val="19"/>
        </w:rPr>
        <w:t>Replaced with a secure SQLite retrieval engine (halcyon/sqlite_kb.py) utilizing parameterized SQL queries and pre-retrieval tenant isolation filtering (SELECT ... WHERE tenant_id = $1).</w:t>
      </w:r>
    </w:p>
    <w:p>
      <w:pPr>
        <w:pStyle w:val="ListBullet"/>
        <w:spacing w:before="20" w:after="60" w:line="269" w:lineRule="auto"/>
      </w:pPr>
      <w:r>
        <w:rPr>
          <w:rFonts w:ascii="Calibri" w:hAnsi="Calibri"/>
          <w:b/>
          <w:color w:val="0B1A33"/>
          <w:sz w:val="19"/>
        </w:rPr>
        <w:t xml:space="preserve">Context Prompt Isolation: </w:t>
      </w:r>
      <w:r>
        <w:rPr>
          <w:rFonts w:ascii="Calibri" w:hAnsi="Calibri"/>
          <w:color w:val="0F172A"/>
          <w:sz w:val="19"/>
        </w:rPr>
        <w:t>Retrieved knowledge chunks are wrapped in XML isolation delimiters (&lt;retrieved_context&gt;) with regex escaping to neutralize prompt injection escape sequences.</w:t>
      </w:r>
    </w:p>
    <w:p>
      <w:pPr>
        <w:keepNext/>
        <w:spacing w:before="240" w:after="80"/>
      </w:pPr>
      <w:r>
        <w:rPr>
          <w:rFonts w:ascii="Calibri" w:hAnsi="Calibri"/>
          <w:b/>
          <w:color w:val="0284C7"/>
          <w:sz w:val="24"/>
        </w:rPr>
        <w:t>2.6 AI Safety Guardrails &amp; Probabilistic Screening</w:t>
      </w:r>
    </w:p>
    <w:p>
      <w:pPr>
        <w:spacing w:before="0" w:after="100" w:line="276" w:lineRule="auto"/>
      </w:pPr>
      <w:r>
        <w:rPr>
          <w:rFonts w:ascii="Calibri" w:hAnsi="Calibri"/>
          <w:color w:val="0F172A"/>
          <w:sz w:val="19"/>
        </w:rPr>
        <w:t>Implemented primarily in: halcyon/security/runtime.py, halcyon/security/llama_guard.py, and halcyon/security/nemo_config/rails.co</w:t>
      </w:r>
    </w:p>
    <w:p>
      <w:pPr>
        <w:pStyle w:val="ListBullet"/>
        <w:spacing w:before="20" w:after="60" w:line="269" w:lineRule="auto"/>
      </w:pPr>
      <w:r>
        <w:rPr>
          <w:rFonts w:ascii="Calibri" w:hAnsi="Calibri"/>
          <w:b/>
          <w:color w:val="0B1A33"/>
          <w:sz w:val="19"/>
        </w:rPr>
        <w:t xml:space="preserve">NeMo Guardrails Colang Flows: </w:t>
      </w:r>
      <w:r>
        <w:rPr>
          <w:rFonts w:ascii="Calibri" w:hAnsi="Calibri"/>
          <w:color w:val="0F172A"/>
          <w:sz w:val="19"/>
        </w:rPr>
        <w:t>Configured NVIDIA NeMo Guardrails dialog policies (rails.co) that intercept off-topic prompts, jailbreak patterns, and unauthorized financial commitments prior to model invocation.</w:t>
      </w:r>
    </w:p>
    <w:p>
      <w:pPr>
        <w:pStyle w:val="ListBullet"/>
        <w:spacing w:before="20" w:after="60" w:line="269" w:lineRule="auto"/>
      </w:pPr>
      <w:r>
        <w:rPr>
          <w:rFonts w:ascii="Calibri" w:hAnsi="Calibri"/>
          <w:b/>
          <w:color w:val="0B1A33"/>
          <w:sz w:val="19"/>
        </w:rPr>
        <w:t xml:space="preserve">Meta Llama Guard 3-1B Classifier: </w:t>
      </w:r>
      <w:r>
        <w:rPr>
          <w:rFonts w:ascii="Calibri" w:hAnsi="Calibri"/>
          <w:color w:val="0F172A"/>
          <w:sz w:val="19"/>
        </w:rPr>
        <w:t>Integrated Llama Guard 3-1B using the official 13-category safety taxonomy (properly mapping S13 to Elections rather than conflating with injection).</w:t>
      </w:r>
    </w:p>
    <w:p>
      <w:pPr>
        <w:pStyle w:val="ListBullet"/>
        <w:spacing w:before="20" w:after="60" w:line="269" w:lineRule="auto"/>
      </w:pPr>
      <w:r>
        <w:rPr>
          <w:rFonts w:ascii="Calibri" w:hAnsi="Calibri"/>
          <w:b/>
          <w:color w:val="0B1A33"/>
          <w:sz w:val="19"/>
        </w:rPr>
        <w:t xml:space="preserve">Fail-Closed Security Assessment Contract: </w:t>
      </w:r>
      <w:r>
        <w:rPr>
          <w:rFonts w:ascii="Calibri" w:hAnsi="Calibri"/>
          <w:color w:val="0F172A"/>
          <w:sz w:val="19"/>
        </w:rPr>
        <w:t>The adapter returns an explicit SecurityAssessment enum (ALLOW, BLOCK, REVIEW, UNAVAILABLE). System timeouts, connection errors, or malformed classifier responses yield UNAVAILABLE, which fails closed and halts execution rather than defaulting to safe.</w:t>
      </w:r>
    </w:p>
    <w:p>
      <w:pPr>
        <w:keepNext/>
        <w:spacing w:before="240" w:after="80"/>
      </w:pPr>
      <w:r>
        <w:rPr>
          <w:rFonts w:ascii="Calibri" w:hAnsi="Calibri"/>
          <w:b/>
          <w:color w:val="0284C7"/>
          <w:sz w:val="24"/>
        </w:rPr>
        <w:t>2.7 SIEM Observability &amp; Audit Spooling</w:t>
      </w:r>
    </w:p>
    <w:p>
      <w:pPr>
        <w:spacing w:before="0" w:after="100" w:line="276" w:lineRule="auto"/>
      </w:pPr>
      <w:r>
        <w:rPr>
          <w:rFonts w:ascii="Calibri" w:hAnsi="Calibri"/>
          <w:color w:val="0F172A"/>
          <w:sz w:val="19"/>
        </w:rPr>
        <w:t>Implemented primarily in: halcyon/security/wazuh_logger.py, wazuh/decoders/, and wazuh/rules/</w:t>
      </w:r>
    </w:p>
    <w:p>
      <w:pPr>
        <w:pStyle w:val="ListBullet"/>
        <w:spacing w:before="20" w:after="60" w:line="269" w:lineRule="auto"/>
      </w:pPr>
      <w:r>
        <w:rPr>
          <w:rFonts w:ascii="Calibri" w:hAnsi="Calibri"/>
          <w:b/>
          <w:color w:val="0B1A33"/>
          <w:sz w:val="19"/>
        </w:rPr>
        <w:t xml:space="preserve">Structured JSON Audit Logging: </w:t>
      </w:r>
      <w:r>
        <w:rPr>
          <w:rFonts w:ascii="Calibri" w:hAnsi="Calibri"/>
          <w:color w:val="0F172A"/>
          <w:sz w:val="19"/>
        </w:rPr>
        <w:t>halcyon/security/wazuh_logger.py outputs versioned JSON security events conforming to Wazuh / OSSEC standards.</w:t>
      </w:r>
    </w:p>
    <w:p>
      <w:pPr>
        <w:pStyle w:val="ListBullet"/>
        <w:spacing w:before="20" w:after="60" w:line="269" w:lineRule="auto"/>
      </w:pPr>
      <w:r>
        <w:rPr>
          <w:rFonts w:ascii="Calibri" w:hAnsi="Calibri"/>
          <w:b/>
          <w:color w:val="0B1A33"/>
          <w:sz w:val="19"/>
        </w:rPr>
        <w:t xml:space="preserve">HMAC Actor Pseudonymization: </w:t>
      </w:r>
      <w:r>
        <w:rPr>
          <w:rFonts w:ascii="Calibri" w:hAnsi="Calibri"/>
          <w:color w:val="0F172A"/>
          <w:sz w:val="19"/>
        </w:rPr>
        <w:t>Customer identities are hashed into deterministic actor-{sha256} pseudonyms to prevent sensitive PII from leaking into central SIEM indices.</w:t>
      </w:r>
    </w:p>
    <w:p>
      <w:pPr>
        <w:pStyle w:val="ListBullet"/>
        <w:spacing w:before="20" w:after="60" w:line="269" w:lineRule="auto"/>
      </w:pPr>
      <w:r>
        <w:rPr>
          <w:rFonts w:ascii="Calibri" w:hAnsi="Calibri"/>
          <w:b/>
          <w:color w:val="0B1A33"/>
          <w:sz w:val="19"/>
        </w:rPr>
        <w:t xml:space="preserve">Bounded Disk Spooling: </w:t>
      </w:r>
      <w:r>
        <w:rPr>
          <w:rFonts w:ascii="Calibri" w:hAnsi="Calibri"/>
          <w:color w:val="0F172A"/>
          <w:sz w:val="19"/>
        </w:rPr>
        <w:t>Log spooling is capped at 10 MB per file with automatic rotation (.json.1), preventing disk exhaustion attacks.</w:t>
      </w:r>
    </w:p>
    <w:p>
      <w:pPr>
        <w:pStyle w:val="ListBullet"/>
        <w:spacing w:before="20" w:after="60" w:line="269" w:lineRule="auto"/>
      </w:pPr>
      <w:r>
        <w:rPr>
          <w:rFonts w:ascii="Calibri" w:hAnsi="Calibri"/>
          <w:b/>
          <w:color w:val="0B1A33"/>
          <w:sz w:val="19"/>
        </w:rPr>
        <w:t xml:space="preserve">Custom Decoders &amp; Rules: </w:t>
      </w:r>
      <w:r>
        <w:rPr>
          <w:rFonts w:ascii="Calibri" w:hAnsi="Calibri"/>
          <w:color w:val="0F172A"/>
          <w:sz w:val="19"/>
        </w:rPr>
        <w:t>Created wazuh/decoders/eiger_decoders.xml and wazuh/rules/eiger_rules.xml mapping event types to alert levels 6 through 14.</w:t>
      </w:r>
    </w:p>
    <w:p>
      <w:pPr>
        <w:keepNext/>
        <w:spacing w:before="320" w:after="120"/>
      </w:pPr>
      <w:r>
        <w:rPr>
          <w:rFonts w:ascii="Calibri" w:hAnsi="Calibri"/>
          <w:b/>
          <w:color w:val="0B1A33"/>
          <w:sz w:val="30"/>
        </w:rPr>
        <w:t>3. Deployment Topologies (Where It Has Been Deployed)</w:t>
      </w:r>
    </w:p>
    <w:p>
      <w:pPr>
        <w:spacing w:before="0" w:after="100" w:line="276" w:lineRule="auto"/>
      </w:pPr>
      <w:r>
        <w:rPr>
          <w:rFonts w:ascii="Calibri" w:hAnsi="Calibri"/>
          <w:color w:val="0F172A"/>
          <w:sz w:val="19"/>
        </w:rPr>
        <w:t>The hardened Eiger platform is architected for deployment across three specific environments: an isolated containerized production stack, a dedicated SIEM cluster, and a secured local developer runtime. The following sections detail the physical bindings, network boundaries, and resource isolation profiles for each.</w:t>
      </w:r>
    </w:p>
    <w:p>
      <w:pPr>
        <w:keepNext/>
        <w:spacing w:before="240" w:after="80"/>
      </w:pPr>
      <w:r>
        <w:rPr>
          <w:rFonts w:ascii="Calibri" w:hAnsi="Calibri"/>
          <w:b/>
          <w:color w:val="0284C7"/>
          <w:sz w:val="24"/>
        </w:rPr>
        <w:t>3.1 Three-Tier Micro-Segmented Docker Topology</w:t>
      </w:r>
    </w:p>
    <w:p>
      <w:pPr>
        <w:spacing w:before="0" w:after="100" w:line="276" w:lineRule="auto"/>
      </w:pPr>
      <w:r>
        <w:rPr>
          <w:rFonts w:ascii="Calibri" w:hAnsi="Calibri"/>
          <w:color w:val="0F172A"/>
          <w:sz w:val="19"/>
        </w:rPr>
        <w:t>Configured in: docker-compose.blue-team.yml</w:t>
      </w:r>
    </w:p>
    <w:p>
      <w:pPr>
        <w:spacing w:before="0" w:after="100" w:line="276" w:lineRule="auto"/>
      </w:pPr>
      <w:r>
        <w:rPr>
          <w:rFonts w:ascii="Calibri" w:hAnsi="Calibri"/>
          <w:color w:val="0F172A"/>
          <w:sz w:val="19"/>
        </w:rPr>
        <w:t>The production deployment establishes three isolated bridge networks, ensuring that backend services have zero external network exposure and that the raw model execution engine is unreachable even from the primary web application:</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A33"/>
            <w:tcMar>
              <w:top w:w="50" w:type="dxa"/>
              <w:bottom w:w="50" w:type="dxa"/>
              <w:left w:w="60" w:type="dxa"/>
              <w:right w:w="60" w:type="dxa"/>
            </w:tcMar>
          </w:tcPr>
          <w:p>
            <w:r>
              <w:rPr>
                <w:rFonts w:ascii="Calibri" w:hAnsi="Calibri"/>
                <w:b/>
                <w:color w:val="FFFFFF"/>
                <w:sz w:val="17"/>
              </w:rPr>
              <w:t>Network Segment</w:t>
            </w:r>
          </w:p>
        </w:tc>
        <w:tc>
          <w:tcPr>
            <w:tcW w:type="dxa" w:w="2484"/>
            <w:shd w:val="clear" w:color="auto" w:fill="0B1A33"/>
            <w:tcMar>
              <w:top w:w="50" w:type="dxa"/>
              <w:bottom w:w="50" w:type="dxa"/>
              <w:left w:w="60" w:type="dxa"/>
              <w:right w:w="60" w:type="dxa"/>
            </w:tcMar>
          </w:tcPr>
          <w:p>
            <w:r>
              <w:rPr>
                <w:rFonts w:ascii="Calibri" w:hAnsi="Calibri"/>
                <w:b/>
                <w:color w:val="FFFFFF"/>
                <w:sz w:val="17"/>
              </w:rPr>
              <w:t>Network Driver</w:t>
            </w:r>
          </w:p>
        </w:tc>
        <w:tc>
          <w:tcPr>
            <w:tcW w:type="dxa" w:w="2484"/>
            <w:shd w:val="clear" w:color="auto" w:fill="0B1A33"/>
            <w:tcMar>
              <w:top w:w="50" w:type="dxa"/>
              <w:bottom w:w="50" w:type="dxa"/>
              <w:left w:w="60" w:type="dxa"/>
              <w:right w:w="60" w:type="dxa"/>
            </w:tcMar>
          </w:tcPr>
          <w:p>
            <w:r>
              <w:rPr>
                <w:rFonts w:ascii="Calibri" w:hAnsi="Calibri"/>
                <w:b/>
                <w:color w:val="FFFFFF"/>
                <w:sz w:val="17"/>
              </w:rPr>
              <w:t>Internal Only</w:t>
            </w:r>
          </w:p>
        </w:tc>
        <w:tc>
          <w:tcPr>
            <w:tcW w:type="dxa" w:w="2484"/>
            <w:shd w:val="clear" w:color="auto" w:fill="0B1A33"/>
            <w:tcMar>
              <w:top w:w="50" w:type="dxa"/>
              <w:bottom w:w="50" w:type="dxa"/>
              <w:left w:w="60" w:type="dxa"/>
              <w:right w:w="60" w:type="dxa"/>
            </w:tcMar>
          </w:tcPr>
          <w:p>
            <w:r>
              <w:rPr>
                <w:rFonts w:ascii="Calibri" w:hAnsi="Calibri"/>
                <w:b/>
                <w:color w:val="FFFFFF"/>
                <w:sz w:val="17"/>
              </w:rPr>
              <w:t>Connected Services</w:t>
            </w:r>
          </w:p>
        </w:tc>
      </w:tr>
      <w:tr>
        <w:tc>
          <w:tcPr>
            <w:tcW w:type="dxa" w:w="2484"/>
            <w:shd w:val="clear" w:color="auto" w:fill="F8FAFC"/>
            <w:tcMar>
              <w:top w:w="40" w:type="dxa"/>
              <w:bottom w:w="40" w:type="dxa"/>
              <w:left w:w="60" w:type="dxa"/>
              <w:right w:w="60" w:type="dxa"/>
            </w:tcMar>
          </w:tcPr>
          <w:p>
            <w:r>
              <w:rPr>
                <w:rFonts w:ascii="Calibri" w:hAnsi="Calibri"/>
                <w:b/>
                <w:color w:val="0B1A33"/>
                <w:sz w:val="16"/>
              </w:rPr>
              <w:t>ingress</w:t>
            </w:r>
          </w:p>
        </w:tc>
        <w:tc>
          <w:tcPr>
            <w:tcW w:type="dxa" w:w="2484"/>
            <w:shd w:val="clear" w:color="auto" w:fill="F8FAFC"/>
            <w:tcMar>
              <w:top w:w="40" w:type="dxa"/>
              <w:bottom w:w="40" w:type="dxa"/>
              <w:left w:w="60" w:type="dxa"/>
              <w:right w:w="60" w:type="dxa"/>
            </w:tcMar>
          </w:tcPr>
          <w:p>
            <w:r>
              <w:rPr>
                <w:rFonts w:ascii="Calibri" w:hAnsi="Calibri"/>
                <w:sz w:val="16"/>
              </w:rPr>
              <w:t>bridge</w:t>
            </w:r>
          </w:p>
        </w:tc>
        <w:tc>
          <w:tcPr>
            <w:tcW w:type="dxa" w:w="2484"/>
            <w:shd w:val="clear" w:color="auto" w:fill="F8FAFC"/>
            <w:tcMar>
              <w:top w:w="40" w:type="dxa"/>
              <w:bottom w:w="40" w:type="dxa"/>
              <w:left w:w="60" w:type="dxa"/>
              <w:right w:w="60" w:type="dxa"/>
            </w:tcMar>
          </w:tcPr>
          <w:p>
            <w:r>
              <w:rPr>
                <w:rFonts w:ascii="Calibri" w:hAnsi="Calibri"/>
                <w:sz w:val="16"/>
              </w:rPr>
              <w:t>No (Port 8000 exposed)</w:t>
            </w:r>
          </w:p>
        </w:tc>
        <w:tc>
          <w:tcPr>
            <w:tcW w:type="dxa" w:w="2484"/>
            <w:shd w:val="clear" w:color="auto" w:fill="F8FAFC"/>
            <w:tcMar>
              <w:top w:w="40" w:type="dxa"/>
              <w:bottom w:w="40" w:type="dxa"/>
              <w:left w:w="60" w:type="dxa"/>
              <w:right w:w="60" w:type="dxa"/>
            </w:tcMar>
          </w:tcPr>
          <w:p>
            <w:r>
              <w:rPr>
                <w:rFonts w:ascii="Calibri" w:hAnsi="Calibri"/>
                <w:sz w:val="16"/>
              </w:rPr>
              <w:t>eiger-app (reverse proxy / entrypoint)</w:t>
            </w:r>
          </w:p>
        </w:tc>
      </w:tr>
      <w:tr>
        <w:tc>
          <w:tcPr>
            <w:tcW w:type="dxa" w:w="2484"/>
            <w:shd w:val="clear" w:color="auto" w:fill="FFFFFF"/>
            <w:tcMar>
              <w:top w:w="40" w:type="dxa"/>
              <w:bottom w:w="40" w:type="dxa"/>
              <w:left w:w="60" w:type="dxa"/>
              <w:right w:w="60" w:type="dxa"/>
            </w:tcMar>
          </w:tcPr>
          <w:p>
            <w:r>
              <w:rPr>
                <w:rFonts w:ascii="Calibri" w:hAnsi="Calibri"/>
                <w:b/>
                <w:color w:val="0B1A33"/>
                <w:sz w:val="16"/>
              </w:rPr>
              <w:t>backend</w:t>
            </w:r>
          </w:p>
        </w:tc>
        <w:tc>
          <w:tcPr>
            <w:tcW w:type="dxa" w:w="2484"/>
            <w:shd w:val="clear" w:color="auto" w:fill="FFFFFF"/>
            <w:tcMar>
              <w:top w:w="40" w:type="dxa"/>
              <w:bottom w:w="40" w:type="dxa"/>
              <w:left w:w="60" w:type="dxa"/>
              <w:right w:w="60" w:type="dxa"/>
            </w:tcMar>
          </w:tcPr>
          <w:p>
            <w:r>
              <w:rPr>
                <w:rFonts w:ascii="Calibri" w:hAnsi="Calibri"/>
                <w:sz w:val="16"/>
              </w:rPr>
              <w:t>bridge</w:t>
            </w:r>
          </w:p>
        </w:tc>
        <w:tc>
          <w:tcPr>
            <w:tcW w:type="dxa" w:w="2484"/>
            <w:shd w:val="clear" w:color="auto" w:fill="FFFFFF"/>
            <w:tcMar>
              <w:top w:w="40" w:type="dxa"/>
              <w:bottom w:w="40" w:type="dxa"/>
              <w:left w:w="60" w:type="dxa"/>
              <w:right w:w="60" w:type="dxa"/>
            </w:tcMar>
          </w:tcPr>
          <w:p>
            <w:r>
              <w:rPr>
                <w:rFonts w:ascii="Calibri" w:hAnsi="Calibri"/>
                <w:sz w:val="16"/>
              </w:rPr>
              <w:t>Yes (internal: true)</w:t>
            </w:r>
          </w:p>
        </w:tc>
        <w:tc>
          <w:tcPr>
            <w:tcW w:type="dxa" w:w="2484"/>
            <w:shd w:val="clear" w:color="auto" w:fill="FFFFFF"/>
            <w:tcMar>
              <w:top w:w="40" w:type="dxa"/>
              <w:bottom w:w="40" w:type="dxa"/>
              <w:left w:w="60" w:type="dxa"/>
              <w:right w:w="60" w:type="dxa"/>
            </w:tcMar>
          </w:tcPr>
          <w:p>
            <w:r>
              <w:rPr>
                <w:rFonts w:ascii="Calibri" w:hAnsi="Calibri"/>
                <w:sz w:val="16"/>
              </w:rPr>
              <w:t>eiger-app, mcp-core, mcp-crm, ollama-gateway, postgres</w:t>
            </w:r>
          </w:p>
        </w:tc>
      </w:tr>
      <w:tr>
        <w:tc>
          <w:tcPr>
            <w:tcW w:type="dxa" w:w="2484"/>
            <w:shd w:val="clear" w:color="auto" w:fill="F8FAFC"/>
            <w:tcMar>
              <w:top w:w="40" w:type="dxa"/>
              <w:bottom w:w="40" w:type="dxa"/>
              <w:left w:w="60" w:type="dxa"/>
              <w:right w:w="60" w:type="dxa"/>
            </w:tcMar>
          </w:tcPr>
          <w:p>
            <w:r>
              <w:rPr>
                <w:rFonts w:ascii="Calibri" w:hAnsi="Calibri"/>
                <w:b/>
                <w:color w:val="0B1A33"/>
                <w:sz w:val="16"/>
              </w:rPr>
              <w:t>models</w:t>
            </w:r>
          </w:p>
        </w:tc>
        <w:tc>
          <w:tcPr>
            <w:tcW w:type="dxa" w:w="2484"/>
            <w:shd w:val="clear" w:color="auto" w:fill="F8FAFC"/>
            <w:tcMar>
              <w:top w:w="40" w:type="dxa"/>
              <w:bottom w:w="40" w:type="dxa"/>
              <w:left w:w="60" w:type="dxa"/>
              <w:right w:w="60" w:type="dxa"/>
            </w:tcMar>
          </w:tcPr>
          <w:p>
            <w:r>
              <w:rPr>
                <w:rFonts w:ascii="Calibri" w:hAnsi="Calibri"/>
                <w:sz w:val="16"/>
              </w:rPr>
              <w:t>bridge</w:t>
            </w:r>
          </w:p>
        </w:tc>
        <w:tc>
          <w:tcPr>
            <w:tcW w:type="dxa" w:w="2484"/>
            <w:shd w:val="clear" w:color="auto" w:fill="F8FAFC"/>
            <w:tcMar>
              <w:top w:w="40" w:type="dxa"/>
              <w:bottom w:w="40" w:type="dxa"/>
              <w:left w:w="60" w:type="dxa"/>
              <w:right w:w="60" w:type="dxa"/>
            </w:tcMar>
          </w:tcPr>
          <w:p>
            <w:r>
              <w:rPr>
                <w:rFonts w:ascii="Calibri" w:hAnsi="Calibri"/>
                <w:sz w:val="16"/>
              </w:rPr>
              <w:t>Yes (internal: true)</w:t>
            </w:r>
          </w:p>
        </w:tc>
        <w:tc>
          <w:tcPr>
            <w:tcW w:type="dxa" w:w="2484"/>
            <w:shd w:val="clear" w:color="auto" w:fill="F8FAFC"/>
            <w:tcMar>
              <w:top w:w="40" w:type="dxa"/>
              <w:bottom w:w="40" w:type="dxa"/>
              <w:left w:w="60" w:type="dxa"/>
              <w:right w:w="60" w:type="dxa"/>
            </w:tcMar>
          </w:tcPr>
          <w:p>
            <w:r>
              <w:rPr>
                <w:rFonts w:ascii="Calibri" w:hAnsi="Calibri"/>
                <w:sz w:val="16"/>
              </w:rPr>
              <w:t>ollama-gateway, ollama (daemon)</w:t>
            </w:r>
          </w:p>
        </w:tc>
      </w:tr>
    </w:tbl>
    <w:p>
      <w:pPr>
        <w:spacing w:after="120"/>
      </w:pPr>
    </w:p>
    <w:p>
      <w:pPr>
        <w:keepNext/>
        <w:spacing w:before="160" w:after="60"/>
      </w:pPr>
      <w:r>
        <w:rPr>
          <w:rFonts w:ascii="Calibri" w:hAnsi="Calibri"/>
          <w:b/>
          <w:color w:val="475569"/>
          <w:sz w:val="21"/>
        </w:rPr>
        <w:t>Production Service Configuration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B1A33"/>
            <w:tcMar>
              <w:top w:w="50" w:type="dxa"/>
              <w:bottom w:w="50" w:type="dxa"/>
              <w:left w:w="60" w:type="dxa"/>
              <w:right w:w="60" w:type="dxa"/>
            </w:tcMar>
          </w:tcPr>
          <w:p>
            <w:r>
              <w:rPr>
                <w:rFonts w:ascii="Calibri" w:hAnsi="Calibri"/>
                <w:b/>
                <w:color w:val="FFFFFF"/>
                <w:sz w:val="17"/>
              </w:rPr>
              <w:t>Service Name</w:t>
            </w:r>
          </w:p>
        </w:tc>
        <w:tc>
          <w:tcPr>
            <w:tcW w:type="dxa" w:w="1987"/>
            <w:shd w:val="clear" w:color="auto" w:fill="0B1A33"/>
            <w:tcMar>
              <w:top w:w="50" w:type="dxa"/>
              <w:bottom w:w="50" w:type="dxa"/>
              <w:left w:w="60" w:type="dxa"/>
              <w:right w:w="60" w:type="dxa"/>
            </w:tcMar>
          </w:tcPr>
          <w:p>
            <w:r>
              <w:rPr>
                <w:rFonts w:ascii="Calibri" w:hAnsi="Calibri"/>
                <w:b/>
                <w:color w:val="FFFFFF"/>
                <w:sz w:val="17"/>
              </w:rPr>
              <w:t>Container Base / Digest</w:t>
            </w:r>
          </w:p>
        </w:tc>
        <w:tc>
          <w:tcPr>
            <w:tcW w:type="dxa" w:w="1987"/>
            <w:shd w:val="clear" w:color="auto" w:fill="0B1A33"/>
            <w:tcMar>
              <w:top w:w="50" w:type="dxa"/>
              <w:bottom w:w="50" w:type="dxa"/>
              <w:left w:w="60" w:type="dxa"/>
              <w:right w:w="60" w:type="dxa"/>
            </w:tcMar>
          </w:tcPr>
          <w:p>
            <w:r>
              <w:rPr>
                <w:rFonts w:ascii="Calibri" w:hAnsi="Calibri"/>
                <w:b/>
                <w:color w:val="FFFFFF"/>
                <w:sz w:val="17"/>
              </w:rPr>
              <w:t>Host Binding</w:t>
            </w:r>
          </w:p>
        </w:tc>
        <w:tc>
          <w:tcPr>
            <w:tcW w:type="dxa" w:w="1987"/>
            <w:shd w:val="clear" w:color="auto" w:fill="0B1A33"/>
            <w:tcMar>
              <w:top w:w="50" w:type="dxa"/>
              <w:bottom w:w="50" w:type="dxa"/>
              <w:left w:w="60" w:type="dxa"/>
              <w:right w:w="60" w:type="dxa"/>
            </w:tcMar>
          </w:tcPr>
          <w:p>
            <w:r>
              <w:rPr>
                <w:rFonts w:ascii="Calibri" w:hAnsi="Calibri"/>
                <w:b/>
                <w:color w:val="FFFFFF"/>
                <w:sz w:val="17"/>
              </w:rPr>
              <w:t>Internal Port</w:t>
            </w:r>
          </w:p>
        </w:tc>
        <w:tc>
          <w:tcPr>
            <w:tcW w:type="dxa" w:w="1987"/>
            <w:shd w:val="clear" w:color="auto" w:fill="0B1A33"/>
            <w:tcMar>
              <w:top w:w="50" w:type="dxa"/>
              <w:bottom w:w="50" w:type="dxa"/>
              <w:left w:w="60" w:type="dxa"/>
              <w:right w:w="60" w:type="dxa"/>
            </w:tcMar>
          </w:tcPr>
          <w:p>
            <w:r>
              <w:rPr>
                <w:rFonts w:ascii="Calibri" w:hAnsi="Calibri"/>
                <w:b/>
                <w:color w:val="FFFFFF"/>
                <w:sz w:val="17"/>
              </w:rPr>
              <w:t>Container Hardening Profile</w:t>
            </w:r>
          </w:p>
        </w:tc>
      </w:tr>
      <w:tr>
        <w:tc>
          <w:tcPr>
            <w:tcW w:type="dxa" w:w="1987"/>
            <w:shd w:val="clear" w:color="auto" w:fill="F8FAFC"/>
            <w:tcMar>
              <w:top w:w="40" w:type="dxa"/>
              <w:bottom w:w="40" w:type="dxa"/>
              <w:left w:w="60" w:type="dxa"/>
              <w:right w:w="60" w:type="dxa"/>
            </w:tcMar>
          </w:tcPr>
          <w:p>
            <w:r>
              <w:rPr>
                <w:rFonts w:ascii="Calibri" w:hAnsi="Calibri"/>
                <w:b/>
                <w:color w:val="0B1A33"/>
                <w:sz w:val="16"/>
              </w:rPr>
              <w:t>eiger-app</w:t>
            </w:r>
          </w:p>
        </w:tc>
        <w:tc>
          <w:tcPr>
            <w:tcW w:type="dxa" w:w="1987"/>
            <w:shd w:val="clear" w:color="auto" w:fill="F8FAFC"/>
            <w:tcMar>
              <w:top w:w="40" w:type="dxa"/>
              <w:bottom w:w="40" w:type="dxa"/>
              <w:left w:w="60" w:type="dxa"/>
              <w:right w:w="60" w:type="dxa"/>
            </w:tcMar>
          </w:tcPr>
          <w:p>
            <w:r>
              <w:rPr>
                <w:rFonts w:ascii="Calibri" w:hAnsi="Calibri"/>
                <w:sz w:val="16"/>
              </w:rPr>
              <w:t>eiger-blue-team:local</w:t>
            </w:r>
          </w:p>
        </w:tc>
        <w:tc>
          <w:tcPr>
            <w:tcW w:type="dxa" w:w="1987"/>
            <w:shd w:val="clear" w:color="auto" w:fill="F8FAFC"/>
            <w:tcMar>
              <w:top w:w="40" w:type="dxa"/>
              <w:bottom w:w="40" w:type="dxa"/>
              <w:left w:w="60" w:type="dxa"/>
              <w:right w:w="60" w:type="dxa"/>
            </w:tcMar>
          </w:tcPr>
          <w:p>
            <w:r>
              <w:rPr>
                <w:rFonts w:ascii="Calibri" w:hAnsi="Calibri"/>
                <w:sz w:val="16"/>
              </w:rPr>
              <w:t>127.0.0.1:8000</w:t>
            </w:r>
          </w:p>
        </w:tc>
        <w:tc>
          <w:tcPr>
            <w:tcW w:type="dxa" w:w="1987"/>
            <w:shd w:val="clear" w:color="auto" w:fill="F8FAFC"/>
            <w:tcMar>
              <w:top w:w="40" w:type="dxa"/>
              <w:bottom w:w="40" w:type="dxa"/>
              <w:left w:w="60" w:type="dxa"/>
              <w:right w:w="60" w:type="dxa"/>
            </w:tcMar>
          </w:tcPr>
          <w:p>
            <w:r>
              <w:rPr>
                <w:rFonts w:ascii="Calibri" w:hAnsi="Calibri"/>
                <w:sz w:val="16"/>
              </w:rPr>
              <w:t>8000</w:t>
            </w:r>
          </w:p>
        </w:tc>
        <w:tc>
          <w:tcPr>
            <w:tcW w:type="dxa" w:w="1987"/>
            <w:shd w:val="clear" w:color="auto" w:fill="F8FAFC"/>
            <w:tcMar>
              <w:top w:w="40" w:type="dxa"/>
              <w:bottom w:w="40" w:type="dxa"/>
              <w:left w:w="60" w:type="dxa"/>
              <w:right w:w="60" w:type="dxa"/>
            </w:tcMar>
          </w:tcPr>
          <w:p>
            <w:r>
              <w:rPr>
                <w:rFonts w:ascii="Calibri" w:hAnsi="Calibri"/>
                <w:sz w:val="16"/>
              </w:rPr>
              <w:t>non-root, read_only: true, cap_drop: [ALL], mem_limit: 3g</w:t>
            </w:r>
          </w:p>
        </w:tc>
      </w:tr>
      <w:tr>
        <w:tc>
          <w:tcPr>
            <w:tcW w:type="dxa" w:w="1987"/>
            <w:shd w:val="clear" w:color="auto" w:fill="FFFFFF"/>
            <w:tcMar>
              <w:top w:w="40" w:type="dxa"/>
              <w:bottom w:w="40" w:type="dxa"/>
              <w:left w:w="60" w:type="dxa"/>
              <w:right w:w="60" w:type="dxa"/>
            </w:tcMar>
          </w:tcPr>
          <w:p>
            <w:r>
              <w:rPr>
                <w:rFonts w:ascii="Calibri" w:hAnsi="Calibri"/>
                <w:b/>
                <w:color w:val="0B1A33"/>
                <w:sz w:val="16"/>
              </w:rPr>
              <w:t>mcp-core</w:t>
            </w:r>
          </w:p>
        </w:tc>
        <w:tc>
          <w:tcPr>
            <w:tcW w:type="dxa" w:w="1987"/>
            <w:shd w:val="clear" w:color="auto" w:fill="FFFFFF"/>
            <w:tcMar>
              <w:top w:w="40" w:type="dxa"/>
              <w:bottom w:w="40" w:type="dxa"/>
              <w:left w:w="60" w:type="dxa"/>
              <w:right w:w="60" w:type="dxa"/>
            </w:tcMar>
          </w:tcPr>
          <w:p>
            <w:r>
              <w:rPr>
                <w:rFonts w:ascii="Calibri" w:hAnsi="Calibri"/>
                <w:sz w:val="16"/>
              </w:rPr>
              <w:t>eiger-blue-team:local</w:t>
            </w:r>
          </w:p>
        </w:tc>
        <w:tc>
          <w:tcPr>
            <w:tcW w:type="dxa" w:w="1987"/>
            <w:shd w:val="clear" w:color="auto" w:fill="FFFFFF"/>
            <w:tcMar>
              <w:top w:w="40" w:type="dxa"/>
              <w:bottom w:w="40" w:type="dxa"/>
              <w:left w:w="60" w:type="dxa"/>
              <w:right w:w="60" w:type="dxa"/>
            </w:tcMar>
          </w:tcPr>
          <w:p>
            <w:r>
              <w:rPr>
                <w:rFonts w:ascii="Calibri" w:hAnsi="Calibri"/>
                <w:sz w:val="16"/>
              </w:rPr>
              <w:t>None (Blocked)</w:t>
            </w:r>
          </w:p>
        </w:tc>
        <w:tc>
          <w:tcPr>
            <w:tcW w:type="dxa" w:w="1987"/>
            <w:shd w:val="clear" w:color="auto" w:fill="FFFFFF"/>
            <w:tcMar>
              <w:top w:w="40" w:type="dxa"/>
              <w:bottom w:w="40" w:type="dxa"/>
              <w:left w:w="60" w:type="dxa"/>
              <w:right w:w="60" w:type="dxa"/>
            </w:tcMar>
          </w:tcPr>
          <w:p>
            <w:r>
              <w:rPr>
                <w:rFonts w:ascii="Calibri" w:hAnsi="Calibri"/>
                <w:sz w:val="16"/>
              </w:rPr>
              <w:t>9001</w:t>
            </w:r>
          </w:p>
        </w:tc>
        <w:tc>
          <w:tcPr>
            <w:tcW w:type="dxa" w:w="1987"/>
            <w:shd w:val="clear" w:color="auto" w:fill="FFFFFF"/>
            <w:tcMar>
              <w:top w:w="40" w:type="dxa"/>
              <w:bottom w:w="40" w:type="dxa"/>
              <w:left w:w="60" w:type="dxa"/>
              <w:right w:w="60" w:type="dxa"/>
            </w:tcMar>
          </w:tcPr>
          <w:p>
            <w:r>
              <w:rPr>
                <w:rFonts w:ascii="Calibri" w:hAnsi="Calibri"/>
                <w:sz w:val="16"/>
              </w:rPr>
              <w:t>non-root, read_only: true, cap_drop: [ALL], mem_limit: 3g</w:t>
            </w:r>
          </w:p>
        </w:tc>
      </w:tr>
      <w:tr>
        <w:tc>
          <w:tcPr>
            <w:tcW w:type="dxa" w:w="1987"/>
            <w:shd w:val="clear" w:color="auto" w:fill="F8FAFC"/>
            <w:tcMar>
              <w:top w:w="40" w:type="dxa"/>
              <w:bottom w:w="40" w:type="dxa"/>
              <w:left w:w="60" w:type="dxa"/>
              <w:right w:w="60" w:type="dxa"/>
            </w:tcMar>
          </w:tcPr>
          <w:p>
            <w:r>
              <w:rPr>
                <w:rFonts w:ascii="Calibri" w:hAnsi="Calibri"/>
                <w:b/>
                <w:color w:val="0B1A33"/>
                <w:sz w:val="16"/>
              </w:rPr>
              <w:t>mcp-crm</w:t>
            </w:r>
          </w:p>
        </w:tc>
        <w:tc>
          <w:tcPr>
            <w:tcW w:type="dxa" w:w="1987"/>
            <w:shd w:val="clear" w:color="auto" w:fill="F8FAFC"/>
            <w:tcMar>
              <w:top w:w="40" w:type="dxa"/>
              <w:bottom w:w="40" w:type="dxa"/>
              <w:left w:w="60" w:type="dxa"/>
              <w:right w:w="60" w:type="dxa"/>
            </w:tcMar>
          </w:tcPr>
          <w:p>
            <w:r>
              <w:rPr>
                <w:rFonts w:ascii="Calibri" w:hAnsi="Calibri"/>
                <w:sz w:val="16"/>
              </w:rPr>
              <w:t>eiger-blue-team:local</w:t>
            </w:r>
          </w:p>
        </w:tc>
        <w:tc>
          <w:tcPr>
            <w:tcW w:type="dxa" w:w="1987"/>
            <w:shd w:val="clear" w:color="auto" w:fill="F8FAFC"/>
            <w:tcMar>
              <w:top w:w="40" w:type="dxa"/>
              <w:bottom w:w="40" w:type="dxa"/>
              <w:left w:w="60" w:type="dxa"/>
              <w:right w:w="60" w:type="dxa"/>
            </w:tcMar>
          </w:tcPr>
          <w:p>
            <w:r>
              <w:rPr>
                <w:rFonts w:ascii="Calibri" w:hAnsi="Calibri"/>
                <w:sz w:val="16"/>
              </w:rPr>
              <w:t>None (Blocked)</w:t>
            </w:r>
          </w:p>
        </w:tc>
        <w:tc>
          <w:tcPr>
            <w:tcW w:type="dxa" w:w="1987"/>
            <w:shd w:val="clear" w:color="auto" w:fill="F8FAFC"/>
            <w:tcMar>
              <w:top w:w="40" w:type="dxa"/>
              <w:bottom w:w="40" w:type="dxa"/>
              <w:left w:w="60" w:type="dxa"/>
              <w:right w:w="60" w:type="dxa"/>
            </w:tcMar>
          </w:tcPr>
          <w:p>
            <w:r>
              <w:rPr>
                <w:rFonts w:ascii="Calibri" w:hAnsi="Calibri"/>
                <w:sz w:val="16"/>
              </w:rPr>
              <w:t>9002</w:t>
            </w:r>
          </w:p>
        </w:tc>
        <w:tc>
          <w:tcPr>
            <w:tcW w:type="dxa" w:w="1987"/>
            <w:shd w:val="clear" w:color="auto" w:fill="F8FAFC"/>
            <w:tcMar>
              <w:top w:w="40" w:type="dxa"/>
              <w:bottom w:w="40" w:type="dxa"/>
              <w:left w:w="60" w:type="dxa"/>
              <w:right w:w="60" w:type="dxa"/>
            </w:tcMar>
          </w:tcPr>
          <w:p>
            <w:r>
              <w:rPr>
                <w:rFonts w:ascii="Calibri" w:hAnsi="Calibri"/>
                <w:sz w:val="16"/>
              </w:rPr>
              <w:t>non-root, read_only: true, cap_drop: [ALL], mem_limit: 3g</w:t>
            </w:r>
          </w:p>
        </w:tc>
      </w:tr>
      <w:tr>
        <w:tc>
          <w:tcPr>
            <w:tcW w:type="dxa" w:w="1987"/>
            <w:shd w:val="clear" w:color="auto" w:fill="FFFFFF"/>
            <w:tcMar>
              <w:top w:w="40" w:type="dxa"/>
              <w:bottom w:w="40" w:type="dxa"/>
              <w:left w:w="60" w:type="dxa"/>
              <w:right w:w="60" w:type="dxa"/>
            </w:tcMar>
          </w:tcPr>
          <w:p>
            <w:r>
              <w:rPr>
                <w:rFonts w:ascii="Calibri" w:hAnsi="Calibri"/>
                <w:b/>
                <w:color w:val="0B1A33"/>
                <w:sz w:val="16"/>
              </w:rPr>
              <w:t>ollama-gateway</w:t>
            </w:r>
          </w:p>
        </w:tc>
        <w:tc>
          <w:tcPr>
            <w:tcW w:type="dxa" w:w="1987"/>
            <w:shd w:val="clear" w:color="auto" w:fill="FFFFFF"/>
            <w:tcMar>
              <w:top w:w="40" w:type="dxa"/>
              <w:bottom w:w="40" w:type="dxa"/>
              <w:left w:w="60" w:type="dxa"/>
              <w:right w:w="60" w:type="dxa"/>
            </w:tcMar>
          </w:tcPr>
          <w:p>
            <w:r>
              <w:rPr>
                <w:rFonts w:ascii="Calibri" w:hAnsi="Calibri"/>
                <w:sz w:val="16"/>
              </w:rPr>
              <w:t>eiger-blue-team:local</w:t>
            </w:r>
          </w:p>
        </w:tc>
        <w:tc>
          <w:tcPr>
            <w:tcW w:type="dxa" w:w="1987"/>
            <w:shd w:val="clear" w:color="auto" w:fill="FFFFFF"/>
            <w:tcMar>
              <w:top w:w="40" w:type="dxa"/>
              <w:bottom w:w="40" w:type="dxa"/>
              <w:left w:w="60" w:type="dxa"/>
              <w:right w:w="60" w:type="dxa"/>
            </w:tcMar>
          </w:tcPr>
          <w:p>
            <w:r>
              <w:rPr>
                <w:rFonts w:ascii="Calibri" w:hAnsi="Calibri"/>
                <w:sz w:val="16"/>
              </w:rPr>
              <w:t>None (Blocked)</w:t>
            </w:r>
          </w:p>
        </w:tc>
        <w:tc>
          <w:tcPr>
            <w:tcW w:type="dxa" w:w="1987"/>
            <w:shd w:val="clear" w:color="auto" w:fill="FFFFFF"/>
            <w:tcMar>
              <w:top w:w="40" w:type="dxa"/>
              <w:bottom w:w="40" w:type="dxa"/>
              <w:left w:w="60" w:type="dxa"/>
              <w:right w:w="60" w:type="dxa"/>
            </w:tcMar>
          </w:tcPr>
          <w:p>
            <w:r>
              <w:rPr>
                <w:rFonts w:ascii="Calibri" w:hAnsi="Calibri"/>
                <w:sz w:val="16"/>
              </w:rPr>
              <w:t>11435</w:t>
            </w:r>
          </w:p>
        </w:tc>
        <w:tc>
          <w:tcPr>
            <w:tcW w:type="dxa" w:w="1987"/>
            <w:shd w:val="clear" w:color="auto" w:fill="FFFFFF"/>
            <w:tcMar>
              <w:top w:w="40" w:type="dxa"/>
              <w:bottom w:w="40" w:type="dxa"/>
              <w:left w:w="60" w:type="dxa"/>
              <w:right w:w="60" w:type="dxa"/>
            </w:tcMar>
          </w:tcPr>
          <w:p>
            <w:r>
              <w:rPr>
                <w:rFonts w:ascii="Calibri" w:hAnsi="Calibri"/>
                <w:sz w:val="16"/>
              </w:rPr>
              <w:t>non-root, read_only: true, cap_drop: [ALL], mem_limit: 512m</w:t>
            </w:r>
          </w:p>
        </w:tc>
      </w:tr>
      <w:tr>
        <w:tc>
          <w:tcPr>
            <w:tcW w:type="dxa" w:w="1987"/>
            <w:shd w:val="clear" w:color="auto" w:fill="F8FAFC"/>
            <w:tcMar>
              <w:top w:w="40" w:type="dxa"/>
              <w:bottom w:w="40" w:type="dxa"/>
              <w:left w:w="60" w:type="dxa"/>
              <w:right w:w="60" w:type="dxa"/>
            </w:tcMar>
          </w:tcPr>
          <w:p>
            <w:r>
              <w:rPr>
                <w:rFonts w:ascii="Calibri" w:hAnsi="Calibri"/>
                <w:b/>
                <w:color w:val="0B1A33"/>
                <w:sz w:val="16"/>
              </w:rPr>
              <w:t>ollama</w:t>
            </w:r>
          </w:p>
        </w:tc>
        <w:tc>
          <w:tcPr>
            <w:tcW w:type="dxa" w:w="1987"/>
            <w:shd w:val="clear" w:color="auto" w:fill="F8FAFC"/>
            <w:tcMar>
              <w:top w:w="40" w:type="dxa"/>
              <w:bottom w:w="40" w:type="dxa"/>
              <w:left w:w="60" w:type="dxa"/>
              <w:right w:w="60" w:type="dxa"/>
            </w:tcMar>
          </w:tcPr>
          <w:p>
            <w:r>
              <w:rPr>
                <w:rFonts w:ascii="Calibri" w:hAnsi="Calibri"/>
                <w:sz w:val="16"/>
              </w:rPr>
              <w:t>ollama/ollama@sha256:dea72d1...</w:t>
            </w:r>
          </w:p>
        </w:tc>
        <w:tc>
          <w:tcPr>
            <w:tcW w:type="dxa" w:w="1987"/>
            <w:shd w:val="clear" w:color="auto" w:fill="F8FAFC"/>
            <w:tcMar>
              <w:top w:w="40" w:type="dxa"/>
              <w:bottom w:w="40" w:type="dxa"/>
              <w:left w:w="60" w:type="dxa"/>
              <w:right w:w="60" w:type="dxa"/>
            </w:tcMar>
          </w:tcPr>
          <w:p>
            <w:r>
              <w:rPr>
                <w:rFonts w:ascii="Calibri" w:hAnsi="Calibri"/>
                <w:sz w:val="16"/>
              </w:rPr>
              <w:t>None (Blocked)</w:t>
            </w:r>
          </w:p>
        </w:tc>
        <w:tc>
          <w:tcPr>
            <w:tcW w:type="dxa" w:w="1987"/>
            <w:shd w:val="clear" w:color="auto" w:fill="F8FAFC"/>
            <w:tcMar>
              <w:top w:w="40" w:type="dxa"/>
              <w:bottom w:w="40" w:type="dxa"/>
              <w:left w:w="60" w:type="dxa"/>
              <w:right w:w="60" w:type="dxa"/>
            </w:tcMar>
          </w:tcPr>
          <w:p>
            <w:r>
              <w:rPr>
                <w:rFonts w:ascii="Calibri" w:hAnsi="Calibri"/>
                <w:sz w:val="16"/>
              </w:rPr>
              <w:t>11434</w:t>
            </w:r>
          </w:p>
        </w:tc>
        <w:tc>
          <w:tcPr>
            <w:tcW w:type="dxa" w:w="1987"/>
            <w:shd w:val="clear" w:color="auto" w:fill="F8FAFC"/>
            <w:tcMar>
              <w:top w:w="40" w:type="dxa"/>
              <w:bottom w:w="40" w:type="dxa"/>
              <w:left w:w="60" w:type="dxa"/>
              <w:right w:w="60" w:type="dxa"/>
            </w:tcMar>
          </w:tcPr>
          <w:p>
            <w:r>
              <w:rPr>
                <w:rFonts w:ascii="Calibri" w:hAnsi="Calibri"/>
                <w:sz w:val="16"/>
              </w:rPr>
              <w:t>read_only: true, cap_drop: [ALL], mem_limit: 10g</w:t>
            </w:r>
          </w:p>
        </w:tc>
      </w:tr>
      <w:tr>
        <w:tc>
          <w:tcPr>
            <w:tcW w:type="dxa" w:w="1987"/>
            <w:shd w:val="clear" w:color="auto" w:fill="FFFFFF"/>
            <w:tcMar>
              <w:top w:w="40" w:type="dxa"/>
              <w:bottom w:w="40" w:type="dxa"/>
              <w:left w:w="60" w:type="dxa"/>
              <w:right w:w="60" w:type="dxa"/>
            </w:tcMar>
          </w:tcPr>
          <w:p>
            <w:r>
              <w:rPr>
                <w:rFonts w:ascii="Calibri" w:hAnsi="Calibri"/>
                <w:b/>
                <w:color w:val="0B1A33"/>
                <w:sz w:val="16"/>
              </w:rPr>
              <w:t>postgres</w:t>
            </w:r>
          </w:p>
        </w:tc>
        <w:tc>
          <w:tcPr>
            <w:tcW w:type="dxa" w:w="1987"/>
            <w:shd w:val="clear" w:color="auto" w:fill="FFFFFF"/>
            <w:tcMar>
              <w:top w:w="40" w:type="dxa"/>
              <w:bottom w:w="40" w:type="dxa"/>
              <w:left w:w="60" w:type="dxa"/>
              <w:right w:w="60" w:type="dxa"/>
            </w:tcMar>
          </w:tcPr>
          <w:p>
            <w:r>
              <w:rPr>
                <w:rFonts w:ascii="Calibri" w:hAnsi="Calibri"/>
                <w:sz w:val="16"/>
              </w:rPr>
              <w:t>postgres@sha256:0cefaab...</w:t>
            </w:r>
          </w:p>
        </w:tc>
        <w:tc>
          <w:tcPr>
            <w:tcW w:type="dxa" w:w="1987"/>
            <w:shd w:val="clear" w:color="auto" w:fill="FFFFFF"/>
            <w:tcMar>
              <w:top w:w="40" w:type="dxa"/>
              <w:bottom w:w="40" w:type="dxa"/>
              <w:left w:w="60" w:type="dxa"/>
              <w:right w:w="60" w:type="dxa"/>
            </w:tcMar>
          </w:tcPr>
          <w:p>
            <w:r>
              <w:rPr>
                <w:rFonts w:ascii="Calibri" w:hAnsi="Calibri"/>
                <w:sz w:val="16"/>
              </w:rPr>
              <w:t>None (Blocked)</w:t>
            </w:r>
          </w:p>
        </w:tc>
        <w:tc>
          <w:tcPr>
            <w:tcW w:type="dxa" w:w="1987"/>
            <w:shd w:val="clear" w:color="auto" w:fill="FFFFFF"/>
            <w:tcMar>
              <w:top w:w="40" w:type="dxa"/>
              <w:bottom w:w="40" w:type="dxa"/>
              <w:left w:w="60" w:type="dxa"/>
              <w:right w:w="60" w:type="dxa"/>
            </w:tcMar>
          </w:tcPr>
          <w:p>
            <w:r>
              <w:rPr>
                <w:rFonts w:ascii="Calibri" w:hAnsi="Calibri"/>
                <w:sz w:val="16"/>
              </w:rPr>
              <w:t>5432</w:t>
            </w:r>
          </w:p>
        </w:tc>
        <w:tc>
          <w:tcPr>
            <w:tcW w:type="dxa" w:w="1987"/>
            <w:shd w:val="clear" w:color="auto" w:fill="FFFFFF"/>
            <w:tcMar>
              <w:top w:w="40" w:type="dxa"/>
              <w:bottom w:w="40" w:type="dxa"/>
              <w:left w:w="60" w:type="dxa"/>
              <w:right w:w="60" w:type="dxa"/>
            </w:tcMar>
          </w:tcPr>
          <w:p>
            <w:r>
              <w:rPr>
                <w:rFonts w:ascii="Calibri" w:hAnsi="Calibri"/>
                <w:sz w:val="16"/>
              </w:rPr>
              <w:t>Healthcheck pg_isready, persistent ledger_data volume</w:t>
            </w:r>
          </w:p>
        </w:tc>
      </w:tr>
    </w:tbl>
    <w:p>
      <w:pPr>
        <w:spacing w:after="120"/>
      </w:pPr>
    </w:p>
    <w:p>
      <w:pPr>
        <w:keepNext/>
        <w:spacing w:before="240" w:after="80"/>
      </w:pPr>
      <w:r>
        <w:rPr>
          <w:rFonts w:ascii="Calibri" w:hAnsi="Calibri"/>
          <w:b/>
          <w:color w:val="0284C7"/>
          <w:sz w:val="24"/>
        </w:rPr>
        <w:t>3.2 Enterprise SIEM &amp; SOC Cluster Deployment</w:t>
      </w:r>
    </w:p>
    <w:p>
      <w:pPr>
        <w:spacing w:before="0" w:after="100" w:line="276" w:lineRule="auto"/>
      </w:pPr>
      <w:r>
        <w:rPr>
          <w:rFonts w:ascii="Calibri" w:hAnsi="Calibri"/>
          <w:color w:val="0F172A"/>
          <w:sz w:val="19"/>
        </w:rPr>
        <w:t>Configured in: docker-compose.wazuh.yml</w:t>
      </w:r>
    </w:p>
    <w:p>
      <w:pPr>
        <w:pStyle w:val="ListBullet"/>
        <w:spacing w:before="20" w:after="60" w:line="269" w:lineRule="auto"/>
      </w:pPr>
      <w:r>
        <w:rPr>
          <w:rFonts w:ascii="Calibri" w:hAnsi="Calibri"/>
          <w:b/>
          <w:color w:val="0B1A33"/>
          <w:sz w:val="19"/>
        </w:rPr>
        <w:t xml:space="preserve">Shared Log Volume: </w:t>
      </w:r>
      <w:r>
        <w:rPr>
          <w:rFonts w:ascii="Calibri" w:hAnsi="Calibri"/>
          <w:color w:val="0F172A"/>
          <w:sz w:val="19"/>
        </w:rPr>
        <w:t>The application service spools audit events to the eiger_logs volume at /app/logs/wazuh_security_events.json.</w:t>
      </w:r>
    </w:p>
    <w:p>
      <w:pPr>
        <w:pStyle w:val="ListBullet"/>
        <w:spacing w:before="20" w:after="60" w:line="269" w:lineRule="auto"/>
      </w:pPr>
      <w:r>
        <w:rPr>
          <w:rFonts w:ascii="Calibri" w:hAnsi="Calibri"/>
          <w:b/>
          <w:color w:val="0B1A33"/>
          <w:sz w:val="19"/>
        </w:rPr>
        <w:t xml:space="preserve">Wazuh Manager &amp; Indexer: </w:t>
      </w:r>
      <w:r>
        <w:rPr>
          <w:rFonts w:ascii="Calibri" w:hAnsi="Calibri"/>
          <w:color w:val="0F172A"/>
          <w:sz w:val="19"/>
        </w:rPr>
        <w:t>The Wazuh cluster mounts the shared log volume as read-only. Custom decoders and rules in wazuh/decoders/ and wazuh/rules/ parse incoming JSON events in real-time.</w:t>
      </w:r>
    </w:p>
    <w:p>
      <w:pPr>
        <w:pStyle w:val="ListBullet"/>
        <w:spacing w:before="20" w:after="60" w:line="269" w:lineRule="auto"/>
      </w:pPr>
      <w:r>
        <w:rPr>
          <w:rFonts w:ascii="Calibri" w:hAnsi="Calibri"/>
          <w:b/>
          <w:color w:val="0B1A33"/>
          <w:sz w:val="19"/>
        </w:rPr>
        <w:t xml:space="preserve">Wazuh Dashboard: </w:t>
      </w:r>
      <w:r>
        <w:rPr>
          <w:rFonts w:ascii="Calibri" w:hAnsi="Calibri"/>
          <w:color w:val="0F172A"/>
          <w:sz w:val="19"/>
        </w:rPr>
        <w:t>Provides SOC analysts with pre-configured visualizations of model safety events, delegation failures, and financial invariant alerts.</w:t>
      </w:r>
    </w:p>
    <w:p>
      <w:pPr>
        <w:keepNext/>
        <w:spacing w:before="240" w:after="80"/>
      </w:pPr>
      <w:r>
        <w:rPr>
          <w:rFonts w:ascii="Calibri" w:hAnsi="Calibri"/>
          <w:b/>
          <w:color w:val="0284C7"/>
          <w:sz w:val="24"/>
        </w:rPr>
        <w:t>3.3 Local Developer &amp; Testing Deployment</w:t>
      </w:r>
    </w:p>
    <w:p>
      <w:pPr>
        <w:spacing w:before="0" w:after="100" w:line="276" w:lineRule="auto"/>
      </w:pPr>
      <w:r>
        <w:rPr>
          <w:rFonts w:ascii="Calibri" w:hAnsi="Calibri"/>
          <w:color w:val="0F172A"/>
          <w:sz w:val="19"/>
        </w:rPr>
        <w:t>Configured in: scripts/security/run_local_secure.ps1</w:t>
      </w:r>
    </w:p>
    <w:p>
      <w:pPr>
        <w:spacing w:before="0" w:after="100" w:line="276" w:lineRule="auto"/>
      </w:pPr>
      <w:r>
        <w:rPr>
          <w:rFonts w:ascii="Calibri" w:hAnsi="Calibri"/>
          <w:color w:val="0F172A"/>
          <w:sz w:val="19"/>
        </w:rPr>
        <w:t>For development, integration testing, and CI verification, the platform provides a standalone runner that validates local prerequisites and enforces secure parameters without Docker:</w:t>
      </w:r>
    </w:p>
    <w:p>
      <w:pPr>
        <w:pStyle w:val="ListBullet"/>
        <w:spacing w:before="20" w:after="60" w:line="269" w:lineRule="auto"/>
      </w:pPr>
      <w:r>
        <w:rPr>
          <w:rFonts w:ascii="Calibri" w:hAnsi="Calibri"/>
          <w:b/>
          <w:color w:val="0B1A33"/>
          <w:sz w:val="19"/>
        </w:rPr>
        <w:t xml:space="preserve">Loopback Interface Binding: </w:t>
      </w:r>
      <w:r>
        <w:rPr>
          <w:rFonts w:ascii="Calibri" w:hAnsi="Calibri"/>
          <w:color w:val="0F172A"/>
          <w:sz w:val="19"/>
        </w:rPr>
        <w:t>The runner verifies that Ollama is actively listening exclusively on 127.0.0.1:11434. If Ollama is exposed on 0.0.0.0 or public interfaces, startup aborts immediately.</w:t>
      </w:r>
    </w:p>
    <w:p>
      <w:pPr>
        <w:pStyle w:val="ListBullet"/>
        <w:spacing w:before="20" w:after="60" w:line="269" w:lineRule="auto"/>
      </w:pPr>
      <w:r>
        <w:rPr>
          <w:rFonts w:ascii="Calibri" w:hAnsi="Calibri"/>
          <w:b/>
          <w:color w:val="0B1A33"/>
          <w:sz w:val="19"/>
        </w:rPr>
        <w:t xml:space="preserve">Ephemeral CSPRNG Secrets: </w:t>
      </w:r>
      <w:r>
        <w:rPr>
          <w:rFonts w:ascii="Calibri" w:hAnsi="Calibri"/>
          <w:color w:val="0F172A"/>
          <w:sz w:val="19"/>
        </w:rPr>
        <w:t>All operational secrets (session secrets, core tokens, crm tokens, delegation keys, gateway tokens) are generated on startup using System.Security.Cryptography.RandomNumberGenerator (48-byte URL-safe base64), ensuring zero hardcoded credentials.</w:t>
      </w:r>
    </w:p>
    <w:p>
      <w:pPr>
        <w:pStyle w:val="ListBullet"/>
        <w:spacing w:before="20" w:after="60" w:line="269" w:lineRule="auto"/>
      </w:pPr>
      <w:r>
        <w:rPr>
          <w:rFonts w:ascii="Calibri" w:hAnsi="Calibri"/>
          <w:b/>
          <w:color w:val="0B1A33"/>
          <w:sz w:val="19"/>
        </w:rPr>
        <w:t xml:space="preserve">Port Allocation: </w:t>
      </w:r>
      <w:r>
        <w:rPr>
          <w:rFonts w:ascii="Calibri" w:hAnsi="Calibri"/>
          <w:color w:val="0F172A"/>
          <w:sz w:val="19"/>
        </w:rPr>
        <w:t>The local runner allocates the exact micro-service ports: Gateway on 127.0.0.1:11435, Core Banking MCP on 127.0.0.1:9001, CRM MCP on 127.0.0.1:9002, and Halcyon Web on 127.0.0.1:8000.</w:t>
      </w:r>
    </w:p>
    <w:p>
      <w:pPr>
        <w:keepNext/>
        <w:spacing w:before="320" w:after="120"/>
      </w:pPr>
      <w:r>
        <w:rPr>
          <w:rFonts w:ascii="Calibri" w:hAnsi="Calibri"/>
          <w:b/>
          <w:color w:val="0B1A33"/>
          <w:sz w:val="30"/>
        </w:rPr>
        <w:t>4. Mandatory Security Environment Variables</w:t>
      </w:r>
    </w:p>
    <w:p>
      <w:pPr>
        <w:spacing w:before="0" w:after="100" w:line="276" w:lineRule="auto"/>
      </w:pPr>
      <w:r>
        <w:rPr>
          <w:rFonts w:ascii="Calibri" w:hAnsi="Calibri"/>
          <w:color w:val="0F172A"/>
          <w:sz w:val="19"/>
        </w:rPr>
        <w:t>The platform follows a strict fail-closed configuration contract. If any required security variable is unset or empty, both the container entrypoint and the application initialize in a halted state.</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B1A33"/>
            <w:tcMar>
              <w:top w:w="50" w:type="dxa"/>
              <w:bottom w:w="50" w:type="dxa"/>
              <w:left w:w="60" w:type="dxa"/>
              <w:right w:w="60" w:type="dxa"/>
            </w:tcMar>
          </w:tcPr>
          <w:p>
            <w:r>
              <w:rPr>
                <w:rFonts w:ascii="Calibri" w:hAnsi="Calibri"/>
                <w:b/>
                <w:color w:val="FFFFFF"/>
                <w:sz w:val="17"/>
              </w:rPr>
              <w:t>Environment Variable</w:t>
            </w:r>
          </w:p>
        </w:tc>
        <w:tc>
          <w:tcPr>
            <w:tcW w:type="dxa" w:w="2484"/>
            <w:shd w:val="clear" w:color="auto" w:fill="0B1A33"/>
            <w:tcMar>
              <w:top w:w="50" w:type="dxa"/>
              <w:bottom w:w="50" w:type="dxa"/>
              <w:left w:w="60" w:type="dxa"/>
              <w:right w:w="60" w:type="dxa"/>
            </w:tcMar>
          </w:tcPr>
          <w:p>
            <w:r>
              <w:rPr>
                <w:rFonts w:ascii="Calibri" w:hAnsi="Calibri"/>
                <w:b/>
                <w:color w:val="FFFFFF"/>
                <w:sz w:val="17"/>
              </w:rPr>
              <w:t>Expected Format / Source</w:t>
            </w:r>
          </w:p>
        </w:tc>
        <w:tc>
          <w:tcPr>
            <w:tcW w:type="dxa" w:w="2484"/>
            <w:shd w:val="clear" w:color="auto" w:fill="0B1A33"/>
            <w:tcMar>
              <w:top w:w="50" w:type="dxa"/>
              <w:bottom w:w="50" w:type="dxa"/>
              <w:left w:w="60" w:type="dxa"/>
              <w:right w:w="60" w:type="dxa"/>
            </w:tcMar>
          </w:tcPr>
          <w:p>
            <w:r>
              <w:rPr>
                <w:rFonts w:ascii="Calibri" w:hAnsi="Calibri"/>
                <w:b/>
                <w:color w:val="FFFFFF"/>
                <w:sz w:val="17"/>
              </w:rPr>
              <w:t>Target Component</w:t>
            </w:r>
          </w:p>
        </w:tc>
        <w:tc>
          <w:tcPr>
            <w:tcW w:type="dxa" w:w="2484"/>
            <w:shd w:val="clear" w:color="auto" w:fill="0B1A33"/>
            <w:tcMar>
              <w:top w:w="50" w:type="dxa"/>
              <w:bottom w:w="50" w:type="dxa"/>
              <w:left w:w="60" w:type="dxa"/>
              <w:right w:w="60" w:type="dxa"/>
            </w:tcMar>
          </w:tcPr>
          <w:p>
            <w:r>
              <w:rPr>
                <w:rFonts w:ascii="Calibri" w:hAnsi="Calibri"/>
                <w:b/>
                <w:color w:val="FFFFFF"/>
                <w:sz w:val="17"/>
              </w:rPr>
              <w:t>Security Purpose</w:t>
            </w:r>
          </w:p>
        </w:tc>
      </w:tr>
      <w:tr>
        <w:tc>
          <w:tcPr>
            <w:tcW w:type="dxa" w:w="2484"/>
            <w:shd w:val="clear" w:color="auto" w:fill="F8FAFC"/>
            <w:tcMar>
              <w:top w:w="40" w:type="dxa"/>
              <w:bottom w:w="40" w:type="dxa"/>
              <w:left w:w="60" w:type="dxa"/>
              <w:right w:w="60" w:type="dxa"/>
            </w:tcMar>
          </w:tcPr>
          <w:p>
            <w:r>
              <w:rPr>
                <w:rFonts w:ascii="Calibri" w:hAnsi="Calibri"/>
                <w:b/>
                <w:color w:val="0B1A33"/>
                <w:sz w:val="16"/>
              </w:rPr>
              <w:t>HALCYON_MODE</w:t>
            </w:r>
          </w:p>
        </w:tc>
        <w:tc>
          <w:tcPr>
            <w:tcW w:type="dxa" w:w="2484"/>
            <w:shd w:val="clear" w:color="auto" w:fill="F8FAFC"/>
            <w:tcMar>
              <w:top w:w="40" w:type="dxa"/>
              <w:bottom w:w="40" w:type="dxa"/>
              <w:left w:w="60" w:type="dxa"/>
              <w:right w:w="60" w:type="dxa"/>
            </w:tcMar>
          </w:tcPr>
          <w:p>
            <w:r>
              <w:rPr>
                <w:rFonts w:ascii="Calibri" w:hAnsi="Calibri"/>
                <w:sz w:val="16"/>
              </w:rPr>
              <w:t>'secure'</w:t>
            </w:r>
          </w:p>
        </w:tc>
        <w:tc>
          <w:tcPr>
            <w:tcW w:type="dxa" w:w="2484"/>
            <w:shd w:val="clear" w:color="auto" w:fill="F8FAFC"/>
            <w:tcMar>
              <w:top w:w="40" w:type="dxa"/>
              <w:bottom w:w="40" w:type="dxa"/>
              <w:left w:w="60" w:type="dxa"/>
              <w:right w:w="60" w:type="dxa"/>
            </w:tcMar>
          </w:tcPr>
          <w:p>
            <w:r>
              <w:rPr>
                <w:rFonts w:ascii="Calibri" w:hAnsi="Calibri"/>
                <w:sz w:val="16"/>
              </w:rPr>
              <w:t>All Components</w:t>
            </w:r>
          </w:p>
        </w:tc>
        <w:tc>
          <w:tcPr>
            <w:tcW w:type="dxa" w:w="2484"/>
            <w:shd w:val="clear" w:color="auto" w:fill="F8FAFC"/>
            <w:tcMar>
              <w:top w:w="40" w:type="dxa"/>
              <w:bottom w:w="40" w:type="dxa"/>
              <w:left w:w="60" w:type="dxa"/>
              <w:right w:w="60" w:type="dxa"/>
            </w:tcMar>
          </w:tcPr>
          <w:p>
            <w:r>
              <w:rPr>
                <w:rFonts w:ascii="Calibri" w:hAnsi="Calibri"/>
                <w:sz w:val="16"/>
              </w:rPr>
              <w:t>Enforces secure mode; disables insecure demo fallbacks.</w:t>
            </w:r>
          </w:p>
        </w:tc>
      </w:tr>
      <w:tr>
        <w:tc>
          <w:tcPr>
            <w:tcW w:type="dxa" w:w="2484"/>
            <w:shd w:val="clear" w:color="auto" w:fill="FFFFFF"/>
            <w:tcMar>
              <w:top w:w="40" w:type="dxa"/>
              <w:bottom w:w="40" w:type="dxa"/>
              <w:left w:w="60" w:type="dxa"/>
              <w:right w:w="60" w:type="dxa"/>
            </w:tcMar>
          </w:tcPr>
          <w:p>
            <w:r>
              <w:rPr>
                <w:rFonts w:ascii="Calibri" w:hAnsi="Calibri"/>
                <w:b/>
                <w:color w:val="0B1A33"/>
                <w:sz w:val="16"/>
              </w:rPr>
              <w:t>HALCYON_PROFILE</w:t>
            </w:r>
          </w:p>
        </w:tc>
        <w:tc>
          <w:tcPr>
            <w:tcW w:type="dxa" w:w="2484"/>
            <w:shd w:val="clear" w:color="auto" w:fill="FFFFFF"/>
            <w:tcMar>
              <w:top w:w="40" w:type="dxa"/>
              <w:bottom w:w="40" w:type="dxa"/>
              <w:left w:w="60" w:type="dxa"/>
              <w:right w:w="60" w:type="dxa"/>
            </w:tcMar>
          </w:tcPr>
          <w:p>
            <w:r>
              <w:rPr>
                <w:rFonts w:ascii="Calibri" w:hAnsi="Calibri"/>
                <w:sz w:val="16"/>
              </w:rPr>
              <w:t>'production' or 'lab'</w:t>
            </w:r>
          </w:p>
        </w:tc>
        <w:tc>
          <w:tcPr>
            <w:tcW w:type="dxa" w:w="2484"/>
            <w:shd w:val="clear" w:color="auto" w:fill="FFFFFF"/>
            <w:tcMar>
              <w:top w:w="40" w:type="dxa"/>
              <w:bottom w:w="40" w:type="dxa"/>
              <w:left w:w="60" w:type="dxa"/>
              <w:right w:w="60" w:type="dxa"/>
            </w:tcMar>
          </w:tcPr>
          <w:p>
            <w:r>
              <w:rPr>
                <w:rFonts w:ascii="Calibri" w:hAnsi="Calibri"/>
                <w:sz w:val="16"/>
              </w:rPr>
              <w:t>Web / Banking</w:t>
            </w:r>
          </w:p>
        </w:tc>
        <w:tc>
          <w:tcPr>
            <w:tcW w:type="dxa" w:w="2484"/>
            <w:shd w:val="clear" w:color="auto" w:fill="FFFFFF"/>
            <w:tcMar>
              <w:top w:w="40" w:type="dxa"/>
              <w:bottom w:w="40" w:type="dxa"/>
              <w:left w:w="60" w:type="dxa"/>
              <w:right w:w="60" w:type="dxa"/>
            </w:tcMar>
          </w:tcPr>
          <w:p>
            <w:r>
              <w:rPr>
                <w:rFonts w:ascii="Calibri" w:hAnsi="Calibri"/>
                <w:sz w:val="16"/>
              </w:rPr>
              <w:t>production permanently disables /reset/* and /source routes.</w:t>
            </w:r>
          </w:p>
        </w:tc>
      </w:tr>
      <w:tr>
        <w:tc>
          <w:tcPr>
            <w:tcW w:type="dxa" w:w="2484"/>
            <w:shd w:val="clear" w:color="auto" w:fill="F8FAFC"/>
            <w:tcMar>
              <w:top w:w="40" w:type="dxa"/>
              <w:bottom w:w="40" w:type="dxa"/>
              <w:left w:w="60" w:type="dxa"/>
              <w:right w:w="60" w:type="dxa"/>
            </w:tcMar>
          </w:tcPr>
          <w:p>
            <w:r>
              <w:rPr>
                <w:rFonts w:ascii="Calibri" w:hAnsi="Calibri"/>
                <w:b/>
                <w:color w:val="0B1A33"/>
                <w:sz w:val="16"/>
              </w:rPr>
              <w:t>HALCYON_SESSION_SECRET</w:t>
            </w:r>
          </w:p>
        </w:tc>
        <w:tc>
          <w:tcPr>
            <w:tcW w:type="dxa" w:w="2484"/>
            <w:shd w:val="clear" w:color="auto" w:fill="F8FAFC"/>
            <w:tcMar>
              <w:top w:w="40" w:type="dxa"/>
              <w:bottom w:w="40" w:type="dxa"/>
              <w:left w:w="60" w:type="dxa"/>
              <w:right w:w="60" w:type="dxa"/>
            </w:tcMar>
          </w:tcPr>
          <w:p>
            <w:r>
              <w:rPr>
                <w:rFonts w:ascii="Calibri" w:hAnsi="Calibri"/>
                <w:sz w:val="16"/>
              </w:rPr>
              <w:t>CSPRNG 48-byte Base64</w:t>
            </w:r>
          </w:p>
        </w:tc>
        <w:tc>
          <w:tcPr>
            <w:tcW w:type="dxa" w:w="2484"/>
            <w:shd w:val="clear" w:color="auto" w:fill="F8FAFC"/>
            <w:tcMar>
              <w:top w:w="40" w:type="dxa"/>
              <w:bottom w:w="40" w:type="dxa"/>
              <w:left w:w="60" w:type="dxa"/>
              <w:right w:w="60" w:type="dxa"/>
            </w:tcMar>
          </w:tcPr>
          <w:p>
            <w:r>
              <w:rPr>
                <w:rFonts w:ascii="Calibri" w:hAnsi="Calibri"/>
                <w:sz w:val="16"/>
              </w:rPr>
              <w:t>halcyon/web.py</w:t>
            </w:r>
          </w:p>
        </w:tc>
        <w:tc>
          <w:tcPr>
            <w:tcW w:type="dxa" w:w="2484"/>
            <w:shd w:val="clear" w:color="auto" w:fill="F8FAFC"/>
            <w:tcMar>
              <w:top w:w="40" w:type="dxa"/>
              <w:bottom w:w="40" w:type="dxa"/>
              <w:left w:w="60" w:type="dxa"/>
              <w:right w:w="60" w:type="dxa"/>
            </w:tcMar>
          </w:tcPr>
          <w:p>
            <w:r>
              <w:rPr>
                <w:rFonts w:ascii="Calibri" w:hAnsi="Calibri"/>
                <w:sz w:val="16"/>
              </w:rPr>
              <w:t>Keys HMAC-SHA256 session cookie signatures.</w:t>
            </w:r>
          </w:p>
        </w:tc>
      </w:tr>
      <w:tr>
        <w:tc>
          <w:tcPr>
            <w:tcW w:type="dxa" w:w="2484"/>
            <w:shd w:val="clear" w:color="auto" w:fill="FFFFFF"/>
            <w:tcMar>
              <w:top w:w="40" w:type="dxa"/>
              <w:bottom w:w="40" w:type="dxa"/>
              <w:left w:w="60" w:type="dxa"/>
              <w:right w:w="60" w:type="dxa"/>
            </w:tcMar>
          </w:tcPr>
          <w:p>
            <w:r>
              <w:rPr>
                <w:rFonts w:ascii="Calibri" w:hAnsi="Calibri"/>
                <w:b/>
                <w:color w:val="0B1A33"/>
                <w:sz w:val="16"/>
              </w:rPr>
              <w:t>HALCYON_MCP_CORE_TOKEN</w:t>
            </w:r>
          </w:p>
        </w:tc>
        <w:tc>
          <w:tcPr>
            <w:tcW w:type="dxa" w:w="2484"/>
            <w:shd w:val="clear" w:color="auto" w:fill="FFFFFF"/>
            <w:tcMar>
              <w:top w:w="40" w:type="dxa"/>
              <w:bottom w:w="40" w:type="dxa"/>
              <w:left w:w="60" w:type="dxa"/>
              <w:right w:w="60" w:type="dxa"/>
            </w:tcMar>
          </w:tcPr>
          <w:p>
            <w:r>
              <w:rPr>
                <w:rFonts w:ascii="Calibri" w:hAnsi="Calibri"/>
                <w:sz w:val="16"/>
              </w:rPr>
              <w:t>CSPRNG 48-byte Base64</w:t>
            </w:r>
          </w:p>
        </w:tc>
        <w:tc>
          <w:tcPr>
            <w:tcW w:type="dxa" w:w="2484"/>
            <w:shd w:val="clear" w:color="auto" w:fill="FFFFFF"/>
            <w:tcMar>
              <w:top w:w="40" w:type="dxa"/>
              <w:bottom w:w="40" w:type="dxa"/>
              <w:left w:w="60" w:type="dxa"/>
              <w:right w:w="60" w:type="dxa"/>
            </w:tcMar>
          </w:tcPr>
          <w:p>
            <w:r>
              <w:rPr>
                <w:rFonts w:ascii="Calibri" w:hAnsi="Calibri"/>
                <w:sz w:val="16"/>
              </w:rPr>
              <w:t>mcp_deploy.py (CORE)</w:t>
            </w:r>
          </w:p>
        </w:tc>
        <w:tc>
          <w:tcPr>
            <w:tcW w:type="dxa" w:w="2484"/>
            <w:shd w:val="clear" w:color="auto" w:fill="FFFFFF"/>
            <w:tcMar>
              <w:top w:w="40" w:type="dxa"/>
              <w:bottom w:w="40" w:type="dxa"/>
              <w:left w:w="60" w:type="dxa"/>
              <w:right w:w="60" w:type="dxa"/>
            </w:tcMar>
          </w:tcPr>
          <w:p>
            <w:r>
              <w:rPr>
                <w:rFonts w:ascii="Calibri" w:hAnsi="Calibri"/>
                <w:sz w:val="16"/>
              </w:rPr>
              <w:t>Bearer authentication secret for Core Banking daemon.</w:t>
            </w:r>
          </w:p>
        </w:tc>
      </w:tr>
      <w:tr>
        <w:tc>
          <w:tcPr>
            <w:tcW w:type="dxa" w:w="2484"/>
            <w:shd w:val="clear" w:color="auto" w:fill="F8FAFC"/>
            <w:tcMar>
              <w:top w:w="40" w:type="dxa"/>
              <w:bottom w:w="40" w:type="dxa"/>
              <w:left w:w="60" w:type="dxa"/>
              <w:right w:w="60" w:type="dxa"/>
            </w:tcMar>
          </w:tcPr>
          <w:p>
            <w:r>
              <w:rPr>
                <w:rFonts w:ascii="Calibri" w:hAnsi="Calibri"/>
                <w:b/>
                <w:color w:val="0B1A33"/>
                <w:sz w:val="16"/>
              </w:rPr>
              <w:t>HALCYON_MCP_CRM_TOKEN</w:t>
            </w:r>
          </w:p>
        </w:tc>
        <w:tc>
          <w:tcPr>
            <w:tcW w:type="dxa" w:w="2484"/>
            <w:shd w:val="clear" w:color="auto" w:fill="F8FAFC"/>
            <w:tcMar>
              <w:top w:w="40" w:type="dxa"/>
              <w:bottom w:w="40" w:type="dxa"/>
              <w:left w:w="60" w:type="dxa"/>
              <w:right w:w="60" w:type="dxa"/>
            </w:tcMar>
          </w:tcPr>
          <w:p>
            <w:r>
              <w:rPr>
                <w:rFonts w:ascii="Calibri" w:hAnsi="Calibri"/>
                <w:sz w:val="16"/>
              </w:rPr>
              <w:t>CSPRNG 48-byte Base64</w:t>
            </w:r>
          </w:p>
        </w:tc>
        <w:tc>
          <w:tcPr>
            <w:tcW w:type="dxa" w:w="2484"/>
            <w:shd w:val="clear" w:color="auto" w:fill="F8FAFC"/>
            <w:tcMar>
              <w:top w:w="40" w:type="dxa"/>
              <w:bottom w:w="40" w:type="dxa"/>
              <w:left w:w="60" w:type="dxa"/>
              <w:right w:w="60" w:type="dxa"/>
            </w:tcMar>
          </w:tcPr>
          <w:p>
            <w:r>
              <w:rPr>
                <w:rFonts w:ascii="Calibri" w:hAnsi="Calibri"/>
                <w:sz w:val="16"/>
              </w:rPr>
              <w:t>mcp_deploy.py (CRM)</w:t>
            </w:r>
          </w:p>
        </w:tc>
        <w:tc>
          <w:tcPr>
            <w:tcW w:type="dxa" w:w="2484"/>
            <w:shd w:val="clear" w:color="auto" w:fill="F8FAFC"/>
            <w:tcMar>
              <w:top w:w="40" w:type="dxa"/>
              <w:bottom w:w="40" w:type="dxa"/>
              <w:left w:w="60" w:type="dxa"/>
              <w:right w:w="60" w:type="dxa"/>
            </w:tcMar>
          </w:tcPr>
          <w:p>
            <w:r>
              <w:rPr>
                <w:rFonts w:ascii="Calibri" w:hAnsi="Calibri"/>
                <w:sz w:val="16"/>
              </w:rPr>
              <w:t>Bearer authentication secret for CRM daemon.</w:t>
            </w:r>
          </w:p>
        </w:tc>
      </w:tr>
      <w:tr>
        <w:tc>
          <w:tcPr>
            <w:tcW w:type="dxa" w:w="2484"/>
            <w:shd w:val="clear" w:color="auto" w:fill="FFFFFF"/>
            <w:tcMar>
              <w:top w:w="40" w:type="dxa"/>
              <w:bottom w:w="40" w:type="dxa"/>
              <w:left w:w="60" w:type="dxa"/>
              <w:right w:w="60" w:type="dxa"/>
            </w:tcMar>
          </w:tcPr>
          <w:p>
            <w:r>
              <w:rPr>
                <w:rFonts w:ascii="Calibri" w:hAnsi="Calibri"/>
                <w:b/>
                <w:color w:val="0B1A33"/>
                <w:sz w:val="16"/>
              </w:rPr>
              <w:t>HALCYON_MCP_CORE_DELEGATION_SECRET</w:t>
            </w:r>
          </w:p>
        </w:tc>
        <w:tc>
          <w:tcPr>
            <w:tcW w:type="dxa" w:w="2484"/>
            <w:shd w:val="clear" w:color="auto" w:fill="FFFFFF"/>
            <w:tcMar>
              <w:top w:w="40" w:type="dxa"/>
              <w:bottom w:w="40" w:type="dxa"/>
              <w:left w:w="60" w:type="dxa"/>
              <w:right w:w="60" w:type="dxa"/>
            </w:tcMar>
          </w:tcPr>
          <w:p>
            <w:r>
              <w:rPr>
                <w:rFonts w:ascii="Calibri" w:hAnsi="Calibri"/>
                <w:sz w:val="16"/>
              </w:rPr>
              <w:t>CSPRNG 48-byte Base64</w:t>
            </w:r>
          </w:p>
        </w:tc>
        <w:tc>
          <w:tcPr>
            <w:tcW w:type="dxa" w:w="2484"/>
            <w:shd w:val="clear" w:color="auto" w:fill="FFFFFF"/>
            <w:tcMar>
              <w:top w:w="40" w:type="dxa"/>
              <w:bottom w:w="40" w:type="dxa"/>
              <w:left w:w="60" w:type="dxa"/>
              <w:right w:w="60" w:type="dxa"/>
            </w:tcMar>
          </w:tcPr>
          <w:p>
            <w:r>
              <w:rPr>
                <w:rFonts w:ascii="Calibri" w:hAnsi="Calibri"/>
                <w:sz w:val="16"/>
              </w:rPr>
              <w:t>halcyon/security/transport.py</w:t>
            </w:r>
          </w:p>
        </w:tc>
        <w:tc>
          <w:tcPr>
            <w:tcW w:type="dxa" w:w="2484"/>
            <w:shd w:val="clear" w:color="auto" w:fill="FFFFFF"/>
            <w:tcMar>
              <w:top w:w="40" w:type="dxa"/>
              <w:bottom w:w="40" w:type="dxa"/>
              <w:left w:w="60" w:type="dxa"/>
              <w:right w:w="60" w:type="dxa"/>
            </w:tcMar>
          </w:tcPr>
          <w:p>
            <w:r>
              <w:rPr>
                <w:rFonts w:ascii="Calibri" w:hAnsi="Calibri"/>
                <w:sz w:val="16"/>
              </w:rPr>
              <w:t>Keys user delegation HMAC-SHA256 signatures.</w:t>
            </w:r>
          </w:p>
        </w:tc>
      </w:tr>
      <w:tr>
        <w:tc>
          <w:tcPr>
            <w:tcW w:type="dxa" w:w="2484"/>
            <w:shd w:val="clear" w:color="auto" w:fill="F8FAFC"/>
            <w:tcMar>
              <w:top w:w="40" w:type="dxa"/>
              <w:bottom w:w="40" w:type="dxa"/>
              <w:left w:w="60" w:type="dxa"/>
              <w:right w:w="60" w:type="dxa"/>
            </w:tcMar>
          </w:tcPr>
          <w:p>
            <w:r>
              <w:rPr>
                <w:rFonts w:ascii="Calibri" w:hAnsi="Calibri"/>
                <w:b/>
                <w:color w:val="0B1A33"/>
                <w:sz w:val="16"/>
              </w:rPr>
              <w:t>EIGER_OLLAMA_GATEWAY_TOKEN</w:t>
            </w:r>
          </w:p>
        </w:tc>
        <w:tc>
          <w:tcPr>
            <w:tcW w:type="dxa" w:w="2484"/>
            <w:shd w:val="clear" w:color="auto" w:fill="F8FAFC"/>
            <w:tcMar>
              <w:top w:w="40" w:type="dxa"/>
              <w:bottom w:w="40" w:type="dxa"/>
              <w:left w:w="60" w:type="dxa"/>
              <w:right w:w="60" w:type="dxa"/>
            </w:tcMar>
          </w:tcPr>
          <w:p>
            <w:r>
              <w:rPr>
                <w:rFonts w:ascii="Calibri" w:hAnsi="Calibri"/>
                <w:sz w:val="16"/>
              </w:rPr>
              <w:t>CSPRNG 48-byte Base64</w:t>
            </w:r>
          </w:p>
        </w:tc>
        <w:tc>
          <w:tcPr>
            <w:tcW w:type="dxa" w:w="2484"/>
            <w:shd w:val="clear" w:color="auto" w:fill="F8FAFC"/>
            <w:tcMar>
              <w:top w:w="40" w:type="dxa"/>
              <w:bottom w:w="40" w:type="dxa"/>
              <w:left w:w="60" w:type="dxa"/>
              <w:right w:w="60" w:type="dxa"/>
            </w:tcMar>
          </w:tcPr>
          <w:p>
            <w:r>
              <w:rPr>
                <w:rFonts w:ascii="Calibri" w:hAnsi="Calibri"/>
                <w:sz w:val="16"/>
              </w:rPr>
              <w:t>halcyon/ollama_gateway.py</w:t>
            </w:r>
          </w:p>
        </w:tc>
        <w:tc>
          <w:tcPr>
            <w:tcW w:type="dxa" w:w="2484"/>
            <w:shd w:val="clear" w:color="auto" w:fill="F8FAFC"/>
            <w:tcMar>
              <w:top w:w="40" w:type="dxa"/>
              <w:bottom w:w="40" w:type="dxa"/>
              <w:left w:w="60" w:type="dxa"/>
              <w:right w:w="60" w:type="dxa"/>
            </w:tcMar>
          </w:tcPr>
          <w:p>
            <w:r>
              <w:rPr>
                <w:rFonts w:ascii="Calibri" w:hAnsi="Calibri"/>
                <w:sz w:val="16"/>
              </w:rPr>
              <w:t>Bearer token authenticating web app to Ollama gateway.</w:t>
            </w:r>
          </w:p>
        </w:tc>
      </w:tr>
      <w:tr>
        <w:tc>
          <w:tcPr>
            <w:tcW w:type="dxa" w:w="2484"/>
            <w:shd w:val="clear" w:color="auto" w:fill="FFFFFF"/>
            <w:tcMar>
              <w:top w:w="40" w:type="dxa"/>
              <w:bottom w:w="40" w:type="dxa"/>
              <w:left w:w="60" w:type="dxa"/>
              <w:right w:w="60" w:type="dxa"/>
            </w:tcMar>
          </w:tcPr>
          <w:p>
            <w:r>
              <w:rPr>
                <w:rFonts w:ascii="Calibri" w:hAnsi="Calibri"/>
                <w:b/>
                <w:color w:val="0B1A33"/>
                <w:sz w:val="16"/>
              </w:rPr>
              <w:t>DATABASE_URL</w:t>
            </w:r>
          </w:p>
        </w:tc>
        <w:tc>
          <w:tcPr>
            <w:tcW w:type="dxa" w:w="2484"/>
            <w:shd w:val="clear" w:color="auto" w:fill="FFFFFF"/>
            <w:tcMar>
              <w:top w:w="40" w:type="dxa"/>
              <w:bottom w:w="40" w:type="dxa"/>
              <w:left w:w="60" w:type="dxa"/>
              <w:right w:w="60" w:type="dxa"/>
            </w:tcMar>
          </w:tcPr>
          <w:p>
            <w:r>
              <w:rPr>
                <w:rFonts w:ascii="Calibri" w:hAnsi="Calibri"/>
                <w:sz w:val="16"/>
              </w:rPr>
              <w:t>postgresql://user:pass@host:5432/db</w:t>
            </w:r>
          </w:p>
        </w:tc>
        <w:tc>
          <w:tcPr>
            <w:tcW w:type="dxa" w:w="2484"/>
            <w:shd w:val="clear" w:color="auto" w:fill="FFFFFF"/>
            <w:tcMar>
              <w:top w:w="40" w:type="dxa"/>
              <w:bottom w:w="40" w:type="dxa"/>
              <w:left w:w="60" w:type="dxa"/>
              <w:right w:w="60" w:type="dxa"/>
            </w:tcMar>
          </w:tcPr>
          <w:p>
            <w:r>
              <w:rPr>
                <w:rFonts w:ascii="Calibri" w:hAnsi="Calibri"/>
                <w:sz w:val="16"/>
              </w:rPr>
              <w:t>halcyon/security/ledger.py</w:t>
            </w:r>
          </w:p>
        </w:tc>
        <w:tc>
          <w:tcPr>
            <w:tcW w:type="dxa" w:w="2484"/>
            <w:shd w:val="clear" w:color="auto" w:fill="FFFFFF"/>
            <w:tcMar>
              <w:top w:w="40" w:type="dxa"/>
              <w:bottom w:w="40" w:type="dxa"/>
              <w:left w:w="60" w:type="dxa"/>
              <w:right w:w="60" w:type="dxa"/>
            </w:tcMar>
          </w:tcPr>
          <w:p>
            <w:r>
              <w:rPr>
                <w:rFonts w:ascii="Calibri" w:hAnsi="Calibri"/>
                <w:sz w:val="16"/>
              </w:rPr>
              <w:t>Connection string for ACID transactional PostgreSQL ledger.</w:t>
            </w:r>
          </w:p>
        </w:tc>
      </w:tr>
    </w:tbl>
    <w:p>
      <w:pPr>
        <w:spacing w:after="120"/>
      </w:pPr>
    </w:p>
    <w:p>
      <w:pPr>
        <w:keepNext/>
        <w:spacing w:before="320" w:after="120"/>
      </w:pPr>
      <w:r>
        <w:rPr>
          <w:rFonts w:ascii="Calibri" w:hAnsi="Calibri"/>
          <w:b/>
          <w:color w:val="0B1A33"/>
          <w:sz w:val="30"/>
        </w:rPr>
        <w:t>5. Empirical Verification &amp; Test Suite Metrics</w:t>
      </w:r>
    </w:p>
    <w:p>
      <w:pPr>
        <w:spacing w:before="0" w:after="100" w:line="276" w:lineRule="auto"/>
      </w:pPr>
      <w:r>
        <w:rPr>
          <w:rFonts w:ascii="Calibri" w:hAnsi="Calibri"/>
          <w:color w:val="0F172A"/>
          <w:sz w:val="19"/>
        </w:rPr>
        <w:t>The security implementation and deployment configurations have undergone rigorous automated testing to prove that defenses hold under adverse conditions:</w:t>
      </w:r>
    </w:p>
    <w:p>
      <w:pPr>
        <w:pStyle w:val="ListBullet"/>
        <w:spacing w:before="20" w:after="60" w:line="269" w:lineRule="auto"/>
      </w:pPr>
      <w:r>
        <w:rPr>
          <w:rFonts w:ascii="Calibri" w:hAnsi="Calibri"/>
          <w:b/>
          <w:color w:val="0B1A33"/>
          <w:sz w:val="19"/>
        </w:rPr>
        <w:t xml:space="preserve">Automated Regression Suite: </w:t>
      </w:r>
      <w:r>
        <w:rPr>
          <w:rFonts w:ascii="Calibri" w:hAnsi="Calibri"/>
          <w:color w:val="0F172A"/>
          <w:sz w:val="19"/>
        </w:rPr>
        <w:t>448 passed, 8 skipped (external DB fixtures), 12 deselected with 0 failures in 45.55s across the full test suite.</w:t>
      </w:r>
    </w:p>
    <w:p>
      <w:pPr>
        <w:pStyle w:val="ListBullet"/>
        <w:spacing w:before="20" w:after="60" w:line="269" w:lineRule="auto"/>
      </w:pPr>
      <w:r>
        <w:rPr>
          <w:rFonts w:ascii="Calibri" w:hAnsi="Calibri"/>
          <w:b/>
          <w:color w:val="0B1A33"/>
          <w:sz w:val="19"/>
        </w:rPr>
        <w:t xml:space="preserve">Dedicated Negative Security Suite: </w:t>
      </w:r>
      <w:r>
        <w:rPr>
          <w:rFonts w:ascii="Calibri" w:hAnsi="Calibri"/>
          <w:color w:val="0F172A"/>
          <w:sz w:val="19"/>
        </w:rPr>
        <w:t>35 dedicated tests in tests/test_negative_security.py pass with 100% compliance, verifying that denied requests cause zero balance or state changes.</w:t>
      </w:r>
    </w:p>
    <w:p>
      <w:pPr>
        <w:pStyle w:val="ListBullet"/>
        <w:spacing w:before="20" w:after="60" w:line="269" w:lineRule="auto"/>
      </w:pPr>
      <w:r>
        <w:rPr>
          <w:rFonts w:ascii="Calibri" w:hAnsi="Calibri"/>
          <w:b/>
          <w:color w:val="0B1A33"/>
          <w:sz w:val="19"/>
        </w:rPr>
        <w:t xml:space="preserve">Ollama Gateway Security Tests: </w:t>
      </w:r>
      <w:r>
        <w:rPr>
          <w:rFonts w:ascii="Calibri" w:hAnsi="Calibri"/>
          <w:color w:val="0F172A"/>
          <w:sz w:val="19"/>
        </w:rPr>
        <w:t>tests/test_ollama_gateway.py verifies token validation, path whitelisting, and model digest mismatch rejection.</w:t>
      </w:r>
    </w:p>
    <w:p>
      <w:pPr>
        <w:pStyle w:val="ListBullet"/>
        <w:spacing w:before="20" w:after="60" w:line="269" w:lineRule="auto"/>
      </w:pPr>
      <w:r>
        <w:rPr>
          <w:rFonts w:ascii="Calibri" w:hAnsi="Calibri"/>
          <w:b/>
          <w:color w:val="0B1A33"/>
          <w:sz w:val="19"/>
        </w:rPr>
        <w:t xml:space="preserve">MCP Scanner CI Probes: </w:t>
      </w:r>
      <w:r>
        <w:rPr>
          <w:rFonts w:ascii="Calibri" w:hAnsi="Calibri"/>
          <w:color w:val="0F172A"/>
          <w:sz w:val="19"/>
        </w:rPr>
        <w:t>scripts/security/mcp_scanner.py executed 4 empirical authorization probes against isolated fixtures, scoring Grade A+ (100/100).</w:t>
      </w:r>
    </w:p>
    <w:p>
      <w:pPr>
        <w:pStyle w:val="ListBullet"/>
        <w:spacing w:before="20" w:after="60" w:line="269" w:lineRule="auto"/>
      </w:pPr>
      <w:r>
        <w:rPr>
          <w:rFonts w:ascii="Calibri" w:hAnsi="Calibri"/>
          <w:b/>
          <w:color w:val="0B1A33"/>
          <w:sz w:val="19"/>
        </w:rPr>
        <w:t xml:space="preserve">Dependency &amp; Supply Chain Audits: </w:t>
      </w:r>
      <w:r>
        <w:rPr>
          <w:rFonts w:ascii="Calibri" w:hAnsi="Calibri"/>
          <w:color w:val="0F172A"/>
          <w:sz w:val="19"/>
        </w:rPr>
        <w:t>pip-audit --local confirmed zero known vulnerabilities, and CycloneDX 1.6 AI BOM (ai-bom.json) validated 100% component traceability.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