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rontHeading"/>
      </w:pPr>
      <w:r>
        <w:rPr/>
        <w:t>DATATHON: ASSESSMENT SHEET</w:t>
      </w:r>
    </w:p>
    <w:p>
      <w:pPr>
        <w:jc w:val="center"/>
      </w:pPr>
      <w:r>
        <w:rPr>
          <w:i/>
        </w:rPr>
        <w:t xml:space="preserve">(Appendix B, refers Para 8.5 of General Instructions, Datathon-2026) · </w:t>
      </w:r>
      <w:r>
        <w:rPr>
          <w:b/>
          <w:i/>
        </w:rPr>
        <w:t>Self-assessment of the submission before dispatch</w:t>
      </w:r>
    </w:p>
    <w:tbl>
      <w:tblPr>
        <w:tblStyle w:val="TableGrid"/>
        <w:tblW w:w="10204" w:type="dxa"/>
        <w:jc w:val="center"/>
        <w:tblLayout w:type="fixed"/>
        <w:tblLook w:firstColumn="1" w:firstRow="1" w:lastColumn="0" w:lastRow="0" w:noHBand="0" w:noVBand="1" w:val="04A0"/>
      </w:tblPr>
      <w:tblGrid>
        <w:gridCol w:w="3535"/>
        <w:gridCol w:w="6669"/>
      </w:tblGrid>
      <w:tr>
        <w:tc>
          <w:tcPr>
            <w:tcW w:type="dxa" w:w="3535"/>
          </w:tcPr>
          <w:p>
            <w:pPr>
              <w:pStyle w:val="TableText"/>
            </w:pPr>
            <w:r>
              <w:rPr/>
              <w:t>1. Participant's Rank &amp; Name</w:t>
            </w:r>
          </w:p>
        </w:tc>
        <w:tc>
          <w:tcPr>
            <w:tcW w:type="dxa" w:w="6669"/>
          </w:tcPr>
          <w:p>
            <w:pPr>
              <w:pStyle w:val="TableText"/>
            </w:pPr>
            <w:r>
              <w:rPr/>
              <w:t>: [Rank] Arjun Jayadev</w:t>
            </w:r>
          </w:p>
        </w:tc>
      </w:tr>
      <w:tr>
        <w:tc>
          <w:tcPr>
            <w:tcW w:type="dxa" w:w="3535"/>
          </w:tcPr>
          <w:p>
            <w:pPr>
              <w:pStyle w:val="TableText"/>
            </w:pPr>
            <w:r>
              <w:rPr/>
              <w:t>2. Theme</w:t>
            </w:r>
          </w:p>
        </w:tc>
        <w:tc>
          <w:tcPr>
            <w:tcW w:type="dxa" w:w="6669"/>
          </w:tcPr>
          <w:p>
            <w:pPr>
              <w:pStyle w:val="TableText"/>
            </w:pPr>
            <w:r>
              <w:rPr/>
              <w:t>: 6.2 Global Conflicts - Impact on Supply Chains (Project DARKWATER)</w:t>
            </w:r>
          </w:p>
        </w:tc>
      </w:tr>
      <w:tr>
        <w:tc>
          <w:tcPr>
            <w:tcW w:type="dxa" w:w="3535"/>
          </w:tcPr>
          <w:p>
            <w:pPr>
              <w:pStyle w:val="TableText"/>
            </w:pPr>
            <w:r>
              <w:rPr/>
              <w:t>3. Date of Assessment</w:t>
            </w:r>
          </w:p>
        </w:tc>
        <w:tc>
          <w:tcPr>
            <w:tcW w:type="dxa" w:w="6669"/>
          </w:tcPr>
          <w:p>
            <w:pPr>
              <w:pStyle w:val="TableText"/>
            </w:pPr>
            <w:r>
              <w:rPr/>
              <w:t>: 23 Sep 2026</w:t>
            </w:r>
          </w:p>
        </w:tc>
      </w:tr>
      <w:tr>
        <w:tc>
          <w:tcPr>
            <w:tcW w:type="dxa" w:w="3535"/>
          </w:tcPr>
          <w:p>
            <w:pPr>
              <w:pStyle w:val="TableText"/>
            </w:pPr>
            <w:r>
              <w:rPr/>
              <w:t>Documents assessed</w:t>
            </w:r>
          </w:p>
        </w:tc>
        <w:tc>
          <w:tcPr>
            <w:tcW w:type="dxa" w:w="6669"/>
          </w:tcPr>
          <w:p>
            <w:pPr>
              <w:pStyle w:val="TableText"/>
            </w:pPr>
            <w:r>
              <w:rPr/>
              <w:t>: Commander's Edition (24 pp, main submission) with Full Technical Report (90 pp) as annex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/>
        <w:t>Scoring Criteria</w:t>
      </w:r>
    </w:p>
    <w:tbl>
      <w:tblPr>
        <w:tblStyle w:val="TableGrid"/>
        <w:tblW w:w="10200" w:type="dxa"/>
        <w:jc w:val="center"/>
        <w:tblLayout w:type="fixed"/>
        <w:tblLook w:firstColumn="1" w:firstRow="1" w:lastColumn="0" w:lastRow="0" w:noHBand="0" w:noVBand="1" w:val="04A0"/>
      </w:tblPr>
      <w:tblGrid>
        <w:gridCol w:w="730"/>
        <w:gridCol w:w="2188"/>
        <w:gridCol w:w="611"/>
        <w:gridCol w:w="857"/>
        <w:gridCol w:w="2907"/>
        <w:gridCol w:w="2907"/>
      </w:tblGrid>
      <w:tr>
        <w:trPr>
          <w:tblHeader w:val="true"/>
        </w:trPr>
        <w:tc>
          <w:tcPr>
            <w:tcW w:type="dxa" w:w="730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Para</w:t>
            </w:r>
          </w:p>
        </w:tc>
        <w:tc>
          <w:tcPr>
            <w:tcW w:type="dxa" w:w="2188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611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Max</w:t>
            </w:r>
          </w:p>
        </w:tc>
        <w:tc>
          <w:tcPr>
            <w:tcW w:type="dxa" w:w="85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290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Evidence in the submission</w:t>
            </w:r>
          </w:p>
        </w:tc>
        <w:tc>
          <w:tcPr>
            <w:tcW w:type="dxa" w:w="290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What would lift the mark</w:t>
            </w:r>
          </w:p>
        </w:tc>
      </w:tr>
      <w:tr>
        <w:tc>
          <w:tcPr>
            <w:tcW w:type="dxa" w:w="730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4.</w:t>
            </w:r>
          </w:p>
        </w:tc>
        <w:tc>
          <w:tcPr>
            <w:tcW w:type="dxa" w:w="611"/>
            <w:gridSpan w:val="2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DATA ANALYTICS</w:t>
            </w:r>
            <w:r>
              <w:rPr>
                <w:b/>
              </w:rPr>
              <w:t xml:space="preserve"> (40 points)</w:t>
            </w:r>
          </w:p>
        </w:tc>
        <w:tc>
          <w:tcPr>
            <w:tcW w:type="dxa" w:w="857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38 / 40</w:t>
            </w:r>
          </w:p>
        </w:tc>
        <w:tc>
          <w:tcPr>
            <w:tcW w:type="dxa" w:w="2907"/>
            <w:gridSpan w:val="2"/>
            <w:shd w:val="clear" w:color="auto" w:fill="DCE3EC"/>
          </w:tcPr>
          <w:p>
            <w:pPr>
              <w:pStyle w:val="TableText"/>
            </w:pP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4.1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Ability to understand and define the problem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8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Core question ('do ships leave or stop identifying themselves?') answers the theme text on AIS dead zones and the identification crisis in the Black Sea / Persian Gulf; aim, objectives and seven testable hypotheses stated (Ch 1).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4.2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Quality of data preprocessing and cleaning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7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Cleaning log for both files; confidence filter; MMSI validity; 67 possible feed-outage passes isolated; maritime pseudo-countries separated; fully repeatable pipeline (two runs give identical outputs).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Bring the forensic-screen table (unmatched-with-MMSI, all-dark passes) into the short edition.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4.3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Selection of appropriate analytical techniques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8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Each technique mapped to a commander's question (Annex B): change-points, survival analysis, hot-spots, clustering, difference-in-differences, event study, spatially honest machine-learning validation.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4.4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Depth and accuracy of analysis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7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Findings replicated under 8 specifications, dose-response, DiD (+5.7 pts/day, p = 0.008), stasis, out-of-sample oil-price check; failed or non-replicating claims dropped.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SAR window is 14 days; presence-vs-identity rests on two passes; defence-budget figure to be verified.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4.5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Use of relevant visualizations and insights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8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40+ charts and 11 infographics; every chart carries a one-line 'What this shows'; theatre map, four-signature and centre-of-gravity graphics.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5.</w:t>
            </w:r>
          </w:p>
        </w:tc>
        <w:tc>
          <w:tcPr>
            <w:tcW w:type="dxa" w:w="611"/>
            <w:gridSpan w:val="2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TECHNICAL SKILLS</w:t>
            </w:r>
            <w:r>
              <w:rPr>
                <w:b/>
              </w:rPr>
              <w:t xml:space="preserve"> (25 points)</w:t>
            </w:r>
          </w:p>
        </w:tc>
        <w:tc>
          <w:tcPr>
            <w:tcW w:type="dxa" w:w="857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21 / 25</w:t>
            </w:r>
          </w:p>
        </w:tc>
        <w:tc>
          <w:tcPr>
            <w:tcW w:type="dxa" w:w="2907"/>
            <w:gridSpan w:val="2"/>
            <w:shd w:val="clear" w:color="auto" w:fill="DCE3EC"/>
          </w:tcPr>
          <w:p>
            <w:pPr>
              <w:pStyle w:val="TableText"/>
            </w:pP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5.1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Proficiency in programme languages / platform / software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3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Advanced Python pipeline (11 stages). Power BI star schema, DAX and build guide prepared, but the .pbix is not yet built.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Build and submit the .pbix (mandatory, Para 8.2) and add its screenshots: +2.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5.2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Utilization of libraries and frameworks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7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6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pandas, NumPy, SciPy, statsmodels, scikit-learn, ruptures, Matplotlib/Basemap, headless-browser reporting.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Power BI visuals and DAX in the dashboard would confirm this mark.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5.3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Efficient data manipulation and transformation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7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Haversine spatial joins, scene/pass aggregation, weekly panels, star-schema export (FactConflictWeekly, FactVesselDetections).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Show Power Query steps in the .pbix: +1.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5.4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Application of statistical methods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5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Wilson intervals, chi-square, Mann-Whitney, bootstrap, permutation tests, Kaplan-Meier/Cox, ARIMA back-test, Granger.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6.</w:t>
            </w:r>
          </w:p>
        </w:tc>
        <w:tc>
          <w:tcPr>
            <w:tcW w:type="dxa" w:w="611"/>
            <w:gridSpan w:val="2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CREATIVITY AND INNOVATION</w:t>
            </w:r>
            <w:r>
              <w:rPr>
                <w:b/>
              </w:rPr>
              <w:t xml:space="preserve"> (20 points)</w:t>
            </w:r>
          </w:p>
        </w:tc>
        <w:tc>
          <w:tcPr>
            <w:tcW w:type="dxa" w:w="857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19 / 20</w:t>
            </w:r>
          </w:p>
        </w:tc>
        <w:tc>
          <w:tcPr>
            <w:tcW w:type="dxa" w:w="2907"/>
            <w:gridSpan w:val="2"/>
            <w:shd w:val="clear" w:color="auto" w:fill="DCE3EC"/>
          </w:tcPr>
          <w:p>
            <w:pPr>
              <w:pStyle w:val="TableText"/>
            </w:pP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6.1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Uniqueness and originality of the approach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6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6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Maritime Picture Assurance; Strategic Dark Ratio; presence vs identity; four signatures.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6.2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Creative problem-solving techniques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6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6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Satellite revisits used to detect held ships; survival curves turned into a 35-45 day stock rule; I&amp;W tested out-of-sample.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6.3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Innovative use of data and methods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8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7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Fuses CDM conflict + SAR/AIS data with IMF PortWatch chokepoint transits, open oil-price, rupee, energy, port data and news.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Future work: a longer SAR record with a pre-war baseline (not achievable before 30 Sep).</w:t>
            </w:r>
          </w:p>
        </w:tc>
      </w:tr>
      <w:tr>
        <w:tc>
          <w:tcPr>
            <w:tcW w:type="dxa" w:w="730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7.</w:t>
            </w:r>
          </w:p>
        </w:tc>
        <w:tc>
          <w:tcPr>
            <w:tcW w:type="dxa" w:w="611"/>
            <w:gridSpan w:val="2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COMMUNICATION</w:t>
            </w:r>
            <w:r>
              <w:rPr>
                <w:b/>
              </w:rPr>
              <w:t xml:space="preserve"> (15 points)</w:t>
            </w:r>
          </w:p>
        </w:tc>
        <w:tc>
          <w:tcPr>
            <w:tcW w:type="dxa" w:w="857"/>
            <w:shd w:val="clear" w:color="auto" w:fill="DCE3EC"/>
          </w:tcPr>
          <w:p>
            <w:pPr>
              <w:pStyle w:val="TableText"/>
            </w:pPr>
            <w:r>
              <w:rPr>
                <w:b/>
              </w:rPr>
              <w:t>14 / 15</w:t>
            </w:r>
          </w:p>
        </w:tc>
        <w:tc>
          <w:tcPr>
            <w:tcW w:type="dxa" w:w="2907"/>
            <w:gridSpan w:val="2"/>
            <w:shd w:val="clear" w:color="auto" w:fill="DCE3EC"/>
          </w:tcPr>
          <w:p>
            <w:pPr>
              <w:pStyle w:val="TableText"/>
            </w:pP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7.1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Clarity and organization of the report / presentation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5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Decision brief, story arc (Prologue, Parts I-VIII, Epilogue), 'So what' boxes, contents and annexes.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7.2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Ability to convey complex ideas concisely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4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22-page edition with plain-words glossary; executive summary is still number-dense.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Trim the executive summary to five numbers: +1.</w:t>
            </w:r>
          </w:p>
        </w:tc>
      </w:tr>
      <w:tr>
        <w:tc>
          <w:tcPr>
            <w:tcW w:type="dxa" w:w="730"/>
          </w:tcPr>
          <w:p>
            <w:pPr>
              <w:pStyle w:val="TableText"/>
            </w:pPr>
            <w:r>
              <w:rPr/>
              <w:t>7.3</w:t>
            </w:r>
          </w:p>
        </w:tc>
        <w:tc>
          <w:tcPr>
            <w:tcW w:type="dxa" w:w="2188"/>
          </w:tcPr>
          <w:p>
            <w:pPr>
              <w:pStyle w:val="TableText"/>
            </w:pPr>
            <w:r>
              <w:rPr/>
              <w:t>Engaging and informative data storytelling</w:t>
            </w:r>
          </w:p>
        </w:tc>
        <w:tc>
          <w:tcPr>
            <w:tcW w:type="dxa" w:w="611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type="dxa" w:w="857"/>
          </w:tcPr>
          <w:p>
            <w:pPr>
              <w:pStyle w:val="TableText"/>
            </w:pPr>
            <w:r>
              <w:rPr>
                <w:b/>
              </w:rPr>
              <w:t>5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Single narrative from the storm on land to the Armed Forces; each chapter links to the previous.</w:t>
            </w:r>
          </w:p>
        </w:tc>
        <w:tc>
          <w:tcPr>
            <w:tcW w:type="dxa" w:w="2907"/>
          </w:tcPr>
          <w:p>
            <w:pPr>
              <w:pStyle w:val="TableText"/>
            </w:pPr>
            <w:r>
              <w:rPr/>
              <w:t>-</w:t>
            </w:r>
          </w:p>
        </w:tc>
      </w:tr>
    </w:tbl>
    <w:p>
      <w:pPr>
        <w:spacing w:after="40" w:line="144" w:lineRule="auto"/>
      </w:pPr>
    </w:p>
    <w:tbl>
      <w:tblPr>
        <w:tblW w:w="10204" w:type="dxa"/>
        <w:jc w:val="center"/>
        <w:tblLayout w:type="fixed"/>
        <w:tblLook w:firstColumn="1" w:firstRow="1" w:lastColumn="0" w:lastRow="0" w:noHBand="0" w:noVBand="1" w:val="04A0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il"/>
              <w:left w:val="single" w:sz="24" w:color="1F3B5C"/>
              <w:bottom w:val="nil"/>
              <w:right w:val="nil"/>
            </w:tcBorders>
            <w:shd w:val="clear" w:color="auto" w:fill="EEF2F7"/>
          </w:tcPr>
          <w:p>
            <w:pPr>
              <w:spacing w:after="40"/>
              <w:jc w:val="both"/>
            </w:pPr>
            <w:r>
              <w:rPr>
                <w:b/>
              </w:rPr>
              <w:t>TOTAL: 92 / 100</w:t>
            </w:r>
            <w:r>
              <w:rPr/>
              <w:t xml:space="preserve"> as the submission stands today | </w:t>
            </w:r>
            <w:r>
              <w:rPr>
                <w:b/>
              </w:rPr>
              <w:t>96 / 100</w:t>
            </w:r>
            <w:r>
              <w:rPr/>
              <w:t xml:space="preserve"> achievable by 30 Sep once actions 1-5 below are closed. </w:t>
            </w:r>
            <w:r>
              <w:br/>
            </w:r>
            <w:r>
              <w:rPr>
                <w:b/>
              </w:rPr>
              <w:t>8. Overall Impact</w:t>
            </w:r>
            <w:r>
              <w:rPr/>
              <w:t xml:space="preserve"> - 8.1 Rate the overall impact on a scale of 1-10 : </w:t>
            </w:r>
            <w:r>
              <w:rPr>
                <w:b/>
              </w:rPr>
              <w:t>9 / 10</w:t>
            </w:r>
            <w:r>
              <w:rPr/>
              <w:t xml:space="preserve"> (a decision brief with a costed, no-new-money first phase, a validated early warning and quantified implications for all three Services). </w:t>
            </w:r>
            <w:r>
              <w:br/>
            </w:r>
            <w:r>
              <w:rPr/>
              <w:t>Sub-totals: Data Analytics 38/40 · Technical Skills 21/25 · Creativity &amp; Innovation 19/20 · Communication 14/15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/>
        <w:t>Compliance with the General Instructions</w:t>
      </w:r>
    </w:p>
    <w:tbl>
      <w:tblPr>
        <w:tblStyle w:val="TableGrid"/>
        <w:tblW w:w="10204" w:type="dxa"/>
        <w:jc w:val="center"/>
        <w:tblLayout w:type="fixed"/>
        <w:tblLook w:firstColumn="1" w:firstRow="1" w:lastColumn="0" w:lastRow="0" w:noHBand="0" w:noVBand="1" w:val="04A0"/>
      </w:tblPr>
      <w:tblGrid>
        <w:gridCol w:w="4852"/>
        <w:gridCol w:w="1294"/>
        <w:gridCol w:w="4058"/>
      </w:tblGrid>
      <w:tr>
        <w:trPr>
          <w:tblHeader w:val="true"/>
        </w:trPr>
        <w:tc>
          <w:tcPr>
            <w:tcW w:type="dxa" w:w="4852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Requirement (Gen Instr para)</w:t>
            </w:r>
          </w:p>
        </w:tc>
        <w:tc>
          <w:tcPr>
            <w:tcW w:type="dxa" w:w="1294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058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Remarks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Theme chosen from Para 6</w:t>
            </w:r>
          </w:p>
        </w:tc>
        <w:tc>
          <w:tcPr>
            <w:tcW w:type="dxa" w:w="1294"/>
            <w:shd w:val="clear" w:color="auto" w:fill="D5ECD4"/>
          </w:tcPr>
          <w:p>
            <w:pPr>
              <w:pStyle w:val="TableText"/>
            </w:pPr>
            <w:r>
              <w:rPr/>
              <w:t>Yes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6.2 Global Conflicts - Impact on Supply Chains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Theme datasets used (Para 5, 8.1)</w:t>
            </w:r>
          </w:p>
        </w:tc>
        <w:tc>
          <w:tcPr>
            <w:tcW w:type="dxa" w:w="1294"/>
            <w:shd w:val="clear" w:color="auto" w:fill="D5ECD4"/>
          </w:tcPr>
          <w:p>
            <w:pPr>
              <w:pStyle w:val="TableText"/>
            </w:pPr>
            <w:r>
              <w:rPr/>
              <w:t>Yes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ACLED Middle-East aggregates; Sentinel-1 SAR vessel detections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Other open-source datasets used, with citation (Para 5, 7)</w:t>
            </w:r>
          </w:p>
        </w:tc>
        <w:tc>
          <w:tcPr>
            <w:tcW w:type="dxa" w:w="1294"/>
            <w:shd w:val="clear" w:color="auto" w:fill="D5ECD4"/>
          </w:tcPr>
          <w:p>
            <w:pPr>
              <w:pStyle w:val="TableText"/>
            </w:pPr>
            <w:r>
              <w:rPr/>
              <w:t>Yes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IMF PortWatch (28 chokepoints, daily), EIA Brent/WTI, Fed H.10 INR/US$, Energy Institute via OWID, Natural Earth, dated news chronology; cited in Annex D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Theme text addressed: AIS dead zones, predict AIS dark spots, identification crisis (Para 6.2)</w:t>
            </w:r>
          </w:p>
        </w:tc>
        <w:tc>
          <w:tcPr>
            <w:tcW w:type="dxa" w:w="1294"/>
            <w:shd w:val="clear" w:color="auto" w:fill="D5ECD4"/>
          </w:tcPr>
          <w:p>
            <w:pPr>
              <w:pStyle w:val="TableText"/>
            </w:pPr>
            <w:r>
              <w:rPr/>
              <w:t>Yes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Ch 4 (dark zones, prediction), Annex B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Insights and recommendations for India and the Armed Forces (Para 5, 6)</w:t>
            </w:r>
          </w:p>
        </w:tc>
        <w:tc>
          <w:tcPr>
            <w:tcW w:type="dxa" w:w="1294"/>
            <w:shd w:val="clear" w:color="auto" w:fill="D5ECD4"/>
          </w:tcPr>
          <w:p>
            <w:pPr>
              <w:pStyle w:val="TableText"/>
            </w:pPr>
            <w:r>
              <w:rPr/>
              <w:t>Yes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Ch 7-9; staffed actions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Analysis submitted in PDF (Para 8.2)</w:t>
            </w:r>
          </w:p>
        </w:tc>
        <w:tc>
          <w:tcPr>
            <w:tcW w:type="dxa" w:w="1294"/>
            <w:shd w:val="clear" w:color="auto" w:fill="D5ECD4"/>
          </w:tcPr>
          <w:p>
            <w:pPr>
              <w:pStyle w:val="TableText"/>
            </w:pPr>
            <w:r>
              <w:rPr/>
              <w:t>Yes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Commander's Edition; full technical report as annex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Screenshots of data analytics software used (Para 8.2)</w:t>
            </w:r>
          </w:p>
        </w:tc>
        <w:tc>
          <w:tcPr>
            <w:tcW w:type="dxa" w:w="1294"/>
            <w:shd w:val="clear" w:color="auto" w:fill="FCEBC7"/>
          </w:tcPr>
          <w:p>
            <w:pPr>
              <w:pStyle w:val="TableText"/>
            </w:pPr>
            <w:r>
              <w:rPr/>
              <w:t>Partial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Python pipeline and code in Annex C; Power BI screenshots pending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Output files in Power BI (*.pbix) format only (Para 8.2)</w:t>
            </w:r>
          </w:p>
        </w:tc>
        <w:tc>
          <w:tcPr>
            <w:tcW w:type="dxa" w:w="1294"/>
            <w:shd w:val="clear" w:color="auto" w:fill="F6D2CC"/>
          </w:tcPr>
          <w:p>
            <w:pPr>
              <w:pStyle w:val="TableText"/>
            </w:pPr>
            <w:r>
              <w:rPr/>
              <w:t>NO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Tables, DAX and build guide ready; .pbix to be built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Personal details (Appendix A format) (Para 8.1, 8.2)</w:t>
            </w:r>
          </w:p>
        </w:tc>
        <w:tc>
          <w:tcPr>
            <w:tcW w:type="dxa" w:w="1294"/>
            <w:shd w:val="clear" w:color="auto" w:fill="F6D2CC"/>
          </w:tcPr>
          <w:p>
            <w:pPr>
              <w:pStyle w:val="TableText"/>
            </w:pPr>
            <w:r>
              <w:rPr/>
              <w:t>NO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Rank, Service No, Unit and Appendix A form pending</w:t>
            </w:r>
          </w:p>
        </w:tc>
      </w:tr>
      <w:tr>
        <w:tc>
          <w:tcPr>
            <w:tcW w:type="dxa" w:w="4852"/>
          </w:tcPr>
          <w:p>
            <w:pPr>
              <w:pStyle w:val="TableText"/>
            </w:pPr>
            <w:r>
              <w:rPr/>
              <w:t>Submitted to datathon.ids@gov.in by 30 Sep 26 (Para 8.2)</w:t>
            </w:r>
          </w:p>
        </w:tc>
        <w:tc>
          <w:tcPr>
            <w:tcW w:type="dxa" w:w="1294"/>
            <w:shd w:val="clear" w:color="auto" w:fill="FCEBC7"/>
          </w:tcPr>
          <w:p>
            <w:pPr>
              <w:pStyle w:val="TableText"/>
            </w:pPr>
            <w:r>
              <w:rPr/>
              <w:t>Pending</w:t>
            </w:r>
          </w:p>
        </w:tc>
        <w:tc>
          <w:tcPr>
            <w:tcW w:type="dxa" w:w="4058"/>
          </w:tcPr>
          <w:p>
            <w:pPr>
              <w:pStyle w:val="TableText"/>
            </w:pPr>
            <w:r>
              <w:rPr/>
              <w:t>-</w:t>
            </w:r>
          </w:p>
        </w:tc>
      </w:tr>
    </w:tbl>
    <w:p>
      <w:pPr>
        <w:spacing w:after="40" w:line="144" w:lineRule="auto"/>
      </w:pPr>
    </w:p>
    <w:p>
      <w:pPr>
        <w:pStyle w:val="Heading2"/>
      </w:pPr>
      <w:r>
        <w:rPr/>
        <w:t>Actions to close before 30 Sep 26</w:t>
      </w:r>
    </w:p>
    <w:tbl>
      <w:tblPr>
        <w:tblStyle w:val="TableGrid"/>
        <w:tblW w:w="10203" w:type="dxa"/>
        <w:jc w:val="center"/>
        <w:tblLayout w:type="fixed"/>
        <w:tblLook w:firstColumn="1" w:firstRow="1" w:lastColumn="0" w:lastRow="0" w:noHBand="0" w:noVBand="1" w:val="04A0"/>
      </w:tblPr>
      <w:tblGrid>
        <w:gridCol w:w="537"/>
        <w:gridCol w:w="5776"/>
        <w:gridCol w:w="3890"/>
      </w:tblGrid>
      <w:tr>
        <w:trPr>
          <w:tblHeader w:val="true"/>
        </w:trPr>
        <w:tc>
          <w:tcPr>
            <w:tcW w:type="dxa" w:w="537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5776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890"/>
            <w:shd w:val="clear" w:color="auto" w:fill="1F3B5C"/>
          </w:tcPr>
          <w:p>
            <w:pPr>
              <w:pStyle w:val="TableText"/>
            </w:pPr>
            <w:r>
              <w:rPr>
                <w:b/>
                <w:color w:val="FFFFFF"/>
              </w:rPr>
              <w:t>Effect on assessment</w:t>
            </w:r>
          </w:p>
        </w:tc>
      </w:tr>
      <w:tr>
        <w:tc>
          <w:tcPr>
            <w:tcW w:type="dxa" w:w="537"/>
          </w:tcPr>
          <w:p>
            <w:pPr>
              <w:pStyle w:val="TableText"/>
            </w:pPr>
            <w:r>
              <w:rPr/>
              <w:t>1</w:t>
            </w:r>
          </w:p>
        </w:tc>
        <w:tc>
          <w:tcPr>
            <w:tcW w:type="dxa" w:w="5776"/>
          </w:tcPr>
          <w:p>
            <w:pPr>
              <w:pStyle w:val="TableText"/>
            </w:pPr>
            <w:r>
              <w:rPr/>
              <w:t>Build the .pbix in Power BI Desktop from powerbi/ (four pages) and attach it</w:t>
            </w:r>
          </w:p>
        </w:tc>
        <w:tc>
          <w:tcPr>
            <w:tcW w:type="dxa" w:w="3890"/>
          </w:tcPr>
          <w:p>
            <w:pPr>
              <w:pStyle w:val="TableText"/>
            </w:pPr>
            <w:r>
              <w:rPr/>
              <w:t>Mandatory (Para 8.2); +3 to 5.1-5.3</w:t>
            </w:r>
          </w:p>
        </w:tc>
      </w:tr>
      <w:tr>
        <w:tc>
          <w:tcPr>
            <w:tcW w:type="dxa" w:w="537"/>
          </w:tcPr>
          <w:p>
            <w:pPr>
              <w:pStyle w:val="TableText"/>
            </w:pPr>
            <w:r>
              <w:rPr/>
              <w:t>2</w:t>
            </w:r>
          </w:p>
        </w:tc>
        <w:tc>
          <w:tcPr>
            <w:tcW w:type="dxa" w:w="5776"/>
          </w:tcPr>
          <w:p>
            <w:pPr>
              <w:pStyle w:val="TableText"/>
            </w:pPr>
            <w:r>
              <w:rPr/>
              <w:t>Paste two Power BI screenshots into Annex C (Fig C.3, C.4)</w:t>
            </w:r>
          </w:p>
        </w:tc>
        <w:tc>
          <w:tcPr>
            <w:tcW w:type="dxa" w:w="3890"/>
          </w:tcPr>
          <w:p>
            <w:pPr>
              <w:pStyle w:val="TableText"/>
            </w:pPr>
            <w:r>
              <w:rPr/>
              <w:t>Completes Para 8.2 screenshot requirement</w:t>
            </w:r>
          </w:p>
        </w:tc>
      </w:tr>
      <w:tr>
        <w:tc>
          <w:tcPr>
            <w:tcW w:type="dxa" w:w="537"/>
          </w:tcPr>
          <w:p>
            <w:pPr>
              <w:pStyle w:val="TableText"/>
            </w:pPr>
            <w:r>
              <w:rPr/>
              <w:t>3</w:t>
            </w:r>
          </w:p>
        </w:tc>
        <w:tc>
          <w:tcPr>
            <w:tcW w:type="dxa" w:w="5776"/>
          </w:tcPr>
          <w:p>
            <w:pPr>
              <w:pStyle w:val="TableText"/>
            </w:pPr>
            <w:r>
              <w:rPr/>
              <w:t>Fill Rank, Service No, Unit; attach Appendix A details</w:t>
            </w:r>
          </w:p>
        </w:tc>
        <w:tc>
          <w:tcPr>
            <w:tcW w:type="dxa" w:w="3890"/>
          </w:tcPr>
          <w:p>
            <w:pPr>
              <w:pStyle w:val="TableText"/>
            </w:pPr>
            <w:r>
              <w:rPr/>
              <w:t>Mandatory (Para 8.1)</w:t>
            </w:r>
          </w:p>
        </w:tc>
      </w:tr>
      <w:tr>
        <w:tc>
          <w:tcPr>
            <w:tcW w:type="dxa" w:w="537"/>
          </w:tcPr>
          <w:p>
            <w:pPr>
              <w:pStyle w:val="TableText"/>
            </w:pPr>
            <w:r>
              <w:rPr/>
              <w:t>4</w:t>
            </w:r>
          </w:p>
        </w:tc>
        <w:tc>
          <w:tcPr>
            <w:tcW w:type="dxa" w:w="5776"/>
          </w:tcPr>
          <w:p>
            <w:pPr>
              <w:pStyle w:val="TableText"/>
            </w:pPr>
            <w:r>
              <w:rPr/>
              <w:t>Verify the 2026-27 defence budget figure used in the defence-cost comparison</w:t>
            </w:r>
          </w:p>
        </w:tc>
        <w:tc>
          <w:tcPr>
            <w:tcW w:type="dxa" w:w="3890"/>
          </w:tcPr>
          <w:p>
            <w:pPr>
              <w:pStyle w:val="TableText"/>
            </w:pPr>
            <w:r>
              <w:rPr/>
              <w:t>Protects 4.4 (accuracy)</w:t>
            </w:r>
          </w:p>
        </w:tc>
      </w:tr>
      <w:tr>
        <w:tc>
          <w:tcPr>
            <w:tcW w:type="dxa" w:w="537"/>
          </w:tcPr>
          <w:p>
            <w:pPr>
              <w:pStyle w:val="TableText"/>
            </w:pPr>
            <w:r>
              <w:rPr/>
              <w:t>5</w:t>
            </w:r>
          </w:p>
        </w:tc>
        <w:tc>
          <w:tcPr>
            <w:tcW w:type="dxa" w:w="5776"/>
          </w:tcPr>
          <w:p>
            <w:pPr>
              <w:pStyle w:val="TableText"/>
            </w:pPr>
            <w:r>
              <w:rPr/>
              <w:t>Trim the executive summary to five headline numbers</w:t>
            </w:r>
          </w:p>
        </w:tc>
        <w:tc>
          <w:tcPr>
            <w:tcW w:type="dxa" w:w="3890"/>
          </w:tcPr>
          <w:p>
            <w:pPr>
              <w:pStyle w:val="TableText"/>
            </w:pPr>
            <w:r>
              <w:rPr/>
              <w:t>+1 to 7.2</w:t>
            </w:r>
          </w:p>
        </w:tc>
      </w:tr>
    </w:tbl>
    <w:p>
      <w:pPr>
        <w:spacing w:after="40" w:line="144" w:lineRule="auto"/>
      </w:pPr>
    </w:p>
    <w:tbl>
      <w:tblPr>
        <w:tblW w:w="10204" w:type="dxa"/>
        <w:jc w:val="center"/>
        <w:tblLayout w:type="fixed"/>
        <w:tblLook w:firstColumn="1" w:firstRow="1" w:lastColumn="0" w:lastRow="0" w:noHBand="0" w:noVBand="1" w:val="04A0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il"/>
              <w:left w:val="single" w:sz="24" w:color="9A4A3A"/>
              <w:bottom w:val="nil"/>
              <w:right w:val="nil"/>
            </w:tcBorders>
            <w:shd w:val="clear" w:color="auto" w:fill="F7F7F4"/>
          </w:tcPr>
          <w:p>
            <w:pPr>
              <w:spacing w:after="40"/>
              <w:jc w:val="both"/>
            </w:pPr>
            <w:r>
              <w:rPr>
                <w:sz w:val="18"/>
              </w:rPr>
              <w:t>Note: a self-assessment by the author tends to run a few points generous; independent assessors may mark 3-5 points lower.</w:t>
            </w:r>
          </w:p>
        </w:tc>
      </w:tr>
    </w:tbl>
    <w:p>
      <w:pPr>
        <w:spacing w:after="40" w:line="144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555555"/>
        <w:sz w:val="15"/>
      </w:rPr>
      <w:t>CDM Datathon-2026  |  Self-Assessment against Gen Instr Appendix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/>
      <w:b/>
      <w:bCs/>
      <w:color w:val="1F3B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/>
      <w:b/>
      <w:bCs/>
      <w:color w:val="1F3B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spacing w:before="60" w:after="160"/>
      <w:jc w:val="center"/>
    </w:pPr>
    <w:rPr>
      <w:sz w:val="21"/>
    </w:rPr>
  </w:style>
  <w:style w:type="paragraph" w:customStyle="1" w:styleId="TableCaption">
    <w:name w:val="Table Caption"/>
    <w:basedOn w:val="Normal"/>
    <w:pPr>
      <w:keepNext/>
      <w:spacing w:before="60" w:after="160"/>
      <w:jc w:val="center"/>
    </w:pPr>
    <w:rPr>
      <w:sz w:val="21"/>
    </w:rPr>
  </w:style>
  <w:style w:type="paragraph" w:customStyle="1" w:styleId="FrontHeading">
    <w:name w:val="Front Heading"/>
    <w:basedOn w:val="Normal"/>
    <w:pPr>
      <w:keepNext/>
      <w:spacing w:after="240"/>
      <w:jc w:val="center"/>
    </w:pPr>
    <w:rPr>
      <w:b/>
      <w:color w:val="1F3B5C"/>
      <w:sz w:val="28"/>
    </w:rPr>
  </w:style>
  <w:style w:type="paragraph" w:customStyle="1" w:styleId="Kicker">
    <w:name w:val="Kicker"/>
    <w:basedOn w:val="Normal"/>
    <w:pPr>
      <w:keepNext/>
    </w:pPr>
    <w:rPr>
      <w:rFonts w:ascii="Arial" w:hAnsi="Arial"/>
      <w:b/>
      <w:color w:val="9A4A3A"/>
      <w:sz w:val="18"/>
    </w:rPr>
  </w:style>
  <w:style w:type="paragraph" w:customStyle="1" w:styleId="TableText">
    <w:name w:val="Table Text"/>
    <w:basedOn w:val="Normal"/>
    <w:pPr>
      <w:spacing w:after="0" w:line="240" w:lineRule="auto"/>
      <w:jc w:val="left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Self-Assessment against Gen Instr Appendix B</dc:title>
  <dc:subject/>
  <dc:creator>Arjun Jayadev</dc:creator>
  <cp:keywords/>
  <dc:description/>
  <cp:lastModifiedBy>Arjun Jayadev</cp:lastModifiedBy>
  <cp:revision>1</cp:revision>
  <dcterms:created xsi:type="dcterms:W3CDTF">2013-12-23T23:15:00Z</dcterms:created>
  <dcterms:modified xsi:type="dcterms:W3CDTF">2013-12-23T23:15:00Z</dcterms:modified>
  <cp:category/>
</cp:coreProperties>
</file>