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sz w:val="24"/>
        </w:rPr>
        <w:t>COLLEGE OF DEFENCE MANAGEMENT · DATATHON - 2026 · THEME 6.1</w:t>
      </w:r>
    </w:p>
    <w:p>
      <w:pPr>
        <w:spacing w:before="360" w:after="360"/>
        <w:jc w:val="center"/>
      </w:pPr>
      <w:r>
        <w:rPr>
          <w:b/>
          <w:sz w:val="40"/>
        </w:rPr>
        <w:t>PROJECT HIGH GROUND</w:t>
      </w:r>
    </w:p>
    <w:p>
      <w:pPr>
        <w:spacing w:before="80" w:after="360"/>
        <w:jc w:val="center"/>
      </w:pPr>
      <w:r>
        <w:rPr>
          <w:i/>
          <w:sz w:val="26"/>
        </w:rPr>
        <w:t>Technical Annex</w:t>
      </w:r>
    </w:p>
    <w:p>
      <w:pPr>
        <w:spacing w:before="80"/>
        <w:jc w:val="center"/>
      </w:pPr>
      <w:r>
        <w:rPr>
          <w:sz w:val="24"/>
        </w:rPr>
        <w:t>Methods, formulas, parameters, validation and limitations behind the Commander's Edition. For assessors and analysts.</w:t>
      </w:r>
    </w:p>
    <w:p>
      <w:pPr>
        <w:spacing w:after="0"/>
      </w:pPr>
      <w:r>
        <w:br w:type="page"/>
      </w:r>
    </w:p>
    <w:p>
      <w:pPr>
        <w:pStyle w:val="FrontHeading"/>
      </w:pPr>
      <w:r>
        <w:rPr/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/>
      <w:r/>
    </w:p>
    <w:p>
      <w:pPr>
        <w:spacing w:after="40"/>
      </w:pPr>
      <w:r>
        <w:t>1. Scope, Data and Preparation</w:t>
      </w:r>
    </w:p>
    <w:p>
      <w:pPr>
        <w:spacing w:after="40"/>
      </w:pPr>
      <w:r>
        <w:t>2. Growth, Concentration and Congestion</w:t>
      </w:r>
    </w:p>
    <w:p>
      <w:pPr>
        <w:spacing w:after="40"/>
      </w:pPr>
      <w:r>
        <w:t>2.1 Population reconstruction</w:t>
      </w:r>
    </w:p>
    <w:p>
      <w:pPr>
        <w:spacing w:after="40"/>
      </w:pPr>
      <w:r>
        <w:t>2.2 Change-points and growth rates</w:t>
      </w:r>
    </w:p>
    <w:p>
      <w:pPr>
        <w:spacing w:after="40"/>
      </w:pPr>
      <w:r>
        <w:t>2.3 Concentration</w:t>
      </w:r>
    </w:p>
    <w:p>
      <w:pPr>
        <w:spacing w:after="40"/>
      </w:pPr>
      <w:r>
        <w:t>2.4 Collision-risk index</w:t>
      </w:r>
    </w:p>
    <w:p>
      <w:pPr>
        <w:spacing w:after="40"/>
      </w:pPr>
      <w:r>
        <w:t>2.5 Debris survival</w:t>
      </w:r>
    </w:p>
    <w:p>
      <w:pPr>
        <w:spacing w:after="40"/>
      </w:pPr>
      <w:r>
        <w:t>3. Contest, Space Weather and Earth-Observation Value</w:t>
      </w:r>
    </w:p>
    <w:p>
      <w:pPr>
        <w:spacing w:after="40"/>
      </w:pPr>
      <w:r>
        <w:t>3.1 Programme families (name rules)</w:t>
      </w:r>
    </w:p>
    <w:p>
      <w:pPr>
        <w:spacing w:after="40"/>
      </w:pPr>
      <w:r>
        <w:t>3.2 Geomagnetic storms</w:t>
      </w:r>
    </w:p>
    <w:p>
      <w:pPr>
        <w:spacing w:after="40"/>
      </w:pPr>
      <w:r>
        <w:t>3.3 Solar cycle in re-entries</w:t>
      </w:r>
    </w:p>
    <w:p>
      <w:pPr>
        <w:spacing w:after="40"/>
      </w:pPr>
      <w:r>
        <w:t>3.4 Constellation premium and surge detection (MODIS)</w:t>
      </w:r>
    </w:p>
    <w:p>
      <w:pPr>
        <w:spacing w:after="40"/>
      </w:pPr>
      <w:r>
        <w:t>4. Machine Learning: Military-Use Classifier</w:t>
      </w:r>
    </w:p>
    <w:p>
      <w:pPr>
        <w:spacing w:after="40"/>
      </w:pPr>
      <w:r>
        <w:t>5. Close-Approach Screening</w:t>
      </w:r>
    </w:p>
    <w:p>
      <w:pPr>
        <w:spacing w:after="40"/>
      </w:pPr>
      <w:r>
        <w:t>6. Forecast, Limitations and Reproducibility</w:t>
      </w:r>
    </w:p>
    <w:p>
      <w:pPr>
        <w:spacing w:after="40"/>
      </w:pPr>
      <w:r>
        <w:t>6.1 Forecast</w:t>
      </w:r>
    </w:p>
    <w:p>
      <w:pPr>
        <w:spacing w:after="40"/>
      </w:pPr>
      <w:r>
        <w:t>6.2 Limitations and threats to validity</w:t>
      </w:r>
    </w:p>
    <w:p>
      <w:pPr>
        <w:spacing w:after="40"/>
      </w:pPr>
      <w:r>
        <w:t>6.3 Reproducibility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020" w:left="1134" w:header="720" w:footer="720" w:gutter="0"/>
          <w:pgNumType w:fmt="lowerRoman"/>
          <w:cols w:space="720"/>
          <w:titlePg/>
          <w:docGrid w:linePitch="360"/>
        </w:sectPr>
      </w:pPr>
    </w:p>
    <w:p>
      <w:pPr>
        <w:pStyle w:val="Heading1"/>
        <w:spacing w:before="360"/>
      </w:pPr>
      <w:r>
        <w:rPr/>
        <w:t>1. SCOPE, DATA AND PREPARATION</w:t>
      </w:r>
    </w:p>
    <w:p>
      <w:pPr>
        <w:jc w:val="both"/>
      </w:pPr>
      <w:r>
        <w:rPr/>
        <w:t xml:space="preserve">This annex documents every method behind the Commander's Edition: definitions, formulas, parameters, validation and limitations. All numbers are regenerated from raw data by </w:t>
      </w:r>
      <w:r>
        <w:rPr>
          <w:i/>
        </w:rPr>
        <w:t>analysis/run_all.py</w:t>
      </w:r>
      <w:r>
        <w:rPr/>
        <w:t xml:space="preserve"> (12 stages); two consecutive runs give identical outputs.</w:t>
      </w:r>
    </w:p>
    <w:p>
      <w:pPr>
        <w:pStyle w:val="TableCaption"/>
      </w:pPr>
      <w:r>
        <w:rPr>
          <w:b/>
        </w:rPr>
        <w:t>Table 1.1 :</w:t>
      </w:r>
      <w:r>
        <w:rPr/>
        <w:t xml:space="preserve"> Data sources</w:t>
      </w:r>
    </w:p>
    <w:tbl>
      <w:tblPr>
        <w:tblStyle w:val="TableGrid"/>
        <w:tblW w:w="9750" w:type="dxa"/>
        <w:jc w:val="center"/>
        <w:tblLayout w:type="fixed"/>
        <w:tblLook w:firstColumn="1" w:firstRow="1" w:lastColumn="0" w:lastRow="0" w:noHBand="0" w:noVBand="1" w:val="04A0"/>
      </w:tblPr>
      <w:tblGrid>
        <w:gridCol w:w="1956"/>
        <w:gridCol w:w="2447"/>
        <w:gridCol w:w="1956"/>
        <w:gridCol w:w="2310"/>
        <w:gridCol w:w="1081"/>
      </w:tblGrid>
      <w:tr>
        <w:trPr>
          <w:tblHeader w:val="true"/>
        </w:trPr>
        <w:tc>
          <w:tcPr>
            <w:tcW w:type="dxa" w:w="1956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244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1956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2310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Fields used</w:t>
            </w:r>
          </w:p>
        </w:tc>
        <w:tc>
          <w:tcPr>
            <w:tcW w:type="dxa" w:w="1081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1956"/>
          </w:tcPr>
          <w:p>
            <w:pPr>
              <w:pStyle w:val="TableText"/>
            </w:pPr>
            <w:r>
              <w:rPr/>
              <w:t>CDM satellite census</w:t>
            </w:r>
          </w:p>
        </w:tc>
        <w:tc>
          <w:tcPr>
            <w:tcW w:type="dxa" w:w="2447"/>
          </w:tcPr>
          <w:p>
            <w:pPr>
              <w:pStyle w:val="TableText"/>
            </w:pPr>
            <w:r>
              <w:rPr/>
              <w:t>1,167 active satellites</w:t>
            </w:r>
          </w:p>
        </w:tc>
        <w:tc>
          <w:tcPr>
            <w:tcW w:type="dxa" w:w="1956"/>
          </w:tcPr>
          <w:p>
            <w:pPr>
              <w:pStyle w:val="TableText"/>
            </w:pPr>
            <w:r>
              <w:rPr/>
              <w:t>launched 1974 - Jan 2014</w:t>
            </w:r>
          </w:p>
        </w:tc>
        <w:tc>
          <w:tcPr>
            <w:tcW w:type="dxa" w:w="2310"/>
          </w:tcPr>
          <w:p>
            <w:pPr>
              <w:pStyle w:val="TableText"/>
            </w:pPr>
            <w:r>
              <w:rPr/>
              <w:t>orbit, mass, power, users, purpose, life</w:t>
            </w:r>
          </w:p>
        </w:tc>
        <w:tc>
          <w:tcPr>
            <w:tcW w:type="dxa" w:w="1081"/>
          </w:tcPr>
          <w:p>
            <w:pPr>
              <w:pStyle w:val="TableText"/>
            </w:pPr>
            <w:r>
              <w:rPr/>
              <w:t>CDM</w:t>
            </w:r>
          </w:p>
        </w:tc>
      </w:tr>
      <w:tr>
        <w:tc>
          <w:tcPr>
            <w:tcW w:type="dxa" w:w="1956"/>
            <w:shd w:val="clear" w:color="auto" w:fill="F4F3EF"/>
          </w:tcPr>
          <w:p>
            <w:pPr>
              <w:pStyle w:val="TableText"/>
            </w:pPr>
            <w:r>
              <w:rPr/>
              <w:t>CDM Dst index</w:t>
            </w:r>
          </w:p>
        </w:tc>
        <w:tc>
          <w:tcPr>
            <w:tcW w:type="dxa" w:w="2447"/>
            <w:shd w:val="clear" w:color="auto" w:fill="F4F3EF"/>
          </w:tcPr>
          <w:p>
            <w:pPr>
              <w:pStyle w:val="TableText"/>
            </w:pPr>
            <w:r>
              <w:rPr/>
              <w:t>139,872 hourly values</w:t>
            </w:r>
          </w:p>
        </w:tc>
        <w:tc>
          <w:tcPr>
            <w:tcW w:type="dxa" w:w="1956"/>
            <w:shd w:val="clear" w:color="auto" w:fill="F4F3EF"/>
          </w:tcPr>
          <w:p>
            <w:pPr>
              <w:pStyle w:val="TableText"/>
            </w:pPr>
            <w:r>
              <w:rPr/>
              <w:t>3 anonymised periods</w:t>
            </w:r>
          </w:p>
        </w:tc>
        <w:tc>
          <w:tcPr>
            <w:tcW w:type="dxa" w:w="2310"/>
            <w:shd w:val="clear" w:color="auto" w:fill="F4F3EF"/>
          </w:tcPr>
          <w:p>
            <w:pPr>
              <w:pStyle w:val="TableText"/>
            </w:pPr>
            <w:r>
              <w:rPr/>
              <w:t>geomagnetic disturbance (nT)</w:t>
            </w:r>
          </w:p>
        </w:tc>
        <w:tc>
          <w:tcPr>
            <w:tcW w:type="dxa" w:w="1081"/>
            <w:shd w:val="clear" w:color="auto" w:fill="F4F3EF"/>
          </w:tcPr>
          <w:p>
            <w:pPr>
              <w:pStyle w:val="TableText"/>
            </w:pPr>
            <w:r>
              <w:rPr/>
              <w:t>CDM</w:t>
            </w:r>
          </w:p>
        </w:tc>
      </w:tr>
      <w:tr>
        <w:tc>
          <w:tcPr>
            <w:tcW w:type="dxa" w:w="1956"/>
          </w:tcPr>
          <w:p>
            <w:pPr>
              <w:pStyle w:val="TableText"/>
            </w:pPr>
            <w:r>
              <w:rPr/>
              <w:t>CDM smoothed sunspot number</w:t>
            </w:r>
          </w:p>
        </w:tc>
        <w:tc>
          <w:tcPr>
            <w:tcW w:type="dxa" w:w="2447"/>
          </w:tcPr>
          <w:p>
            <w:pPr>
              <w:pStyle w:val="TableText"/>
            </w:pPr>
            <w:r>
              <w:rPr/>
              <w:t>192 values</w:t>
            </w:r>
          </w:p>
        </w:tc>
        <w:tc>
          <w:tcPr>
            <w:tcW w:type="dxa" w:w="1956"/>
          </w:tcPr>
          <w:p>
            <w:pPr>
              <w:pStyle w:val="TableText"/>
            </w:pPr>
            <w:r>
              <w:rPr/>
              <w:t>same periods</w:t>
            </w:r>
          </w:p>
        </w:tc>
        <w:tc>
          <w:tcPr>
            <w:tcW w:type="dxa" w:w="2310"/>
          </w:tcPr>
          <w:p>
            <w:pPr>
              <w:pStyle w:val="TableText"/>
            </w:pPr>
            <w:r>
              <w:rPr/>
              <w:t>solar activity</w:t>
            </w:r>
          </w:p>
        </w:tc>
        <w:tc>
          <w:tcPr>
            <w:tcW w:type="dxa" w:w="1081"/>
          </w:tcPr>
          <w:p>
            <w:pPr>
              <w:pStyle w:val="TableText"/>
            </w:pPr>
            <w:r>
              <w:rPr/>
              <w:t>CDM</w:t>
            </w:r>
          </w:p>
        </w:tc>
      </w:tr>
      <w:tr>
        <w:tc>
          <w:tcPr>
            <w:tcW w:type="dxa" w:w="1956"/>
            <w:shd w:val="clear" w:color="auto" w:fill="F4F3EF"/>
          </w:tcPr>
          <w:p>
            <w:pPr>
              <w:pStyle w:val="TableText"/>
            </w:pPr>
            <w:r>
              <w:rPr/>
              <w:t>CDM MODIS fire detections</w:t>
            </w:r>
          </w:p>
        </w:tc>
        <w:tc>
          <w:tcPr>
            <w:tcW w:type="dxa" w:w="2447"/>
            <w:shd w:val="clear" w:color="auto" w:fill="F4F3EF"/>
          </w:tcPr>
          <w:p>
            <w:pPr>
              <w:pStyle w:val="TableText"/>
            </w:pPr>
            <w:r>
              <w:rPr/>
              <w:t>1,248,605</w:t>
            </w:r>
          </w:p>
        </w:tc>
        <w:tc>
          <w:tcPr>
            <w:tcW w:type="dxa" w:w="1956"/>
            <w:shd w:val="clear" w:color="auto" w:fill="F4F3EF"/>
          </w:tcPr>
          <w:p>
            <w:pPr>
              <w:pStyle w:val="TableText"/>
            </w:pPr>
            <w:r>
              <w:rPr/>
              <w:t>Sep 2010 - Sep 2020</w:t>
            </w:r>
          </w:p>
        </w:tc>
        <w:tc>
          <w:tcPr>
            <w:tcW w:type="dxa" w:w="2310"/>
            <w:shd w:val="clear" w:color="auto" w:fill="F4F3EF"/>
          </w:tcPr>
          <w:p>
            <w:pPr>
              <w:pStyle w:val="TableText"/>
            </w:pPr>
            <w:r>
              <w:rPr/>
              <w:t>position, time, satellite, type</w:t>
            </w:r>
          </w:p>
        </w:tc>
        <w:tc>
          <w:tcPr>
            <w:tcW w:type="dxa" w:w="1081"/>
            <w:shd w:val="clear" w:color="auto" w:fill="F4F3EF"/>
          </w:tcPr>
          <w:p>
            <w:pPr>
              <w:pStyle w:val="TableText"/>
            </w:pPr>
            <w:r>
              <w:rPr/>
              <w:t>CDM</w:t>
            </w:r>
          </w:p>
        </w:tc>
      </w:tr>
      <w:tr>
        <w:tc>
          <w:tcPr>
            <w:tcW w:type="dxa" w:w="1956"/>
          </w:tcPr>
          <w:p>
            <w:pPr>
              <w:pStyle w:val="TableText"/>
            </w:pPr>
            <w:r>
              <w:rPr/>
              <w:t>CelesTrak SATCAT</w:t>
            </w:r>
          </w:p>
        </w:tc>
        <w:tc>
          <w:tcPr>
            <w:tcW w:type="dxa" w:w="2447"/>
          </w:tcPr>
          <w:p>
            <w:pPr>
              <w:pStyle w:val="TableText"/>
            </w:pPr>
            <w:r>
              <w:rPr/>
              <w:t>70,366 Earth-orbiting objects</w:t>
            </w:r>
          </w:p>
        </w:tc>
        <w:tc>
          <w:tcPr>
            <w:tcW w:type="dxa" w:w="1956"/>
          </w:tcPr>
          <w:p>
            <w:pPr>
              <w:pStyle w:val="TableText"/>
            </w:pPr>
            <w:r>
              <w:rPr/>
              <w:t>1957 - 21 Sep 2026</w:t>
            </w:r>
          </w:p>
        </w:tc>
        <w:tc>
          <w:tcPr>
            <w:tcW w:type="dxa" w:w="2310"/>
          </w:tcPr>
          <w:p>
            <w:pPr>
              <w:pStyle w:val="TableText"/>
            </w:pPr>
            <w:r>
              <w:rPr/>
              <w:t>type, owner, launch, decay, orbit</w:t>
            </w:r>
          </w:p>
        </w:tc>
        <w:tc>
          <w:tcPr>
            <w:tcW w:type="dxa" w:w="1081"/>
          </w:tcPr>
          <w:p>
            <w:pPr>
              <w:pStyle w:val="TableText"/>
            </w:pPr>
            <w:r>
              <w:rPr/>
              <w:t>Open</w:t>
            </w:r>
          </w:p>
        </w:tc>
      </w:tr>
      <w:tr>
        <w:tc>
          <w:tcPr>
            <w:tcW w:type="dxa" w:w="1956"/>
            <w:shd w:val="clear" w:color="auto" w:fill="F4F3EF"/>
          </w:tcPr>
          <w:p>
            <w:pPr>
              <w:pStyle w:val="TableText"/>
            </w:pPr>
            <w:r>
              <w:rPr/>
              <w:t>UCS Satellite Database</w:t>
            </w:r>
          </w:p>
        </w:tc>
        <w:tc>
          <w:tcPr>
            <w:tcW w:type="dxa" w:w="2447"/>
            <w:shd w:val="clear" w:color="auto" w:fill="F4F3EF"/>
          </w:tcPr>
          <w:p>
            <w:pPr>
              <w:pStyle w:val="TableText"/>
            </w:pPr>
            <w:r>
              <w:rPr/>
              <w:t>2,666 active satellites</w:t>
            </w:r>
          </w:p>
        </w:tc>
        <w:tc>
          <w:tcPr>
            <w:tcW w:type="dxa" w:w="1956"/>
            <w:shd w:val="clear" w:color="auto" w:fill="F4F3EF"/>
          </w:tcPr>
          <w:p>
            <w:pPr>
              <w:pStyle w:val="TableText"/>
            </w:pPr>
            <w:r>
              <w:rPr/>
              <w:t>1 Apr 2020</w:t>
            </w:r>
          </w:p>
        </w:tc>
        <w:tc>
          <w:tcPr>
            <w:tcW w:type="dxa" w:w="2310"/>
            <w:shd w:val="clear" w:color="auto" w:fill="F4F3EF"/>
          </w:tcPr>
          <w:p>
            <w:pPr>
              <w:pStyle w:val="TableText"/>
            </w:pPr>
            <w:r>
              <w:rPr/>
              <w:t>as CDM census (second census)</w:t>
            </w:r>
          </w:p>
        </w:tc>
        <w:tc>
          <w:tcPr>
            <w:tcW w:type="dxa" w:w="1081"/>
            <w:shd w:val="clear" w:color="auto" w:fill="F4F3EF"/>
          </w:tcPr>
          <w:p>
            <w:pPr>
              <w:pStyle w:val="TableText"/>
            </w:pPr>
            <w:r>
              <w:rPr/>
              <w:t>Open</w:t>
            </w:r>
          </w:p>
        </w:tc>
      </w:tr>
      <w:tr>
        <w:tc>
          <w:tcPr>
            <w:tcW w:type="dxa" w:w="1956"/>
          </w:tcPr>
          <w:p>
            <w:pPr>
              <w:pStyle w:val="TableText"/>
            </w:pPr>
            <w:r>
              <w:rPr/>
              <w:t>UNOOSA registry (OWID)</w:t>
            </w:r>
          </w:p>
        </w:tc>
        <w:tc>
          <w:tcPr>
            <w:tcW w:type="dxa" w:w="2447"/>
          </w:tcPr>
          <w:p>
            <w:pPr>
              <w:pStyle w:val="TableText"/>
            </w:pPr>
            <w:r>
              <w:rPr/>
              <w:t>objects per country-year</w:t>
            </w:r>
          </w:p>
        </w:tc>
        <w:tc>
          <w:tcPr>
            <w:tcW w:type="dxa" w:w="1956"/>
          </w:tcPr>
          <w:p>
            <w:pPr>
              <w:pStyle w:val="TableText"/>
            </w:pPr>
            <w:r>
              <w:rPr/>
              <w:t>1957 - 2023</w:t>
            </w:r>
          </w:p>
        </w:tc>
        <w:tc>
          <w:tcPr>
            <w:tcW w:type="dxa" w:w="2310"/>
          </w:tcPr>
          <w:p>
            <w:pPr>
              <w:pStyle w:val="TableText"/>
            </w:pPr>
            <w:r>
              <w:rPr/>
              <w:t>cross-check of launch counts</w:t>
            </w:r>
          </w:p>
        </w:tc>
        <w:tc>
          <w:tcPr>
            <w:tcW w:type="dxa" w:w="1081"/>
          </w:tcPr>
          <w:p>
            <w:pPr>
              <w:pStyle w:val="TableText"/>
            </w:pPr>
            <w:r>
              <w:rPr/>
              <w:t>Open</w:t>
            </w:r>
          </w:p>
        </w:tc>
      </w:tr>
      <w:tr>
        <w:tc>
          <w:tcPr>
            <w:tcW w:type="dxa" w:w="1956"/>
            <w:shd w:val="clear" w:color="auto" w:fill="F4F3EF"/>
          </w:tcPr>
          <w:p>
            <w:pPr>
              <w:pStyle w:val="TableText"/>
            </w:pPr>
            <w:r>
              <w:rPr/>
              <w:t>CelesTrak GP elements (OMM)</w:t>
            </w:r>
          </w:p>
        </w:tc>
        <w:tc>
          <w:tcPr>
            <w:tcW w:type="dxa" w:w="2447"/>
            <w:shd w:val="clear" w:color="auto" w:fill="F4F3EF"/>
          </w:tcPr>
          <w:p>
            <w:pPr>
              <w:pStyle w:val="TableText"/>
            </w:pPr>
            <w:r>
              <w:rPr/>
              <w:t>15,656 + 4,640 LEO objects</w:t>
            </w:r>
          </w:p>
        </w:tc>
        <w:tc>
          <w:tcPr>
            <w:tcW w:type="dxa" w:w="1956"/>
            <w:shd w:val="clear" w:color="auto" w:fill="F4F3EF"/>
          </w:tcPr>
          <w:p>
            <w:pPr>
              <w:pStyle w:val="TableText"/>
            </w:pPr>
            <w:r>
              <w:rPr/>
              <w:t>epochs 30 Aug - 23 Sep 2026</w:t>
            </w:r>
          </w:p>
        </w:tc>
        <w:tc>
          <w:tcPr>
            <w:tcW w:type="dxa" w:w="2310"/>
            <w:shd w:val="clear" w:color="auto" w:fill="F4F3EF"/>
          </w:tcPr>
          <w:p>
            <w:pPr>
              <w:pStyle w:val="TableText"/>
            </w:pPr>
            <w:r>
              <w:rPr/>
              <w:t>SGP4 orbital elements</w:t>
            </w:r>
          </w:p>
        </w:tc>
        <w:tc>
          <w:tcPr>
            <w:tcW w:type="dxa" w:w="1081"/>
            <w:shd w:val="clear" w:color="auto" w:fill="F4F3EF"/>
          </w:tcPr>
          <w:p>
            <w:pPr>
              <w:pStyle w:val="TableText"/>
            </w:pPr>
            <w:r>
              <w:rPr/>
              <w:t>Open</w:t>
            </w:r>
          </w:p>
        </w:tc>
      </w:tr>
    </w:tbl>
    <w:p>
      <w:pPr>
        <w:spacing w:after="40" w:line="144" w:lineRule="auto"/>
      </w:pPr>
    </w:p>
    <w:p>
      <w:pPr>
        <w:pStyle w:val="TableCaption"/>
      </w:pPr>
      <w:r>
        <w:rPr>
          <w:b/>
        </w:rPr>
        <w:t>Table 1.2 :</w:t>
      </w:r>
      <w:r>
        <w:rPr/>
        <w:t xml:space="preserve"> Cleaning log (every step and the rows it touched)</w:t>
      </w:r>
    </w:p>
    <w:tbl>
      <w:tblPr>
        <w:tblStyle w:val="TableGrid"/>
        <w:tblW w:w="9750" w:type="dxa"/>
        <w:jc w:val="center"/>
        <w:tblLayout w:type="fixed"/>
        <w:tblLook w:firstColumn="1" w:firstRow="1" w:lastColumn="0" w:lastRow="0" w:noHBand="0" w:noVBand="1" w:val="04A0"/>
      </w:tblPr>
      <w:tblGrid>
        <w:gridCol w:w="2290"/>
        <w:gridCol w:w="5579"/>
        <w:gridCol w:w="1881"/>
      </w:tblGrid>
      <w:tr>
        <w:trPr>
          <w:tblHeader w:val="true"/>
        </w:trPr>
        <w:tc>
          <w:tcPr>
            <w:tcW w:type="dxa" w:w="2290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5579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881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2290"/>
          </w:tcPr>
          <w:p>
            <w:pPr>
              <w:pStyle w:val="TableText"/>
            </w:pPr>
            <w:r>
              <w:rPr/>
              <w:t>CDM satellites</w:t>
            </w:r>
          </w:p>
        </w:tc>
        <w:tc>
          <w:tcPr>
            <w:tcW w:type="dxa" w:w="5579"/>
          </w:tcPr>
          <w:p>
            <w:pPr>
              <w:pStyle w:val="TableText"/>
            </w:pPr>
            <w:r>
              <w:rPr/>
              <w:t>Rows loaded</w:t>
            </w:r>
          </w:p>
        </w:tc>
        <w:tc>
          <w:tcPr>
            <w:tcW w:type="dxa" w:w="1881"/>
          </w:tcPr>
          <w:p>
            <w:pPr>
              <w:pStyle w:val="TableText"/>
            </w:pPr>
            <w:r>
              <w:rPr/>
              <w:t>1,167</w:t>
            </w:r>
          </w:p>
        </w:tc>
      </w:tr>
      <w:tr>
        <w:tc>
          <w:tcPr>
            <w:tcW w:type="dxa" w:w="2290"/>
            <w:shd w:val="clear" w:color="auto" w:fill="F4F3EF"/>
          </w:tcPr>
          <w:p>
            <w:pPr>
              <w:pStyle w:val="TableText"/>
            </w:pPr>
            <w:r>
              <w:rPr/>
              <w:t>CDM satellites</w:t>
            </w:r>
          </w:p>
        </w:tc>
        <w:tc>
          <w:tcPr>
            <w:tcW w:type="dxa" w:w="5579"/>
            <w:shd w:val="clear" w:color="auto" w:fill="F4F3EF"/>
          </w:tcPr>
          <w:p>
            <w:pPr>
              <w:pStyle w:val="TableText"/>
            </w:pPr>
            <w:r>
              <w:rPr/>
              <w:t>Launch dates converted from Excel serial numbers (1 missing)</w:t>
            </w:r>
          </w:p>
        </w:tc>
        <w:tc>
          <w:tcPr>
            <w:tcW w:type="dxa" w:w="1881"/>
            <w:shd w:val="clear" w:color="auto" w:fill="F4F3EF"/>
          </w:tcPr>
          <w:p>
            <w:pPr>
              <w:pStyle w:val="TableText"/>
            </w:pPr>
            <w:r>
              <w:rPr/>
              <w:t>1</w:t>
            </w:r>
          </w:p>
        </w:tc>
      </w:tr>
      <w:tr>
        <w:tc>
          <w:tcPr>
            <w:tcW w:type="dxa" w:w="2290"/>
          </w:tcPr>
          <w:p>
            <w:pPr>
              <w:pStyle w:val="TableText"/>
            </w:pPr>
            <w:r>
              <w:rPr/>
              <w:t>CDM satellites</w:t>
            </w:r>
          </w:p>
        </w:tc>
        <w:tc>
          <w:tcPr>
            <w:tcW w:type="dxa" w:w="5579"/>
          </w:tcPr>
          <w:p>
            <w:pPr>
              <w:pStyle w:val="TableText"/>
            </w:pPr>
            <w:r>
              <w:rPr/>
              <w:t>Impossible orbital periods (&lt; 80 min) set to missing</w:t>
            </w:r>
          </w:p>
        </w:tc>
        <w:tc>
          <w:tcPr>
            <w:tcW w:type="dxa" w:w="1881"/>
          </w:tcPr>
          <w:p>
            <w:pPr>
              <w:pStyle w:val="TableText"/>
            </w:pPr>
            <w:r>
              <w:rPr/>
              <w:t>6</w:t>
            </w:r>
          </w:p>
        </w:tc>
      </w:tr>
      <w:tr>
        <w:tc>
          <w:tcPr>
            <w:tcW w:type="dxa" w:w="2290"/>
            <w:shd w:val="clear" w:color="auto" w:fill="F4F3EF"/>
          </w:tcPr>
          <w:p>
            <w:pPr>
              <w:pStyle w:val="TableText"/>
            </w:pPr>
            <w:r>
              <w:rPr/>
              <w:t>CDM satellites</w:t>
            </w:r>
          </w:p>
        </w:tc>
        <w:tc>
          <w:tcPr>
            <w:tcW w:type="dxa" w:w="5579"/>
            <w:shd w:val="clear" w:color="auto" w:fill="F4F3EF"/>
          </w:tcPr>
          <w:p>
            <w:pPr>
              <w:pStyle w:val="TableText"/>
            </w:pPr>
            <w:r>
              <w:rPr/>
              <w:t>Impossible inclinations (&gt; 180 deg) set to missing</w:t>
            </w:r>
          </w:p>
        </w:tc>
        <w:tc>
          <w:tcPr>
            <w:tcW w:type="dxa" w:w="1881"/>
            <w:shd w:val="clear" w:color="auto" w:fill="F4F3EF"/>
          </w:tcPr>
          <w:p>
            <w:pPr>
              <w:pStyle w:val="TableText"/>
            </w:pPr>
            <w:r>
              <w:rPr/>
              <w:t>1</w:t>
            </w:r>
          </w:p>
        </w:tc>
      </w:tr>
      <w:tr>
        <w:tc>
          <w:tcPr>
            <w:tcW w:type="dxa" w:w="2290"/>
          </w:tcPr>
          <w:p>
            <w:pPr>
              <w:pStyle w:val="TableText"/>
            </w:pPr>
            <w:r>
              <w:rPr/>
              <w:t>CDM satellites</w:t>
            </w:r>
          </w:p>
        </w:tc>
        <w:tc>
          <w:tcPr>
            <w:tcW w:type="dxa" w:w="5579"/>
          </w:tcPr>
          <w:p>
            <w:pPr>
              <w:pStyle w:val="TableText"/>
            </w:pPr>
            <w:r>
              <w:rPr/>
              <w:t>Rows after cleaning</w:t>
            </w:r>
          </w:p>
        </w:tc>
        <w:tc>
          <w:tcPr>
            <w:tcW w:type="dxa" w:w="1881"/>
          </w:tcPr>
          <w:p>
            <w:pPr>
              <w:pStyle w:val="TableText"/>
            </w:pPr>
            <w:r>
              <w:rPr/>
              <w:t>1,167</w:t>
            </w:r>
          </w:p>
        </w:tc>
      </w:tr>
      <w:tr>
        <w:tc>
          <w:tcPr>
            <w:tcW w:type="dxa" w:w="2290"/>
            <w:shd w:val="clear" w:color="auto" w:fill="F4F3EF"/>
          </w:tcPr>
          <w:p>
            <w:pPr>
              <w:pStyle w:val="TableText"/>
            </w:pPr>
            <w:r>
              <w:rPr/>
              <w:t>UCS 2020</w:t>
            </w:r>
          </w:p>
        </w:tc>
        <w:tc>
          <w:tcPr>
            <w:tcW w:type="dxa" w:w="5579"/>
            <w:shd w:val="clear" w:color="auto" w:fill="F4F3EF"/>
          </w:tcPr>
          <w:p>
            <w:pPr>
              <w:pStyle w:val="TableText"/>
            </w:pPr>
            <w:r>
              <w:rPr/>
              <w:t>Active satellites</w:t>
            </w:r>
          </w:p>
        </w:tc>
        <w:tc>
          <w:tcPr>
            <w:tcW w:type="dxa" w:w="1881"/>
            <w:shd w:val="clear" w:color="auto" w:fill="F4F3EF"/>
          </w:tcPr>
          <w:p>
            <w:pPr>
              <w:pStyle w:val="TableText"/>
            </w:pPr>
            <w:r>
              <w:rPr/>
              <w:t>2,666</w:t>
            </w:r>
          </w:p>
        </w:tc>
      </w:tr>
      <w:tr>
        <w:tc>
          <w:tcPr>
            <w:tcW w:type="dxa" w:w="2290"/>
          </w:tcPr>
          <w:p>
            <w:pPr>
              <w:pStyle w:val="TableText"/>
            </w:pPr>
            <w:r>
              <w:rPr/>
              <w:t>SATCAT</w:t>
            </w:r>
          </w:p>
        </w:tc>
        <w:tc>
          <w:tcPr>
            <w:tcW w:type="dxa" w:w="5579"/>
          </w:tcPr>
          <w:p>
            <w:pPr>
              <w:pStyle w:val="TableText"/>
            </w:pPr>
            <w:r>
              <w:rPr/>
              <w:t>Objects catalogued (1957 - Sep 2026)</w:t>
            </w:r>
          </w:p>
        </w:tc>
        <w:tc>
          <w:tcPr>
            <w:tcW w:type="dxa" w:w="1881"/>
          </w:tcPr>
          <w:p>
            <w:pPr>
              <w:pStyle w:val="TableText"/>
            </w:pPr>
            <w:r>
              <w:rPr/>
              <w:t>70,793</w:t>
            </w:r>
          </w:p>
        </w:tc>
      </w:tr>
      <w:tr>
        <w:tc>
          <w:tcPr>
            <w:tcW w:type="dxa" w:w="2290"/>
            <w:shd w:val="clear" w:color="auto" w:fill="F4F3EF"/>
          </w:tcPr>
          <w:p>
            <w:pPr>
              <w:pStyle w:val="TableText"/>
            </w:pPr>
            <w:r>
              <w:rPr/>
              <w:t>SATCAT</w:t>
            </w:r>
          </w:p>
        </w:tc>
        <w:tc>
          <w:tcPr>
            <w:tcW w:type="dxa" w:w="5579"/>
            <w:shd w:val="clear" w:color="auto" w:fill="F4F3EF"/>
          </w:tcPr>
          <w:p>
            <w:pPr>
              <w:pStyle w:val="TableText"/>
            </w:pPr>
            <w:r>
              <w:rPr/>
              <w:t>Earth-orbiting objects kept</w:t>
            </w:r>
          </w:p>
        </w:tc>
        <w:tc>
          <w:tcPr>
            <w:tcW w:type="dxa" w:w="1881"/>
            <w:shd w:val="clear" w:color="auto" w:fill="F4F3EF"/>
          </w:tcPr>
          <w:p>
            <w:pPr>
              <w:pStyle w:val="TableText"/>
            </w:pPr>
            <w:r>
              <w:rPr/>
              <w:t>70,366</w:t>
            </w:r>
          </w:p>
        </w:tc>
      </w:tr>
      <w:tr>
        <w:tc>
          <w:tcPr>
            <w:tcW w:type="dxa" w:w="2290"/>
          </w:tcPr>
          <w:p>
            <w:pPr>
              <w:pStyle w:val="TableText"/>
            </w:pPr>
            <w:r>
              <w:rPr/>
              <w:t>SATCAT</w:t>
            </w:r>
          </w:p>
        </w:tc>
        <w:tc>
          <w:tcPr>
            <w:tcW w:type="dxa" w:w="5579"/>
          </w:tcPr>
          <w:p>
            <w:pPr>
              <w:pStyle w:val="TableText"/>
            </w:pPr>
            <w:r>
              <w:rPr/>
              <w:t>Objects without orbital elements (kept; excluded from altitude work)</w:t>
            </w:r>
          </w:p>
        </w:tc>
        <w:tc>
          <w:tcPr>
            <w:tcW w:type="dxa" w:w="1881"/>
          </w:tcPr>
          <w:p>
            <w:pPr>
              <w:pStyle w:val="TableText"/>
            </w:pPr>
            <w:r>
              <w:rPr/>
              <w:t>1,657</w:t>
            </w:r>
          </w:p>
        </w:tc>
      </w:tr>
      <w:tr>
        <w:tc>
          <w:tcPr>
            <w:tcW w:type="dxa" w:w="2290"/>
            <w:shd w:val="clear" w:color="auto" w:fill="F4F3EF"/>
          </w:tcPr>
          <w:p>
            <w:pPr>
              <w:pStyle w:val="TableText"/>
            </w:pPr>
            <w:r>
              <w:rPr/>
              <w:t>Space weather</w:t>
            </w:r>
          </w:p>
        </w:tc>
        <w:tc>
          <w:tcPr>
            <w:tcW w:type="dxa" w:w="5579"/>
            <w:shd w:val="clear" w:color="auto" w:fill="F4F3EF"/>
          </w:tcPr>
          <w:p>
            <w:pPr>
              <w:pStyle w:val="TableText"/>
            </w:pPr>
            <w:r>
              <w:rPr/>
              <w:t>Hourly Dst values (3 periods)</w:t>
            </w:r>
          </w:p>
        </w:tc>
        <w:tc>
          <w:tcPr>
            <w:tcW w:type="dxa" w:w="1881"/>
            <w:shd w:val="clear" w:color="auto" w:fill="F4F3EF"/>
          </w:tcPr>
          <w:p>
            <w:pPr>
              <w:pStyle w:val="TableText"/>
            </w:pPr>
            <w:r>
              <w:rPr/>
              <w:t>139,872</w:t>
            </w:r>
          </w:p>
        </w:tc>
      </w:tr>
      <w:tr>
        <w:tc>
          <w:tcPr>
            <w:tcW w:type="dxa" w:w="2290"/>
          </w:tcPr>
          <w:p>
            <w:pPr>
              <w:pStyle w:val="TableText"/>
            </w:pPr>
            <w:r>
              <w:rPr/>
              <w:t>Space weather</w:t>
            </w:r>
          </w:p>
        </w:tc>
        <w:tc>
          <w:tcPr>
            <w:tcW w:type="dxa" w:w="5579"/>
          </w:tcPr>
          <w:p>
            <w:pPr>
              <w:pStyle w:val="TableText"/>
            </w:pPr>
            <w:r>
              <w:rPr/>
              <w:t>Monthly smoothed sunspot values</w:t>
            </w:r>
          </w:p>
        </w:tc>
        <w:tc>
          <w:tcPr>
            <w:tcW w:type="dxa" w:w="1881"/>
          </w:tcPr>
          <w:p>
            <w:pPr>
              <w:pStyle w:val="TableText"/>
            </w:pPr>
            <w:r>
              <w:rPr/>
              <w:t>192</w:t>
            </w:r>
          </w:p>
        </w:tc>
      </w:tr>
      <w:tr>
        <w:tc>
          <w:tcPr>
            <w:tcW w:type="dxa" w:w="2290"/>
            <w:shd w:val="clear" w:color="auto" w:fill="F4F3EF"/>
          </w:tcPr>
          <w:p>
            <w:pPr>
              <w:pStyle w:val="TableText"/>
            </w:pPr>
            <w:r>
              <w:rPr/>
              <w:t>MODIS fires</w:t>
            </w:r>
          </w:p>
        </w:tc>
        <w:tc>
          <w:tcPr>
            <w:tcW w:type="dxa" w:w="5579"/>
            <w:shd w:val="clear" w:color="auto" w:fill="F4F3EF"/>
          </w:tcPr>
          <w:p>
            <w:pPr>
              <w:pStyle w:val="TableText"/>
            </w:pPr>
            <w:r>
              <w:rPr/>
              <w:t>Detections loaded (archive + near real time)</w:t>
            </w:r>
          </w:p>
        </w:tc>
        <w:tc>
          <w:tcPr>
            <w:tcW w:type="dxa" w:w="1881"/>
            <w:shd w:val="clear" w:color="auto" w:fill="F4F3EF"/>
          </w:tcPr>
          <w:p>
            <w:pPr>
              <w:pStyle w:val="TableText"/>
            </w:pPr>
            <w:r>
              <w:rPr/>
              <w:t>1,248,606</w:t>
            </w:r>
          </w:p>
        </w:tc>
      </w:tr>
      <w:tr>
        <w:tc>
          <w:tcPr>
            <w:tcW w:type="dxa" w:w="2290"/>
          </w:tcPr>
          <w:p>
            <w:pPr>
              <w:pStyle w:val="TableText"/>
            </w:pPr>
            <w:r>
              <w:rPr/>
              <w:t>MODIS fires</w:t>
            </w:r>
          </w:p>
        </w:tc>
        <w:tc>
          <w:tcPr>
            <w:tcW w:type="dxa" w:w="5579"/>
          </w:tcPr>
          <w:p>
            <w:pPr>
              <w:pStyle w:val="TableText"/>
            </w:pPr>
            <w:r>
              <w:rPr/>
              <w:t>Duplicate detections removed</w:t>
            </w:r>
          </w:p>
        </w:tc>
        <w:tc>
          <w:tcPr>
            <w:tcW w:type="dxa" w:w="1881"/>
          </w:tcPr>
          <w:p>
            <w:pPr>
              <w:pStyle w:val="TableText"/>
            </w:pPr>
            <w:r>
              <w:rPr/>
              <w:t>1</w:t>
            </w:r>
          </w:p>
        </w:tc>
      </w:tr>
      <w:tr>
        <w:tc>
          <w:tcPr>
            <w:tcW w:type="dxa" w:w="2290"/>
            <w:shd w:val="clear" w:color="auto" w:fill="F4F3EF"/>
          </w:tcPr>
          <w:p>
            <w:pPr>
              <w:pStyle w:val="TableText"/>
            </w:pPr>
            <w:r>
              <w:rPr/>
              <w:t>MODIS fires</w:t>
            </w:r>
          </w:p>
        </w:tc>
        <w:tc>
          <w:tcPr>
            <w:tcW w:type="dxa" w:w="5579"/>
            <w:shd w:val="clear" w:color="auto" w:fill="F4F3EF"/>
          </w:tcPr>
          <w:p>
            <w:pPr>
              <w:pStyle w:val="TableText"/>
            </w:pPr>
            <w:r>
              <w:rPr/>
              <w:t>Rows after cleaning</w:t>
            </w:r>
          </w:p>
        </w:tc>
        <w:tc>
          <w:tcPr>
            <w:tcW w:type="dxa" w:w="1881"/>
            <w:shd w:val="clear" w:color="auto" w:fill="F4F3EF"/>
          </w:tcPr>
          <w:p>
            <w:pPr>
              <w:pStyle w:val="TableText"/>
            </w:pPr>
            <w:r>
              <w:rPr/>
              <w:t>1,248,605</w:t>
            </w:r>
          </w:p>
        </w:tc>
      </w:tr>
    </w:tbl>
    <w:p>
      <w:pPr>
        <w:spacing w:after="40" w:line="144" w:lineRule="auto"/>
      </w:pPr>
    </w:p>
    <w:p>
      <w:pPr>
        <w:jc w:val="both"/>
      </w:pPr>
      <w:r>
        <w:rPr/>
        <w:t>Validation rules: launch dates converted from Excel serial days (origin 1899-12-30); orbital periods below 80 minutes and inclinations above 180 degrees are physically impossible and set to missing; the misspelt user class 'Commerical' is corrected; catalogue owner and launch-site codes are decoded with explicit look-up tables (analysis/common.py); only Earth-orbiting objects are kept.</w:t>
      </w:r>
    </w:p>
    <w:p>
      <w:pPr>
        <w:pStyle w:val="Heading1"/>
        <w:spacing w:before="360"/>
      </w:pPr>
      <w:r>
        <w:rPr/>
        <w:t>2. GROWTH, CONCENTRATION AND CONGESTION</w:t>
      </w:r>
    </w:p>
    <w:p>
      <w:pPr>
        <w:pStyle w:val="Heading2"/>
      </w:pPr>
      <w:r>
        <w:rPr/>
        <w:t>2.1 Population reconstruction</w:t>
      </w:r>
    </w:p>
    <w:p>
      <w:pPr>
        <w:jc w:val="both"/>
      </w:pPr>
      <w:r>
        <w:rPr/>
        <w:t xml:space="preserve">An object is in orbit at date </w:t>
      </w:r>
      <w:r>
        <w:rPr>
          <w:i/>
        </w:rPr>
        <w:t>t</w:t>
      </w:r>
      <w:r>
        <w:rPr/>
        <w:t xml:space="preserve"> if launched on or before </w:t>
      </w:r>
      <w:r>
        <w:rPr>
          <w:i/>
        </w:rPr>
        <w:t>t</w:t>
      </w:r>
      <w:r>
        <w:rPr/>
        <w:t xml:space="preserve"> and not re-entered by </w:t>
      </w:r>
      <w:r>
        <w:rPr>
          <w:i/>
        </w:rPr>
        <w:t>t</w:t>
      </w:r>
      <w:r>
        <w:rPr/>
        <w:t>:</w:t>
      </w:r>
    </w:p>
    <w:p>
      <w:pPr>
        <w:jc w:val="center"/>
      </w:pPr>
      <w:r>
        <w:rPr>
          <w:i/>
        </w:rPr>
        <w:t>N(t) = #{ i : launch</w:t>
      </w:r>
      <w:r>
        <w:rPr>
          <w:i/>
          <w:vertAlign w:val="subscript"/>
        </w:rPr>
        <w:t>i</w:t>
      </w:r>
      <w:r>
        <w:rPr>
          <w:i/>
        </w:rPr>
        <w:t xml:space="preserve"> ≤ t &lt; decay</w:t>
      </w:r>
      <w:r>
        <w:rPr>
          <w:i/>
          <w:vertAlign w:val="subscript"/>
        </w:rPr>
        <w:t>i</w:t>
      </w:r>
      <w:r>
        <w:rPr>
          <w:i/>
        </w:rPr>
        <w:t xml:space="preserve"> } (decay</w:t>
      </w:r>
      <w:r>
        <w:rPr>
          <w:i/>
          <w:vertAlign w:val="subscript"/>
        </w:rPr>
        <w:t>i</w:t>
      </w:r>
      <w:r>
        <w:rPr>
          <w:i/>
        </w:rPr>
        <w:t xml:space="preserve"> = ∞ if still in orbit)</w:t>
      </w:r>
      <w:r>
        <w:tab/>
        <w:tab/>
        <w:t>(1)</w:t>
      </w:r>
    </w:p>
    <w:p>
      <w:pPr>
        <w:jc w:val="both"/>
      </w:pPr>
      <w:r>
        <w:rPr/>
        <w:t>Active-satellite counts come from three independent censuses (CDM 2014: 1,167; UCS 2020: 2,666; catalogue operational flag 2026: 17,062). UNOOSA registrations and catalogue payload launches correlate at r = 0.997.</w:t>
      </w:r>
    </w:p>
    <w:p>
      <w:pPr>
        <w:pStyle w:val="Heading2"/>
      </w:pPr>
      <w:r>
        <w:rPr/>
        <w:t>2.2 Change-points and growth rates</w:t>
      </w:r>
    </w:p>
    <w:p>
      <w:pPr>
        <w:jc w:val="both"/>
      </w:pPr>
      <w:r>
        <w:rPr/>
        <w:t>PELT (Killick et al., 2012) minimises the total within-segment squared error plus a penalty per change-point:</w:t>
      </w:r>
    </w:p>
    <w:p>
      <w:pPr>
        <w:jc w:val="center"/>
      </w:pPr>
      <w:r>
        <w:rPr>
          <w:i/>
        </w:rPr>
        <w:t>min</w:t>
      </w:r>
      <w:r>
        <w:rPr>
          <w:i/>
          <w:vertAlign w:val="subscript"/>
        </w:rPr>
        <w:t>τ</w:t>
      </w:r>
      <w:r>
        <w:rPr>
          <w:i/>
        </w:rPr>
        <w:t xml:space="preserve"> Σ</w:t>
      </w:r>
      <w:r>
        <w:rPr>
          <w:i/>
          <w:vertAlign w:val="subscript"/>
        </w:rPr>
        <w:t>k</w:t>
      </w:r>
      <w:r>
        <w:rPr>
          <w:i/>
        </w:rPr>
        <w:t xml:space="preserve"> Σ</w:t>
      </w:r>
      <w:r>
        <w:rPr>
          <w:i/>
          <w:vertAlign w:val="subscript"/>
        </w:rPr>
        <w:t>t∈segment k</w:t>
      </w:r>
      <w:r>
        <w:rPr>
          <w:i/>
        </w:rPr>
        <w:t xml:space="preserve"> (y</w:t>
      </w:r>
      <w:r>
        <w:rPr>
          <w:i/>
          <w:vertAlign w:val="subscript"/>
        </w:rPr>
        <w:t>t</w:t>
      </w:r>
      <w:r>
        <w:rPr>
          <w:i/>
        </w:rPr>
        <w:t xml:space="preserve"> − ȳ</w:t>
      </w:r>
      <w:r>
        <w:rPr>
          <w:i/>
          <w:vertAlign w:val="subscript"/>
        </w:rPr>
        <w:t>k</w:t>
      </w:r>
      <w:r>
        <w:rPr>
          <w:i/>
        </w:rPr>
        <w:t>)</w:t>
      </w:r>
      <w:r>
        <w:rPr>
          <w:i/>
        </w:rPr>
        <w:t>2</w:t>
      </w:r>
      <w:r>
        <w:rPr>
          <w:i/>
        </w:rPr>
        <w:t xml:space="preserve"> + β·K</w:t>
      </w:r>
      <w:r>
        <w:tab/>
        <w:tab/>
        <w:t>(2)</w:t>
      </w:r>
    </w:p>
    <w:p>
      <w:pPr>
        <w:jc w:val="both"/>
      </w:pPr>
      <w:r>
        <w:rPr/>
        <w:t>applied to payloads launched per year 1990-2025, scaled by its standard deviation, with β = 3, minimum segment 3 years. Result: break in 2021. Compound annual growth rate CAGR = (x</w:t>
      </w:r>
      <w:r>
        <w:rPr>
          <w:vertAlign w:val="subscript"/>
        </w:rPr>
        <w:t>b</w:t>
      </w:r>
      <w:r>
        <w:rPr/>
        <w:t>/x</w:t>
      </w:r>
      <w:r>
        <w:rPr>
          <w:vertAlign w:val="subscript"/>
        </w:rPr>
        <w:t>a</w:t>
      </w:r>
      <w:r>
        <w:rPr/>
        <w:t>)</w:t>
      </w:r>
      <w:r>
        <w:rPr/>
        <w:t>1/(b−a)</w:t>
      </w:r>
      <w:r>
        <w:rPr/>
        <w:t xml:space="preserve"> − 1: 4.1% (2000-2013), 46.7% (2019-2025).</w:t>
      </w:r>
    </w:p>
    <w:p>
      <w:pPr>
        <w:pStyle w:val="Heading2"/>
      </w:pPr>
      <w:r>
        <w:rPr/>
        <w:t>2.3 Concentration</w:t>
      </w:r>
    </w:p>
    <w:p>
      <w:pPr>
        <w:jc w:val="center"/>
      </w:pPr>
      <w:r>
        <w:rPr>
          <w:i/>
        </w:rPr>
        <w:t>HHI = Σ</w:t>
      </w:r>
      <w:r>
        <w:rPr>
          <w:i/>
          <w:vertAlign w:val="subscript"/>
        </w:rPr>
        <w:t>c</w:t>
      </w:r>
      <w:r>
        <w:rPr>
          <w:i/>
        </w:rPr>
        <w:t xml:space="preserve"> (100 · s</w:t>
      </w:r>
      <w:r>
        <w:rPr>
          <w:i/>
          <w:vertAlign w:val="subscript"/>
        </w:rPr>
        <w:t>c</w:t>
      </w:r>
      <w:r>
        <w:rPr>
          <w:i/>
        </w:rPr>
        <w:t>)</w:t>
      </w:r>
      <w:r>
        <w:rPr>
          <w:i/>
        </w:rPr>
        <w:t>2</w:t>
      </w:r>
      <w:r>
        <w:rPr>
          <w:i/>
        </w:rPr>
        <w:t>, s</w:t>
      </w:r>
      <w:r>
        <w:rPr>
          <w:i/>
          <w:vertAlign w:val="subscript"/>
        </w:rPr>
        <w:t>c</w:t>
      </w:r>
      <w:r>
        <w:rPr>
          <w:i/>
        </w:rPr>
        <w:t xml:space="preserve"> = share of active satellites of country c</w:t>
      </w:r>
      <w:r>
        <w:tab/>
        <w:tab/>
        <w:t>(3)</w:t>
      </w:r>
    </w:p>
    <w:p>
      <w:pPr>
        <w:jc w:val="both"/>
      </w:pPr>
      <w:r>
        <w:rPr/>
        <w:t>Thresholds per the US merger guidelines: &gt; 1,800 moderately and &gt; 2,500 highly concentrated (older convention). Results: 2,171 (2014), 2,780 (2020), 5,879 (2026).</w:t>
      </w:r>
    </w:p>
    <w:p>
      <w:pPr>
        <w:pStyle w:val="Heading2"/>
      </w:pPr>
      <w:r>
        <w:rPr/>
        <w:t>2.4 Collision-risk index</w:t>
      </w:r>
    </w:p>
    <w:p>
      <w:pPr>
        <w:jc w:val="both"/>
      </w:pPr>
      <w:r>
        <w:rPr/>
        <w:t>Low orbit (apogee &lt; 2,000 km) is cut into 25 km shells at each object's mean altitude (perigee + apogee)/2. Under the kinetic-gas model (Kessler and Cour-Palais, 1978) the collision rate in a shell is proportional to n</w:t>
      </w:r>
      <w:r>
        <w:rPr>
          <w:vertAlign w:val="subscript"/>
        </w:rPr>
        <w:t>i</w:t>
      </w:r>
      <w:r>
        <w:rPr/>
        <w:t>2</w:t>
      </w:r>
      <w:r>
        <w:rPr/>
        <w:t xml:space="preserve"> · σ · v</w:t>
      </w:r>
      <w:r>
        <w:rPr>
          <w:vertAlign w:val="subscript"/>
        </w:rPr>
        <w:t>rel</w:t>
      </w:r>
      <w:r>
        <w:rPr/>
        <w:t xml:space="preserve"> / V</w:t>
      </w:r>
      <w:r>
        <w:rPr>
          <w:vertAlign w:val="subscript"/>
        </w:rPr>
        <w:t>i</w:t>
      </w:r>
      <w:r>
        <w:rPr/>
        <w:t>; with cross-section σ and relative speed v</w:t>
      </w:r>
      <w:r>
        <w:rPr>
          <w:vertAlign w:val="subscript"/>
        </w:rPr>
        <w:t>rel</w:t>
      </w:r>
      <w:r>
        <w:rPr/>
        <w:t xml:space="preserve"> held equal across shells:</w:t>
      </w:r>
    </w:p>
    <w:p>
      <w:pPr>
        <w:jc w:val="center"/>
      </w:pPr>
      <w:r>
        <w:rPr>
          <w:i/>
        </w:rPr>
        <w:t>I = Σ</w:t>
      </w:r>
      <w:r>
        <w:rPr>
          <w:i/>
          <w:vertAlign w:val="subscript"/>
        </w:rPr>
        <w:t>i</w:t>
      </w:r>
      <w:r>
        <w:rPr>
          <w:i/>
        </w:rPr>
        <w:t xml:space="preserve"> n</w:t>
      </w:r>
      <w:r>
        <w:rPr>
          <w:i/>
          <w:vertAlign w:val="subscript"/>
        </w:rPr>
        <w:t>i</w:t>
      </w:r>
      <w:r>
        <w:rPr>
          <w:i/>
        </w:rPr>
        <w:t>2</w:t>
      </w:r>
      <w:r>
        <w:rPr>
          <w:i/>
        </w:rPr>
        <w:t xml:space="preserve"> / V</w:t>
      </w:r>
      <w:r>
        <w:rPr>
          <w:i/>
          <w:vertAlign w:val="subscript"/>
        </w:rPr>
        <w:t>i</w:t>
      </w:r>
      <w:r>
        <w:rPr>
          <w:i/>
        </w:rPr>
        <w:t>, V</w:t>
      </w:r>
      <w:r>
        <w:rPr>
          <w:i/>
          <w:vertAlign w:val="subscript"/>
        </w:rPr>
        <w:t>i</w:t>
      </w:r>
      <w:r>
        <w:rPr>
          <w:i/>
        </w:rPr>
        <w:t xml:space="preserve"> = 4/3 π [(R+h</w:t>
      </w:r>
      <w:r>
        <w:rPr>
          <w:i/>
          <w:vertAlign w:val="subscript"/>
        </w:rPr>
        <w:t>i</w:t>
      </w:r>
      <w:r>
        <w:rPr>
          <w:i/>
        </w:rPr>
        <w:t>+Δ)</w:t>
      </w:r>
      <w:r>
        <w:rPr>
          <w:i/>
        </w:rPr>
        <w:t>3</w:t>
      </w:r>
      <w:r>
        <w:rPr>
          <w:i/>
        </w:rPr>
        <w:t xml:space="preserve"> − (R+h</w:t>
      </w:r>
      <w:r>
        <w:rPr>
          <w:i/>
          <w:vertAlign w:val="subscript"/>
        </w:rPr>
        <w:t>i</w:t>
      </w:r>
      <w:r>
        <w:rPr>
          <w:i/>
        </w:rPr>
        <w:t>)</w:t>
      </w:r>
      <w:r>
        <w:rPr>
          <w:i/>
        </w:rPr>
        <w:t>3</w:t>
      </w:r>
      <w:r>
        <w:rPr>
          <w:i/>
        </w:rPr>
        <w:t>], R = 6,371 km, Δ = 25 km</w:t>
      </w:r>
      <w:r>
        <w:tab/>
        <w:tab/>
        <w:t>(4)</w:t>
      </w:r>
    </w:p>
    <w:p>
      <w:pPr>
        <w:jc w:val="both"/>
      </w:pPr>
      <w:r>
        <w:rPr/>
        <w:t>normalised to January 2014 = 1. Result: 10.3 (Sep 2026); scenarios for 2030: 11.6 / 16.8 / 27.2. It is a relative index, not a probability; it ignores size differences and manoeuvres (which reduce real risk for active satellites) and eccentric orbits crossing several shells.</w:t>
      </w:r>
    </w:p>
    <w:p>
      <w:pPr>
        <w:pStyle w:val="Heading2"/>
      </w:pPr>
      <w:r>
        <w:rPr/>
        <w:t>2.5 Debris survival</w:t>
      </w:r>
    </w:p>
    <w:p>
      <w:pPr>
        <w:jc w:val="both"/>
      </w:pPr>
      <w:r>
        <w:rPr/>
        <w:t xml:space="preserve">For each weapon test or collision, the share of catalogued pieces still in orbit </w:t>
      </w:r>
      <w:r>
        <w:rPr>
          <w:i/>
        </w:rPr>
        <w:t>t</w:t>
      </w:r>
      <w:r>
        <w:rPr/>
        <w:t xml:space="preserve"> years after the event, with pieces still in orbit treated as censored at the catalogue date:</w:t>
      </w:r>
    </w:p>
    <w:p>
      <w:pPr>
        <w:jc w:val="center"/>
      </w:pPr>
      <w:r>
        <w:rPr>
          <w:i/>
        </w:rPr>
        <w:t>S(t) = #{ pieces with (decay − event) &gt; t or still in orbit } / #{ pieces }</w:t>
      </w:r>
      <w:r>
        <w:tab/>
        <w:tab/>
        <w:t>(5)</w:t>
      </w:r>
    </w:p>
    <w:p>
      <w:pPr>
        <w:pStyle w:val="TableCaption"/>
      </w:pPr>
      <w:r>
        <w:rPr>
          <w:b/>
        </w:rPr>
        <w:t>Table 2.1 :</w:t>
      </w:r>
      <w:r>
        <w:rPr/>
        <w:t xml:space="preserve"> Debris created and remaining by event</w:t>
      </w:r>
    </w:p>
    <w:tbl>
      <w:tblPr>
        <w:tblStyle w:val="TableGrid"/>
        <w:tblW w:w="9748" w:type="dxa"/>
        <w:jc w:val="center"/>
        <w:tblLayout w:type="fixed"/>
        <w:tblLook w:firstColumn="1" w:firstRow="1" w:lastColumn="0" w:lastRow="0" w:noHBand="0" w:noVBand="1" w:val="04A0"/>
      </w:tblPr>
      <w:tblGrid>
        <w:gridCol w:w="2289"/>
        <w:gridCol w:w="811"/>
        <w:gridCol w:w="1591"/>
        <w:gridCol w:w="1108"/>
        <w:gridCol w:w="1013"/>
        <w:gridCol w:w="958"/>
        <w:gridCol w:w="1978"/>
      </w:tblGrid>
      <w:tr>
        <w:trPr>
          <w:tblHeader w:val="true"/>
        </w:trPr>
        <w:tc>
          <w:tcPr>
            <w:tcW w:type="dxa" w:w="2289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811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591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Pieces catalogued</w:t>
            </w:r>
          </w:p>
        </w:tc>
        <w:tc>
          <w:tcPr>
            <w:tcW w:type="dxa" w:w="1108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Still in orbit (Sep 2026)</w:t>
            </w:r>
          </w:p>
        </w:tc>
        <w:tc>
          <w:tcPr>
            <w:tcW w:type="dxa" w:w="1013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Still in orbit %</w:t>
            </w:r>
          </w:p>
        </w:tc>
        <w:tc>
          <w:tcPr>
            <w:tcW w:type="dxa" w:w="958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Years since</w:t>
            </w:r>
          </w:p>
        </w:tc>
        <w:tc>
          <w:tcPr>
            <w:tcW w:type="dxa" w:w="1978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Median years to re-entry (re-entered pieces)</w:t>
            </w:r>
          </w:p>
        </w:tc>
      </w:tr>
      <w:tr>
        <w:tc>
          <w:tcPr>
            <w:tcW w:type="dxa" w:w="2289"/>
          </w:tcPr>
          <w:p>
            <w:pPr>
              <w:pStyle w:val="TableText"/>
            </w:pPr>
            <w:r>
              <w:rPr/>
              <w:t>China ASAT test</w:t>
            </w:r>
          </w:p>
        </w:tc>
        <w:tc>
          <w:tcPr>
            <w:tcW w:type="dxa" w:w="811"/>
          </w:tcPr>
          <w:p>
            <w:pPr>
              <w:pStyle w:val="TableText"/>
            </w:pPr>
            <w:r>
              <w:rPr/>
              <w:t>Jan 2007</w:t>
            </w:r>
          </w:p>
        </w:tc>
        <w:tc>
          <w:tcPr>
            <w:tcW w:type="dxa" w:w="1591"/>
          </w:tcPr>
          <w:p>
            <w:pPr>
              <w:pStyle w:val="TableText"/>
            </w:pPr>
            <w:r>
              <w:rPr/>
              <w:t>3,531</w:t>
            </w:r>
          </w:p>
        </w:tc>
        <w:tc>
          <w:tcPr>
            <w:tcW w:type="dxa" w:w="1108"/>
          </w:tcPr>
          <w:p>
            <w:pPr>
              <w:pStyle w:val="TableText"/>
            </w:pPr>
            <w:r>
              <w:rPr/>
              <w:t>2,313</w:t>
            </w:r>
          </w:p>
        </w:tc>
        <w:tc>
          <w:tcPr>
            <w:tcW w:type="dxa" w:w="1013"/>
          </w:tcPr>
          <w:p>
            <w:pPr>
              <w:pStyle w:val="TableText"/>
            </w:pPr>
            <w:r>
              <w:rPr/>
              <w:t>65.50</w:t>
            </w:r>
          </w:p>
        </w:tc>
        <w:tc>
          <w:tcPr>
            <w:tcW w:type="dxa" w:w="958"/>
          </w:tcPr>
          <w:p>
            <w:pPr>
              <w:pStyle w:val="TableText"/>
            </w:pPr>
            <w:r>
              <w:rPr/>
              <w:t>19.70</w:t>
            </w:r>
          </w:p>
        </w:tc>
        <w:tc>
          <w:tcPr>
            <w:tcW w:type="dxa" w:w="1978"/>
          </w:tcPr>
          <w:p>
            <w:pPr>
              <w:pStyle w:val="TableText"/>
            </w:pPr>
            <w:r>
              <w:rPr/>
              <w:t>9.80</w:t>
            </w:r>
          </w:p>
        </w:tc>
      </w:tr>
      <w:tr>
        <w:tc>
          <w:tcPr>
            <w:tcW w:type="dxa" w:w="2289"/>
            <w:shd w:val="clear" w:color="auto" w:fill="F4F3EF"/>
          </w:tcPr>
          <w:p>
            <w:pPr>
              <w:pStyle w:val="TableText"/>
            </w:pPr>
            <w:r>
              <w:rPr/>
              <w:t>Iridium-Cosmos collision (Russian debris)</w:t>
            </w:r>
          </w:p>
        </w:tc>
        <w:tc>
          <w:tcPr>
            <w:tcW w:type="dxa" w:w="811"/>
            <w:shd w:val="clear" w:color="auto" w:fill="F4F3EF"/>
          </w:tcPr>
          <w:p>
            <w:pPr>
              <w:pStyle w:val="TableText"/>
            </w:pPr>
            <w:r>
              <w:rPr/>
              <w:t>Feb 2009</w:t>
            </w:r>
          </w:p>
        </w:tc>
        <w:tc>
          <w:tcPr>
            <w:tcW w:type="dxa" w:w="1591"/>
            <w:shd w:val="clear" w:color="auto" w:fill="F4F3EF"/>
          </w:tcPr>
          <w:p>
            <w:pPr>
              <w:pStyle w:val="TableText"/>
            </w:pPr>
            <w:r>
              <w:rPr/>
              <w:t>1,714</w:t>
            </w:r>
          </w:p>
        </w:tc>
        <w:tc>
          <w:tcPr>
            <w:tcW w:type="dxa" w:w="1108"/>
            <w:shd w:val="clear" w:color="auto" w:fill="F4F3EF"/>
          </w:tcPr>
          <w:p>
            <w:pPr>
              <w:pStyle w:val="TableText"/>
            </w:pPr>
            <w:r>
              <w:rPr/>
              <w:t>613</w:t>
            </w:r>
          </w:p>
        </w:tc>
        <w:tc>
          <w:tcPr>
            <w:tcW w:type="dxa" w:w="1013"/>
            <w:shd w:val="clear" w:color="auto" w:fill="F4F3EF"/>
          </w:tcPr>
          <w:p>
            <w:pPr>
              <w:pStyle w:val="TableText"/>
            </w:pPr>
            <w:r>
              <w:rPr/>
              <w:t>35.80</w:t>
            </w:r>
          </w:p>
        </w:tc>
        <w:tc>
          <w:tcPr>
            <w:tcW w:type="dxa" w:w="958"/>
            <w:shd w:val="clear" w:color="auto" w:fill="F4F3EF"/>
          </w:tcPr>
          <w:p>
            <w:pPr>
              <w:pStyle w:val="TableText"/>
            </w:pPr>
            <w:r>
              <w:rPr/>
              <w:t>17.60</w:t>
            </w:r>
          </w:p>
        </w:tc>
        <w:tc>
          <w:tcPr>
            <w:tcW w:type="dxa" w:w="1978"/>
            <w:shd w:val="clear" w:color="auto" w:fill="F4F3EF"/>
          </w:tcPr>
          <w:p>
            <w:pPr>
              <w:pStyle w:val="TableText"/>
            </w:pPr>
            <w:r>
              <w:rPr/>
              <w:t>6.80</w:t>
            </w:r>
          </w:p>
        </w:tc>
      </w:tr>
      <w:tr>
        <w:tc>
          <w:tcPr>
            <w:tcW w:type="dxa" w:w="2289"/>
          </w:tcPr>
          <w:p>
            <w:pPr>
              <w:pStyle w:val="TableText"/>
            </w:pPr>
            <w:r>
              <w:rPr/>
              <w:t>Iridium-Cosmos collision (US debris)</w:t>
            </w:r>
          </w:p>
        </w:tc>
        <w:tc>
          <w:tcPr>
            <w:tcW w:type="dxa" w:w="811"/>
          </w:tcPr>
          <w:p>
            <w:pPr>
              <w:pStyle w:val="TableText"/>
            </w:pPr>
            <w:r>
              <w:rPr/>
              <w:t>Feb 2009</w:t>
            </w:r>
          </w:p>
        </w:tc>
        <w:tc>
          <w:tcPr>
            <w:tcW w:type="dxa" w:w="1591"/>
          </w:tcPr>
          <w:p>
            <w:pPr>
              <w:pStyle w:val="TableText"/>
            </w:pPr>
            <w:r>
              <w:rPr/>
              <w:t>656</w:t>
            </w:r>
          </w:p>
        </w:tc>
        <w:tc>
          <w:tcPr>
            <w:tcW w:type="dxa" w:w="1108"/>
          </w:tcPr>
          <w:p>
            <w:pPr>
              <w:pStyle w:val="TableText"/>
            </w:pPr>
            <w:r>
              <w:rPr/>
              <w:t>117</w:t>
            </w:r>
          </w:p>
        </w:tc>
        <w:tc>
          <w:tcPr>
            <w:tcW w:type="dxa" w:w="1013"/>
          </w:tcPr>
          <w:p>
            <w:pPr>
              <w:pStyle w:val="TableText"/>
            </w:pPr>
            <w:r>
              <w:rPr/>
              <w:t>17.80</w:t>
            </w:r>
          </w:p>
        </w:tc>
        <w:tc>
          <w:tcPr>
            <w:tcW w:type="dxa" w:w="958"/>
          </w:tcPr>
          <w:p>
            <w:pPr>
              <w:pStyle w:val="TableText"/>
            </w:pPr>
            <w:r>
              <w:rPr/>
              <w:t>17.60</w:t>
            </w:r>
          </w:p>
        </w:tc>
        <w:tc>
          <w:tcPr>
            <w:tcW w:type="dxa" w:w="1978"/>
          </w:tcPr>
          <w:p>
            <w:pPr>
              <w:pStyle w:val="TableText"/>
            </w:pPr>
            <w:r>
              <w:rPr/>
              <w:t>6.90</w:t>
            </w:r>
          </w:p>
        </w:tc>
      </w:tr>
      <w:tr>
        <w:tc>
          <w:tcPr>
            <w:tcW w:type="dxa" w:w="2289"/>
            <w:shd w:val="clear" w:color="auto" w:fill="F4F3EF"/>
          </w:tcPr>
          <w:p>
            <w:pPr>
              <w:pStyle w:val="TableText"/>
            </w:pPr>
            <w:r>
              <w:rPr/>
              <w:t>US ASAT intercept</w:t>
            </w:r>
          </w:p>
        </w:tc>
        <w:tc>
          <w:tcPr>
            <w:tcW w:type="dxa" w:w="811"/>
            <w:shd w:val="clear" w:color="auto" w:fill="F4F3EF"/>
          </w:tcPr>
          <w:p>
            <w:pPr>
              <w:pStyle w:val="TableText"/>
            </w:pPr>
            <w:r>
              <w:rPr/>
              <w:t>Feb 2008</w:t>
            </w:r>
          </w:p>
        </w:tc>
        <w:tc>
          <w:tcPr>
            <w:tcW w:type="dxa" w:w="1591"/>
            <w:shd w:val="clear" w:color="auto" w:fill="F4F3EF"/>
          </w:tcPr>
          <w:p>
            <w:pPr>
              <w:pStyle w:val="TableText"/>
            </w:pPr>
            <w:r>
              <w:rPr/>
              <w:t>174</w:t>
            </w:r>
          </w:p>
        </w:tc>
        <w:tc>
          <w:tcPr>
            <w:tcW w:type="dxa" w:w="1108"/>
            <w:shd w:val="clear" w:color="auto" w:fill="F4F3EF"/>
          </w:tcPr>
          <w:p>
            <w:pPr>
              <w:pStyle w:val="TableText"/>
            </w:pPr>
            <w:r>
              <w:rPr/>
              <w:t>0</w:t>
            </w:r>
          </w:p>
        </w:tc>
        <w:tc>
          <w:tcPr>
            <w:tcW w:type="dxa" w:w="1013"/>
            <w:shd w:val="clear" w:color="auto" w:fill="F4F3EF"/>
          </w:tcPr>
          <w:p>
            <w:pPr>
              <w:pStyle w:val="TableText"/>
            </w:pPr>
            <w:r>
              <w:rPr/>
              <w:t>0</w:t>
            </w:r>
          </w:p>
        </w:tc>
        <w:tc>
          <w:tcPr>
            <w:tcW w:type="dxa" w:w="958"/>
            <w:shd w:val="clear" w:color="auto" w:fill="F4F3EF"/>
          </w:tcPr>
          <w:p>
            <w:pPr>
              <w:pStyle w:val="TableText"/>
            </w:pPr>
            <w:r>
              <w:rPr/>
              <w:t>18.60</w:t>
            </w:r>
          </w:p>
        </w:tc>
        <w:tc>
          <w:tcPr>
            <w:tcW w:type="dxa" w:w="1978"/>
            <w:shd w:val="clear" w:color="auto" w:fill="F4F3EF"/>
          </w:tcPr>
          <w:p>
            <w:pPr>
              <w:pStyle w:val="TableText"/>
            </w:pPr>
            <w:r>
              <w:rPr/>
              <w:t>0.10</w:t>
            </w:r>
          </w:p>
        </w:tc>
      </w:tr>
      <w:tr>
        <w:tc>
          <w:tcPr>
            <w:tcW w:type="dxa" w:w="2289"/>
          </w:tcPr>
          <w:p>
            <w:pPr>
              <w:pStyle w:val="TableText"/>
            </w:pPr>
            <w:r>
              <w:rPr/>
              <w:t>India ASAT test (Mission Shakti)</w:t>
            </w:r>
          </w:p>
        </w:tc>
        <w:tc>
          <w:tcPr>
            <w:tcW w:type="dxa" w:w="811"/>
          </w:tcPr>
          <w:p>
            <w:pPr>
              <w:pStyle w:val="TableText"/>
            </w:pPr>
            <w:r>
              <w:rPr/>
              <w:t>Mar 2019</w:t>
            </w:r>
          </w:p>
        </w:tc>
        <w:tc>
          <w:tcPr>
            <w:tcW w:type="dxa" w:w="1591"/>
          </w:tcPr>
          <w:p>
            <w:pPr>
              <w:pStyle w:val="TableText"/>
            </w:pPr>
            <w:r>
              <w:rPr/>
              <w:t>129</w:t>
            </w:r>
          </w:p>
        </w:tc>
        <w:tc>
          <w:tcPr>
            <w:tcW w:type="dxa" w:w="1108"/>
          </w:tcPr>
          <w:p>
            <w:pPr>
              <w:pStyle w:val="TableText"/>
            </w:pPr>
            <w:r>
              <w:rPr/>
              <w:t>0</w:t>
            </w:r>
          </w:p>
        </w:tc>
        <w:tc>
          <w:tcPr>
            <w:tcW w:type="dxa" w:w="1013"/>
          </w:tcPr>
          <w:p>
            <w:pPr>
              <w:pStyle w:val="TableText"/>
            </w:pPr>
            <w:r>
              <w:rPr/>
              <w:t>0</w:t>
            </w:r>
          </w:p>
        </w:tc>
        <w:tc>
          <w:tcPr>
            <w:tcW w:type="dxa" w:w="958"/>
          </w:tcPr>
          <w:p>
            <w:pPr>
              <w:pStyle w:val="TableText"/>
            </w:pPr>
            <w:r>
              <w:rPr/>
              <w:t>7.50</w:t>
            </w:r>
          </w:p>
        </w:tc>
        <w:tc>
          <w:tcPr>
            <w:tcW w:type="dxa" w:w="1978"/>
          </w:tcPr>
          <w:p>
            <w:pPr>
              <w:pStyle w:val="TableText"/>
            </w:pPr>
            <w:r>
              <w:rPr/>
              <w:t>0.40</w:t>
            </w:r>
          </w:p>
        </w:tc>
      </w:tr>
      <w:tr>
        <w:tc>
          <w:tcPr>
            <w:tcW w:type="dxa" w:w="2289"/>
            <w:shd w:val="clear" w:color="auto" w:fill="F4F3EF"/>
          </w:tcPr>
          <w:p>
            <w:pPr>
              <w:pStyle w:val="TableText"/>
            </w:pPr>
            <w:r>
              <w:rPr/>
              <w:t>Russia ASAT test</w:t>
            </w:r>
          </w:p>
        </w:tc>
        <w:tc>
          <w:tcPr>
            <w:tcW w:type="dxa" w:w="811"/>
            <w:shd w:val="clear" w:color="auto" w:fill="F4F3EF"/>
          </w:tcPr>
          <w:p>
            <w:pPr>
              <w:pStyle w:val="TableText"/>
            </w:pPr>
            <w:r>
              <w:rPr/>
              <w:t>Nov 2021</w:t>
            </w:r>
          </w:p>
        </w:tc>
        <w:tc>
          <w:tcPr>
            <w:tcW w:type="dxa" w:w="1591"/>
            <w:shd w:val="clear" w:color="auto" w:fill="F4F3EF"/>
          </w:tcPr>
          <w:p>
            <w:pPr>
              <w:pStyle w:val="TableText"/>
            </w:pPr>
            <w:r>
              <w:rPr/>
              <w:t>1,806</w:t>
            </w:r>
          </w:p>
        </w:tc>
        <w:tc>
          <w:tcPr>
            <w:tcW w:type="dxa" w:w="1108"/>
            <w:shd w:val="clear" w:color="auto" w:fill="F4F3EF"/>
          </w:tcPr>
          <w:p>
            <w:pPr>
              <w:pStyle w:val="TableText"/>
            </w:pPr>
            <w:r>
              <w:rPr/>
              <w:t>4</w:t>
            </w:r>
          </w:p>
        </w:tc>
        <w:tc>
          <w:tcPr>
            <w:tcW w:type="dxa" w:w="1013"/>
            <w:shd w:val="clear" w:color="auto" w:fill="F4F3EF"/>
          </w:tcPr>
          <w:p>
            <w:pPr>
              <w:pStyle w:val="TableText"/>
            </w:pPr>
            <w:r>
              <w:rPr/>
              <w:t>0.20</w:t>
            </w:r>
          </w:p>
        </w:tc>
        <w:tc>
          <w:tcPr>
            <w:tcW w:type="dxa" w:w="958"/>
            <w:shd w:val="clear" w:color="auto" w:fill="F4F3EF"/>
          </w:tcPr>
          <w:p>
            <w:pPr>
              <w:pStyle w:val="TableText"/>
            </w:pPr>
            <w:r>
              <w:rPr/>
              <w:t>4.80</w:t>
            </w:r>
          </w:p>
        </w:tc>
        <w:tc>
          <w:tcPr>
            <w:tcW w:type="dxa" w:w="1978"/>
            <w:shd w:val="clear" w:color="auto" w:fill="F4F3EF"/>
          </w:tcPr>
          <w:p>
            <w:pPr>
              <w:pStyle w:val="TableText"/>
            </w:pPr>
            <w:r>
              <w:rPr/>
              <w:t>0.50</w:t>
            </w:r>
          </w:p>
        </w:tc>
      </w:tr>
    </w:tbl>
    <w:p>
      <w:pPr>
        <w:spacing w:after="40" w:line="144" w:lineRule="auto"/>
      </w:pPr>
    </w:p>
    <w:p>
      <w:pPr>
        <w:pStyle w:val="Heading1"/>
        <w:spacing w:before="360"/>
      </w:pPr>
      <w:r>
        <w:rPr/>
        <w:t>3. CONTEST, SPACE WEATHER AND EARTH-OBSERVATION VALUE</w:t>
      </w:r>
    </w:p>
    <w:p>
      <w:pPr>
        <w:pStyle w:val="Heading2"/>
      </w:pPr>
      <w:r>
        <w:rPr/>
        <w:t>3.1 Programme families (name rules)</w:t>
      </w:r>
    </w:p>
    <w:p>
      <w:pPr>
        <w:pStyle w:val="TableCaption"/>
      </w:pPr>
      <w:r>
        <w:rPr>
          <w:b/>
        </w:rPr>
        <w:t>Table 3.1 :</w:t>
      </w:r>
      <w:r>
        <w:rPr/>
        <w:t xml:space="preserve"> Military and state-ISR families from official names (lower bound: covert or commercially flagged military satellites are not counted)</w:t>
      </w:r>
    </w:p>
    <w:tbl>
      <w:tblPr>
        <w:tblStyle w:val="TableGrid"/>
        <w:tblW w:w="9749" w:type="dxa"/>
        <w:jc w:val="center"/>
        <w:tblLayout w:type="fixed"/>
        <w:tblLook w:firstColumn="1" w:firstRow="1" w:lastColumn="0" w:lastRow="0" w:noHBand="0" w:noVBand="1" w:val="04A0"/>
      </w:tblPr>
      <w:tblGrid>
        <w:gridCol w:w="1311"/>
        <w:gridCol w:w="4454"/>
        <w:gridCol w:w="2177"/>
        <w:gridCol w:w="1807"/>
      </w:tblGrid>
      <w:tr>
        <w:trPr>
          <w:tblHeader w:val="true"/>
        </w:trPr>
        <w:tc>
          <w:tcPr>
            <w:tcW w:type="dxa" w:w="1311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Country</w:t>
            </w:r>
          </w:p>
        </w:tc>
        <w:tc>
          <w:tcPr>
            <w:tcW w:type="dxa" w:w="4454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Programme family</w:t>
            </w:r>
          </w:p>
        </w:tc>
        <w:tc>
          <w:tcPr>
            <w:tcW w:type="dxa" w:w="217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Operational Sep 2026</w:t>
            </w:r>
          </w:p>
        </w:tc>
        <w:tc>
          <w:tcPr>
            <w:tcW w:type="dxa" w:w="180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Launched since 2014</w:t>
            </w:r>
          </w:p>
        </w:tc>
      </w:tr>
      <w:tr>
        <w:tc>
          <w:tcPr>
            <w:tcW w:type="dxa" w:w="1311"/>
          </w:tcPr>
          <w:p>
            <w:pPr>
              <w:pStyle w:val="TableText"/>
            </w:pPr>
            <w:r>
              <w:rPr/>
              <w:t>China</w:t>
            </w:r>
          </w:p>
        </w:tc>
        <w:tc>
          <w:tcPr>
            <w:tcW w:type="dxa" w:w="4454"/>
          </w:tcPr>
          <w:p>
            <w:pPr>
              <w:pStyle w:val="TableText"/>
            </w:pPr>
            <w:r>
              <w:rPr/>
              <w:t>China: Yaogan military reconnaissance</w:t>
            </w:r>
          </w:p>
        </w:tc>
        <w:tc>
          <w:tcPr>
            <w:tcW w:type="dxa" w:w="2177"/>
          </w:tcPr>
          <w:p>
            <w:pPr>
              <w:pStyle w:val="TableText"/>
            </w:pPr>
            <w:r>
              <w:rPr/>
              <w:t>164</w:t>
            </w:r>
          </w:p>
        </w:tc>
        <w:tc>
          <w:tcPr>
            <w:tcW w:type="dxa" w:w="1807"/>
          </w:tcPr>
          <w:p>
            <w:pPr>
              <w:pStyle w:val="TableText"/>
            </w:pPr>
            <w:r>
              <w:rPr/>
              <w:t>149</w:t>
            </w:r>
          </w:p>
        </w:tc>
      </w:tr>
      <w:tr>
        <w:tc>
          <w:tcPr>
            <w:tcW w:type="dxa" w:w="1311"/>
            <w:shd w:val="clear" w:color="auto" w:fill="F4F3EF"/>
          </w:tcPr>
          <w:p>
            <w:pPr>
              <w:pStyle w:val="TableText"/>
            </w:pPr>
            <w:r>
              <w:rPr/>
              <w:t>China</w:t>
            </w:r>
          </w:p>
        </w:tc>
        <w:tc>
          <w:tcPr>
            <w:tcW w:type="dxa" w:w="4454"/>
            <w:shd w:val="clear" w:color="auto" w:fill="F4F3EF"/>
          </w:tcPr>
          <w:p>
            <w:pPr>
              <w:pStyle w:val="TableText"/>
            </w:pPr>
            <w:r>
              <w:rPr/>
              <w:t>China: other state ISR &amp; tech (Gaofen, TJS, Shiyan, Shijian, Tianhui, Yunhai)</w:t>
            </w:r>
          </w:p>
        </w:tc>
        <w:tc>
          <w:tcPr>
            <w:tcW w:type="dxa" w:w="2177"/>
            <w:shd w:val="clear" w:color="auto" w:fill="F4F3EF"/>
          </w:tcPr>
          <w:p>
            <w:pPr>
              <w:pStyle w:val="TableText"/>
            </w:pPr>
            <w:r>
              <w:rPr/>
              <w:t>183</w:t>
            </w:r>
          </w:p>
        </w:tc>
        <w:tc>
          <w:tcPr>
            <w:tcW w:type="dxa" w:w="1807"/>
            <w:shd w:val="clear" w:color="auto" w:fill="F4F3EF"/>
          </w:tcPr>
          <w:p>
            <w:pPr>
              <w:pStyle w:val="TableText"/>
            </w:pPr>
            <w:r>
              <w:rPr/>
              <w:t>173</w:t>
            </w:r>
          </w:p>
        </w:tc>
      </w:tr>
      <w:tr>
        <w:tc>
          <w:tcPr>
            <w:tcW w:type="dxa" w:w="1311"/>
          </w:tcPr>
          <w:p>
            <w:pPr>
              <w:pStyle w:val="TableText"/>
            </w:pPr>
            <w:r>
              <w:rPr/>
              <w:t>China</w:t>
            </w:r>
          </w:p>
        </w:tc>
        <w:tc>
          <w:tcPr>
            <w:tcW w:type="dxa" w:w="4454"/>
          </w:tcPr>
          <w:p>
            <w:pPr>
              <w:pStyle w:val="TableText"/>
            </w:pPr>
            <w:r>
              <w:rPr/>
              <w:t>China: commercial imagers (Jilin-1, Superview)</w:t>
            </w:r>
          </w:p>
        </w:tc>
        <w:tc>
          <w:tcPr>
            <w:tcW w:type="dxa" w:w="2177"/>
          </w:tcPr>
          <w:p>
            <w:pPr>
              <w:pStyle w:val="TableText"/>
            </w:pPr>
            <w:r>
              <w:rPr/>
              <w:t>59</w:t>
            </w:r>
          </w:p>
        </w:tc>
        <w:tc>
          <w:tcPr>
            <w:tcW w:type="dxa" w:w="1807"/>
          </w:tcPr>
          <w:p>
            <w:pPr>
              <w:pStyle w:val="TableText"/>
            </w:pPr>
            <w:r>
              <w:rPr/>
              <w:t>94</w:t>
            </w:r>
          </w:p>
        </w:tc>
      </w:tr>
      <w:tr>
        <w:tc>
          <w:tcPr>
            <w:tcW w:type="dxa" w:w="1311"/>
            <w:shd w:val="clear" w:color="auto" w:fill="F4F3EF"/>
          </w:tcPr>
          <w:p>
            <w:pPr>
              <w:pStyle w:val="TableText"/>
            </w:pPr>
            <w:r>
              <w:rPr/>
              <w:t>USA</w:t>
            </w:r>
          </w:p>
        </w:tc>
        <w:tc>
          <w:tcPr>
            <w:tcW w:type="dxa" w:w="4454"/>
            <w:shd w:val="clear" w:color="auto" w:fill="F4F3EF"/>
          </w:tcPr>
          <w:p>
            <w:pPr>
              <w:pStyle w:val="TableText"/>
            </w:pPr>
            <w:r>
              <w:rPr/>
              <w:t>USA: national-security payloads (USA-nnn)</w:t>
            </w:r>
          </w:p>
        </w:tc>
        <w:tc>
          <w:tcPr>
            <w:tcW w:type="dxa" w:w="2177"/>
            <w:shd w:val="clear" w:color="auto" w:fill="F4F3EF"/>
          </w:tcPr>
          <w:p>
            <w:pPr>
              <w:pStyle w:val="TableText"/>
            </w:pPr>
            <w:r>
              <w:rPr/>
              <w:t>417</w:t>
            </w:r>
          </w:p>
        </w:tc>
        <w:tc>
          <w:tcPr>
            <w:tcW w:type="dxa" w:w="1807"/>
            <w:shd w:val="clear" w:color="auto" w:fill="F4F3EF"/>
          </w:tcPr>
          <w:p>
            <w:pPr>
              <w:pStyle w:val="TableText"/>
            </w:pPr>
            <w:r>
              <w:rPr/>
              <w:t>385</w:t>
            </w:r>
          </w:p>
        </w:tc>
      </w:tr>
      <w:tr>
        <w:tc>
          <w:tcPr>
            <w:tcW w:type="dxa" w:w="1311"/>
          </w:tcPr>
          <w:p>
            <w:pPr>
              <w:pStyle w:val="TableText"/>
            </w:pPr>
            <w:r>
              <w:rPr/>
              <w:t>USA</w:t>
            </w:r>
          </w:p>
        </w:tc>
        <w:tc>
          <w:tcPr>
            <w:tcW w:type="dxa" w:w="4454"/>
          </w:tcPr>
          <w:p>
            <w:pPr>
              <w:pStyle w:val="TableText"/>
            </w:pPr>
            <w:r>
              <w:rPr/>
              <w:t>USA: commercial imagers (Planet, Maxar, BlackSky, Capella)</w:t>
            </w:r>
          </w:p>
        </w:tc>
        <w:tc>
          <w:tcPr>
            <w:tcW w:type="dxa" w:w="2177"/>
          </w:tcPr>
          <w:p>
            <w:pPr>
              <w:pStyle w:val="TableText"/>
            </w:pPr>
            <w:r>
              <w:rPr/>
              <w:t>125</w:t>
            </w:r>
          </w:p>
        </w:tc>
        <w:tc>
          <w:tcPr>
            <w:tcW w:type="dxa" w:w="1807"/>
          </w:tcPr>
          <w:p>
            <w:pPr>
              <w:pStyle w:val="TableText"/>
            </w:pPr>
            <w:r>
              <w:rPr/>
              <w:t>581</w:t>
            </w:r>
          </w:p>
        </w:tc>
      </w:tr>
      <w:tr>
        <w:tc>
          <w:tcPr>
            <w:tcW w:type="dxa" w:w="1311"/>
            <w:shd w:val="clear" w:color="auto" w:fill="F4F3EF"/>
          </w:tcPr>
          <w:p>
            <w:pPr>
              <w:pStyle w:val="TableText"/>
            </w:pPr>
            <w:r>
              <w:rPr/>
              <w:t>Russia</w:t>
            </w:r>
          </w:p>
        </w:tc>
        <w:tc>
          <w:tcPr>
            <w:tcW w:type="dxa" w:w="4454"/>
            <w:shd w:val="clear" w:color="auto" w:fill="F4F3EF"/>
          </w:tcPr>
          <w:p>
            <w:pPr>
              <w:pStyle w:val="TableText"/>
            </w:pPr>
            <w:r>
              <w:rPr/>
              <w:t>Russia: military (Cosmos)</w:t>
            </w:r>
          </w:p>
        </w:tc>
        <w:tc>
          <w:tcPr>
            <w:tcW w:type="dxa" w:w="2177"/>
            <w:shd w:val="clear" w:color="auto" w:fill="F4F3EF"/>
          </w:tcPr>
          <w:p>
            <w:pPr>
              <w:pStyle w:val="TableText"/>
            </w:pPr>
            <w:r>
              <w:rPr/>
              <w:t>146</w:t>
            </w:r>
          </w:p>
        </w:tc>
        <w:tc>
          <w:tcPr>
            <w:tcW w:type="dxa" w:w="1807"/>
            <w:shd w:val="clear" w:color="auto" w:fill="F4F3EF"/>
          </w:tcPr>
          <w:p>
            <w:pPr>
              <w:pStyle w:val="TableText"/>
            </w:pPr>
            <w:r>
              <w:rPr/>
              <w:t>125</w:t>
            </w:r>
          </w:p>
        </w:tc>
      </w:tr>
      <w:tr>
        <w:tc>
          <w:tcPr>
            <w:tcW w:type="dxa" w:w="1311"/>
          </w:tcPr>
          <w:p>
            <w:pPr>
              <w:pStyle w:val="TableText"/>
            </w:pPr>
            <w:r>
              <w:rPr/>
              <w:t>India</w:t>
            </w:r>
          </w:p>
        </w:tc>
        <w:tc>
          <w:tcPr>
            <w:tcW w:type="dxa" w:w="4454"/>
          </w:tcPr>
          <w:p>
            <w:pPr>
              <w:pStyle w:val="TableText"/>
            </w:pPr>
            <w:r>
              <w:rPr/>
              <w:t>India: ISR &amp; military (RISAT, Cartosat, EOS, EMISAT, GSAT-7)</w:t>
            </w:r>
          </w:p>
        </w:tc>
        <w:tc>
          <w:tcPr>
            <w:tcW w:type="dxa" w:w="2177"/>
          </w:tcPr>
          <w:p>
            <w:pPr>
              <w:pStyle w:val="TableText"/>
            </w:pPr>
            <w:r>
              <w:rPr/>
              <w:t>17</w:t>
            </w:r>
          </w:p>
        </w:tc>
        <w:tc>
          <w:tcPr>
            <w:tcW w:type="dxa" w:w="1807"/>
          </w:tcPr>
          <w:p>
            <w:pPr>
              <w:pStyle w:val="TableText"/>
            </w:pPr>
            <w:r>
              <w:rPr/>
              <w:t>15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/>
        <w:t>3.2 Geomagnetic storms</w:t>
      </w:r>
    </w:p>
    <w:p>
      <w:pPr>
        <w:jc w:val="both"/>
      </w:pPr>
      <w:r>
        <w:rPr/>
        <w:t>Storm = a run of consecutive hours with Dst ≤ −50 nT; intense if its minimum ≤ −100 nT, severe if ≤ −200 nT (Gonzalez et al., 1994). Each hour is matched to the smoothed sunspot number by linear interpolation; data are cut into 30-day blocks (blocks with &lt; 25 days dropped). Poisson regression of intense-storm counts:</w:t>
      </w:r>
    </w:p>
    <w:p>
      <w:pPr>
        <w:jc w:val="center"/>
      </w:pPr>
      <w:r>
        <w:rPr>
          <w:i/>
        </w:rPr>
        <w:t>log E[storms</w:t>
      </w:r>
      <w:r>
        <w:rPr>
          <w:i/>
          <w:vertAlign w:val="subscript"/>
        </w:rPr>
        <w:t>b</w:t>
      </w:r>
      <w:r>
        <w:rPr>
          <w:i/>
        </w:rPr>
        <w:t>] = β</w:t>
      </w:r>
      <w:r>
        <w:rPr>
          <w:i/>
          <w:vertAlign w:val="subscript"/>
        </w:rPr>
        <w:t>0</w:t>
      </w:r>
      <w:r>
        <w:rPr>
          <w:i/>
        </w:rPr>
        <w:t xml:space="preserve"> + β</w:t>
      </w:r>
      <w:r>
        <w:rPr>
          <w:i/>
          <w:vertAlign w:val="subscript"/>
        </w:rPr>
        <w:t>1</w:t>
      </w:r>
      <w:r>
        <w:rPr>
          <w:i/>
        </w:rPr>
        <w:t xml:space="preserve"> · SSN</w:t>
      </w:r>
      <w:r>
        <w:rPr>
          <w:i/>
          <w:vertAlign w:val="subscript"/>
        </w:rPr>
        <w:t>b</w:t>
      </w:r>
      <w:r>
        <w:rPr>
          <w:i/>
        </w:rPr>
        <w:t>/50</w:t>
      </w:r>
      <w:r>
        <w:tab/>
        <w:tab/>
        <w:t>(6)</w:t>
      </w:r>
    </w:p>
    <w:p>
      <w:pPr>
        <w:jc w:val="both"/>
      </w:pPr>
      <w:r>
        <w:rPr/>
        <w:t>gives a rate ratio e</w:t>
      </w:r>
      <w:r>
        <w:rPr/>
        <w:t>β1</w:t>
      </w:r>
      <w:r>
        <w:rPr/>
        <w:t xml:space="preserve"> = 1.88 per 50 sunspots (p = 1.1e-08); Spearman ρ between block sunspot number and block minimum Dst = -0.57 (p = 4.8e-18). Share of 30-day blocks with at least one intense storm: 39% at SSN ≥ 100 vs 6% at SSN &lt; 30.</w:t>
      </w:r>
    </w:p>
    <w:p>
      <w:pPr>
        <w:pStyle w:val="TableCaption"/>
      </w:pPr>
      <w:r>
        <w:rPr>
          <w:b/>
        </w:rPr>
        <w:t>Table 3.2 :</w:t>
      </w:r>
      <w:r>
        <w:rPr/>
        <w:t xml:space="preserve"> Storm events by class</w:t>
      </w:r>
    </w:p>
    <w:tbl>
      <w:tblPr>
        <w:tblStyle w:val="TableGrid"/>
        <w:tblW w:w="9750" w:type="dxa"/>
        <w:jc w:val="center"/>
        <w:tblLayout w:type="fixed"/>
        <w:tblLook w:firstColumn="1" w:firstRow="1" w:lastColumn="0" w:lastRow="0" w:noHBand="0" w:noVBand="1" w:val="04A0"/>
      </w:tblPr>
      <w:tblGrid>
        <w:gridCol w:w="7156"/>
        <w:gridCol w:w="2594"/>
      </w:tblGrid>
      <w:tr>
        <w:trPr>
          <w:tblHeader w:val="true"/>
        </w:trPr>
        <w:tc>
          <w:tcPr>
            <w:tcW w:type="dxa" w:w="7156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594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Events</w:t>
            </w:r>
          </w:p>
        </w:tc>
      </w:tr>
      <w:tr>
        <w:tc>
          <w:tcPr>
            <w:tcW w:type="dxa" w:w="7156"/>
          </w:tcPr>
          <w:p>
            <w:pPr>
              <w:pStyle w:val="TableText"/>
            </w:pPr>
            <w:r>
              <w:rPr/>
              <w:t>Moderate (-50 to -100 nT)</w:t>
            </w:r>
          </w:p>
        </w:tc>
        <w:tc>
          <w:tcPr>
            <w:tcW w:type="dxa" w:w="2594"/>
          </w:tcPr>
          <w:p>
            <w:pPr>
              <w:pStyle w:val="TableText"/>
            </w:pPr>
            <w:r>
              <w:rPr/>
              <w:t>498</w:t>
            </w:r>
          </w:p>
        </w:tc>
      </w:tr>
      <w:tr>
        <w:tc>
          <w:tcPr>
            <w:tcW w:type="dxa" w:w="7156"/>
            <w:shd w:val="clear" w:color="auto" w:fill="F4F3EF"/>
          </w:tcPr>
          <w:p>
            <w:pPr>
              <w:pStyle w:val="TableText"/>
            </w:pPr>
            <w:r>
              <w:rPr/>
              <w:t>Intense (-100 to -200 nT)</w:t>
            </w:r>
          </w:p>
        </w:tc>
        <w:tc>
          <w:tcPr>
            <w:tcW w:type="dxa" w:w="2594"/>
            <w:shd w:val="clear" w:color="auto" w:fill="F4F3EF"/>
          </w:tcPr>
          <w:p>
            <w:pPr>
              <w:pStyle w:val="TableText"/>
            </w:pPr>
            <w:r>
              <w:rPr/>
              <w:t>46</w:t>
            </w:r>
          </w:p>
        </w:tc>
      </w:tr>
      <w:tr>
        <w:tc>
          <w:tcPr>
            <w:tcW w:type="dxa" w:w="7156"/>
          </w:tcPr>
          <w:p>
            <w:pPr>
              <w:pStyle w:val="TableText"/>
            </w:pPr>
            <w:r>
              <w:rPr/>
              <w:t>Severe (&lt;= -200 nT)</w:t>
            </w:r>
          </w:p>
        </w:tc>
        <w:tc>
          <w:tcPr>
            <w:tcW w:type="dxa" w:w="2594"/>
          </w:tcPr>
          <w:p>
            <w:pPr>
              <w:pStyle w:val="TableText"/>
            </w:pPr>
            <w:r>
              <w:rPr/>
              <w:t>13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/>
        <w:t>3.3 Solar cycle in re-entries</w:t>
      </w:r>
    </w:p>
    <w:p>
      <w:pPr>
        <w:jc w:val="both"/>
      </w:pPr>
      <w:r>
        <w:rPr/>
        <w:t>Re-entry rate r</w:t>
      </w:r>
      <w:r>
        <w:rPr>
          <w:vertAlign w:val="subscript"/>
        </w:rPr>
        <w:t>y</w:t>
      </w:r>
      <w:r>
        <w:rPr/>
        <w:t xml:space="preserve"> = debris and rocket bodies (perigee &lt; 2,000 km at the start of year y) re-entering in year y / that population, 1965-2025. log r</w:t>
      </w:r>
      <w:r>
        <w:rPr>
          <w:vertAlign w:val="subscript"/>
        </w:rPr>
        <w:t>y</w:t>
      </w:r>
      <w:r>
        <w:rPr/>
        <w:t xml:space="preserve"> is de-trended with a quadratic and a periodogram taken; the dominant period is 12.2 years (solar cycle ~11 years). Mean rate near solar maxima 3.9% vs minima 2.3%.</w:t>
      </w:r>
    </w:p>
    <w:p>
      <w:pPr>
        <w:pStyle w:val="Heading2"/>
      </w:pPr>
      <w:r>
        <w:rPr/>
        <w:t>3.4 Constellation premium and surge detection (MODIS)</w:t>
      </w:r>
    </w:p>
    <w:p>
      <w:pPr>
        <w:jc w:val="both"/>
      </w:pPr>
      <w:r>
        <w:rPr/>
        <w:t>Each archive detection is assigned to a cell-day (0.1° latitude x 0.1° longitude x calendar day). The share of cell-days seen by only one satellite is 84% (Aqua only 46%, Terra only 38%). Monthly surge score z</w:t>
      </w:r>
      <w:r>
        <w:rPr>
          <w:vertAlign w:val="subscript"/>
        </w:rPr>
        <w:t>m</w:t>
      </w:r>
      <w:r>
        <w:rPr/>
        <w:t xml:space="preserve"> = (x</w:t>
      </w:r>
      <w:r>
        <w:rPr>
          <w:vertAlign w:val="subscript"/>
        </w:rPr>
        <w:t>m</w:t>
      </w:r>
      <w:r>
        <w:rPr/>
        <w:t xml:space="preserve"> − median of the same month in earlier years) / their standard deviation; z &gt; 2 flags a surge (11 months).</w:t>
      </w:r>
    </w:p>
    <w:p>
      <w:pPr>
        <w:pStyle w:val="Heading1"/>
        <w:spacing w:before="360"/>
      </w:pPr>
      <w:r>
        <w:rPr/>
        <w:t>4. MACHINE LEARNING: MILITARY-USE CLASSIFIER</w:t>
      </w:r>
    </w:p>
    <w:p>
      <w:pPr>
        <w:pStyle w:val="TableCaption"/>
      </w:pPr>
      <w:r>
        <w:rPr>
          <w:b/>
        </w:rPr>
        <w:t>Table 4.1 :</w:t>
      </w:r>
      <w:r>
        <w:rPr/>
        <w:t xml:space="preserve"> Features</w:t>
      </w:r>
    </w:p>
    <w:tbl>
      <w:tblPr>
        <w:tblStyle w:val="TableGrid"/>
        <w:tblW w:w="9750" w:type="dxa"/>
        <w:jc w:val="center"/>
        <w:tblLayout w:type="fixed"/>
        <w:tblLook w:firstColumn="1" w:firstRow="1" w:lastColumn="0" w:lastRow="0" w:noHBand="0" w:noVBand="1" w:val="04A0"/>
      </w:tblPr>
      <w:tblGrid>
        <w:gridCol w:w="2095"/>
        <w:gridCol w:w="7655"/>
      </w:tblGrid>
      <w:tr>
        <w:trPr>
          <w:tblHeader w:val="true"/>
        </w:trPr>
        <w:tc>
          <w:tcPr>
            <w:tcW w:type="dxa" w:w="2095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7655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Features</w:t>
            </w:r>
          </w:p>
        </w:tc>
      </w:tr>
      <w:tr>
        <w:tc>
          <w:tcPr>
            <w:tcW w:type="dxa" w:w="2095"/>
          </w:tcPr>
          <w:p>
            <w:pPr>
              <w:pStyle w:val="TableText"/>
            </w:pPr>
            <w:r>
              <w:rPr/>
              <w:t>Orbit</w:t>
            </w:r>
          </w:p>
        </w:tc>
        <w:tc>
          <w:tcPr>
            <w:tcW w:type="dxa" w:w="7655"/>
          </w:tcPr>
          <w:p>
            <w:pPr>
              <w:pStyle w:val="TableText"/>
            </w:pPr>
            <w:r>
              <w:rPr/>
              <w:t>log perigee, log apogee, eccentricity, inclination, log period; orbit class (LEO/MEO/GEO/elliptical)</w:t>
            </w:r>
          </w:p>
        </w:tc>
      </w:tr>
      <w:tr>
        <w:tc>
          <w:tcPr>
            <w:tcW w:type="dxa" w:w="2095"/>
            <w:shd w:val="clear" w:color="auto" w:fill="F4F3EF"/>
          </w:tcPr>
          <w:p>
            <w:pPr>
              <w:pStyle w:val="TableText"/>
            </w:pPr>
            <w:r>
              <w:rPr/>
              <w:t>Engineered</w:t>
            </w:r>
          </w:p>
        </w:tc>
        <w:tc>
          <w:tcPr>
            <w:tcW w:type="dxa" w:w="7655"/>
            <w:shd w:val="clear" w:color="auto" w:fill="F4F3EF"/>
          </w:tcPr>
          <w:p>
            <w:pPr>
              <w:pStyle w:val="TableText"/>
            </w:pPr>
            <w:r>
              <w:rPr/>
              <w:t>sun-synchronous-like (95-100.5 deg, apogee &lt; 1,500 km); Molniya-like (eccentricity &gt; 0.5, 60-66 deg)</w:t>
            </w:r>
          </w:p>
        </w:tc>
      </w:tr>
      <w:tr>
        <w:tc>
          <w:tcPr>
            <w:tcW w:type="dxa" w:w="2095"/>
          </w:tcPr>
          <w:p>
            <w:pPr>
              <w:pStyle w:val="TableText"/>
            </w:pPr>
            <w:r>
              <w:rPr/>
              <w:t>Build</w:t>
            </w:r>
          </w:p>
        </w:tc>
        <w:tc>
          <w:tcPr>
            <w:tcW w:type="dxa" w:w="7655"/>
          </w:tcPr>
          <w:p>
            <w:pPr>
              <w:pStyle w:val="TableText"/>
            </w:pPr>
            <w:r>
              <w:rPr/>
              <w:t>log launch mass, log power, design life (gaps allowed: imputed with medians plus missing-value indicators)</w:t>
            </w:r>
          </w:p>
        </w:tc>
      </w:tr>
      <w:tr>
        <w:tc>
          <w:tcPr>
            <w:tcW w:type="dxa" w:w="2095"/>
            <w:shd w:val="clear" w:color="auto" w:fill="F4F3EF"/>
          </w:tcPr>
          <w:p>
            <w:pPr>
              <w:pStyle w:val="TableText"/>
            </w:pPr>
            <w:r>
              <w:rPr/>
              <w:t>Excluded</w:t>
            </w:r>
          </w:p>
        </w:tc>
        <w:tc>
          <w:tcPr>
            <w:tcW w:type="dxa" w:w="7655"/>
            <w:shd w:val="clear" w:color="auto" w:fill="F4F3EF"/>
          </w:tcPr>
          <w:p>
            <w:pPr>
              <w:pStyle w:val="TableText"/>
            </w:pPr>
            <w:r>
              <w:rPr/>
              <w:t>name, purpose, users, operator, contractor (would leak the label); launch year (cannot extrapolate)</w:t>
            </w:r>
          </w:p>
        </w:tc>
      </w:tr>
      <w:tr>
        <w:tc>
          <w:tcPr>
            <w:tcW w:type="dxa" w:w="2095"/>
          </w:tcPr>
          <w:p>
            <w:pPr>
              <w:pStyle w:val="TableText"/>
            </w:pPr>
            <w:r>
              <w:rPr/>
              <w:t>Variant</w:t>
            </w:r>
          </w:p>
        </w:tc>
        <w:tc>
          <w:tcPr>
            <w:tcW w:type="dxa" w:w="7655"/>
          </w:tcPr>
          <w:p>
            <w:pPr>
              <w:pStyle w:val="TableText"/>
            </w:pPr>
            <w:r>
              <w:rPr/>
              <w:t>physics + operator country bloc (USA / China / Russia / India / other)</w:t>
            </w:r>
          </w:p>
        </w:tc>
      </w:tr>
    </w:tbl>
    <w:p>
      <w:pPr>
        <w:spacing w:after="40" w:line="144" w:lineRule="auto"/>
      </w:pPr>
    </w:p>
    <w:p>
      <w:pPr>
        <w:jc w:val="both"/>
      </w:pPr>
      <w:r>
        <w:rPr/>
        <w:t>Label: military = the Users field mentions Military (incl. dual-use), 332 of 1,167 in 2014. Models: L2-regularised logistic regression (C = 0.5) and histogram gradient-boosted trees (250 iterations, learning rate 0.05, 15 leaves). Protocol: (a) 5-fold stratified cross-validation repeated 5 times on the 2014 census; (b) out-of-time test: fit on all of 2014, predict the 1,851 UCS 2020 satellites launched after the census (238 military). The model is chosen on (b).</w:t>
      </w:r>
    </w:p>
    <w:p>
      <w:pPr>
        <w:pStyle w:val="TableCaption"/>
      </w:pPr>
      <w:r>
        <w:rPr>
          <w:b/>
        </w:rPr>
        <w:t>Table 4.2 :</w:t>
      </w:r>
      <w:r>
        <w:rPr/>
        <w:t xml:space="preserve"> Model skill</w:t>
      </w:r>
    </w:p>
    <w:tbl>
      <w:tblPr>
        <w:tblStyle w:val="TableGrid"/>
        <w:tblW w:w="9748" w:type="dxa"/>
        <w:jc w:val="center"/>
        <w:tblLayout w:type="fixed"/>
        <w:tblLook w:firstColumn="1" w:firstRow="1" w:lastColumn="0" w:lastRow="0" w:noHBand="0" w:noVBand="1" w:val="04A0"/>
      </w:tblPr>
      <w:tblGrid>
        <w:gridCol w:w="1264"/>
        <w:gridCol w:w="2157"/>
        <w:gridCol w:w="1136"/>
        <w:gridCol w:w="731"/>
        <w:gridCol w:w="1635"/>
        <w:gridCol w:w="1575"/>
        <w:gridCol w:w="1250"/>
      </w:tblGrid>
      <w:tr>
        <w:trPr>
          <w:tblHeader w:val="true"/>
        </w:trPr>
        <w:tc>
          <w:tcPr>
            <w:tcW w:type="dxa" w:w="1264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Features</w:t>
            </w:r>
          </w:p>
        </w:tc>
        <w:tc>
          <w:tcPr>
            <w:tcW w:type="dxa" w:w="215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136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CV ROC-AUC 2014 (mean)</w:t>
            </w:r>
          </w:p>
        </w:tc>
        <w:tc>
          <w:tcPr>
            <w:tcW w:type="dxa" w:w="731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CV SD</w:t>
            </w:r>
          </w:p>
        </w:tc>
        <w:tc>
          <w:tcPr>
            <w:tcW w:type="dxa" w:w="1635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Out-of-time ROC-AUC (2020 launches)</w:t>
            </w:r>
          </w:p>
        </w:tc>
        <w:tc>
          <w:tcPr>
            <w:tcW w:type="dxa" w:w="1575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Out-of-time PR-AUC</w:t>
            </w:r>
          </w:p>
        </w:tc>
        <w:tc>
          <w:tcPr>
            <w:tcW w:type="dxa" w:w="1250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Balanced accuracy @0.5</w:t>
            </w:r>
          </w:p>
        </w:tc>
      </w:tr>
      <w:tr>
        <w:tc>
          <w:tcPr>
            <w:tcW w:type="dxa" w:w="1264"/>
          </w:tcPr>
          <w:p>
            <w:pPr>
              <w:pStyle w:val="TableText"/>
            </w:pPr>
            <w:r>
              <w:rPr/>
              <w:t>Physics only</w:t>
            </w:r>
          </w:p>
        </w:tc>
        <w:tc>
          <w:tcPr>
            <w:tcW w:type="dxa" w:w="2157"/>
          </w:tcPr>
          <w:p>
            <w:pPr>
              <w:pStyle w:val="TableText"/>
            </w:pPr>
            <w:r>
              <w:rPr/>
              <w:t>Logistic regression</w:t>
            </w:r>
          </w:p>
        </w:tc>
        <w:tc>
          <w:tcPr>
            <w:tcW w:type="dxa" w:w="1136"/>
          </w:tcPr>
          <w:p>
            <w:pPr>
              <w:pStyle w:val="TableText"/>
            </w:pPr>
            <w:r>
              <w:rPr/>
              <w:t>0.83</w:t>
            </w:r>
          </w:p>
        </w:tc>
        <w:tc>
          <w:tcPr>
            <w:tcW w:type="dxa" w:w="731"/>
          </w:tcPr>
          <w:p>
            <w:pPr>
              <w:pStyle w:val="TableText"/>
            </w:pPr>
            <w:r>
              <w:rPr/>
              <w:t>0.00</w:t>
            </w:r>
          </w:p>
        </w:tc>
        <w:tc>
          <w:tcPr>
            <w:tcW w:type="dxa" w:w="1635"/>
          </w:tcPr>
          <w:p>
            <w:pPr>
              <w:pStyle w:val="TableText"/>
            </w:pPr>
            <w:r>
              <w:rPr/>
              <w:t>0.79</w:t>
            </w:r>
          </w:p>
        </w:tc>
        <w:tc>
          <w:tcPr>
            <w:tcW w:type="dxa" w:w="1575"/>
          </w:tcPr>
          <w:p>
            <w:pPr>
              <w:pStyle w:val="TableText"/>
            </w:pPr>
            <w:r>
              <w:rPr/>
              <w:t>0.53</w:t>
            </w:r>
          </w:p>
        </w:tc>
        <w:tc>
          <w:tcPr>
            <w:tcW w:type="dxa" w:w="1250"/>
          </w:tcPr>
          <w:p>
            <w:pPr>
              <w:pStyle w:val="TableText"/>
            </w:pPr>
            <w:r>
              <w:rPr/>
              <w:t>0.70</w:t>
            </w:r>
          </w:p>
        </w:tc>
      </w:tr>
      <w:tr>
        <w:tc>
          <w:tcPr>
            <w:tcW w:type="dxa" w:w="1264"/>
            <w:shd w:val="clear" w:color="auto" w:fill="F4F3EF"/>
          </w:tcPr>
          <w:p>
            <w:pPr>
              <w:pStyle w:val="TableText"/>
            </w:pPr>
            <w:r>
              <w:rPr/>
              <w:t>Physics only</w:t>
            </w:r>
          </w:p>
        </w:tc>
        <w:tc>
          <w:tcPr>
            <w:tcW w:type="dxa" w:w="2157"/>
            <w:shd w:val="clear" w:color="auto" w:fill="F4F3EF"/>
          </w:tcPr>
          <w:p>
            <w:pPr>
              <w:pStyle w:val="TableText"/>
            </w:pPr>
            <w:r>
              <w:rPr/>
              <w:t>Gradient-boosted trees</w:t>
            </w:r>
          </w:p>
        </w:tc>
        <w:tc>
          <w:tcPr>
            <w:tcW w:type="dxa" w:w="1136"/>
            <w:shd w:val="clear" w:color="auto" w:fill="F4F3EF"/>
          </w:tcPr>
          <w:p>
            <w:pPr>
              <w:pStyle w:val="TableText"/>
            </w:pPr>
            <w:r>
              <w:rPr/>
              <w:t>0.94</w:t>
            </w:r>
          </w:p>
        </w:tc>
        <w:tc>
          <w:tcPr>
            <w:tcW w:type="dxa" w:w="731"/>
            <w:shd w:val="clear" w:color="auto" w:fill="F4F3EF"/>
          </w:tcPr>
          <w:p>
            <w:pPr>
              <w:pStyle w:val="TableText"/>
            </w:pPr>
            <w:r>
              <w:rPr/>
              <w:t>0.00</w:t>
            </w:r>
          </w:p>
        </w:tc>
        <w:tc>
          <w:tcPr>
            <w:tcW w:type="dxa" w:w="1635"/>
            <w:shd w:val="clear" w:color="auto" w:fill="F4F3EF"/>
          </w:tcPr>
          <w:p>
            <w:pPr>
              <w:pStyle w:val="TableText"/>
            </w:pPr>
            <w:r>
              <w:rPr/>
              <w:t>0.64</w:t>
            </w:r>
          </w:p>
        </w:tc>
        <w:tc>
          <w:tcPr>
            <w:tcW w:type="dxa" w:w="1575"/>
            <w:shd w:val="clear" w:color="auto" w:fill="F4F3EF"/>
          </w:tcPr>
          <w:p>
            <w:pPr>
              <w:pStyle w:val="TableText"/>
            </w:pPr>
            <w:r>
              <w:rPr/>
              <w:t>0.27</w:t>
            </w:r>
          </w:p>
        </w:tc>
        <w:tc>
          <w:tcPr>
            <w:tcW w:type="dxa" w:w="1250"/>
            <w:shd w:val="clear" w:color="auto" w:fill="F4F3EF"/>
          </w:tcPr>
          <w:p>
            <w:pPr>
              <w:pStyle w:val="TableText"/>
            </w:pPr>
            <w:r>
              <w:rPr/>
              <w:t>0.62</w:t>
            </w:r>
          </w:p>
        </w:tc>
      </w:tr>
      <w:tr>
        <w:tc>
          <w:tcPr>
            <w:tcW w:type="dxa" w:w="1264"/>
          </w:tcPr>
          <w:p>
            <w:pPr>
              <w:pStyle w:val="TableText"/>
            </w:pPr>
            <w:r>
              <w:rPr/>
              <w:t>Physics + operator country</w:t>
            </w:r>
          </w:p>
        </w:tc>
        <w:tc>
          <w:tcPr>
            <w:tcW w:type="dxa" w:w="2157"/>
          </w:tcPr>
          <w:p>
            <w:pPr>
              <w:pStyle w:val="TableText"/>
            </w:pPr>
            <w:r>
              <w:rPr/>
              <w:t>Logistic regression</w:t>
            </w:r>
          </w:p>
        </w:tc>
        <w:tc>
          <w:tcPr>
            <w:tcW w:type="dxa" w:w="1136"/>
          </w:tcPr>
          <w:p>
            <w:pPr>
              <w:pStyle w:val="TableText"/>
            </w:pPr>
            <w:r>
              <w:rPr/>
              <w:t>0.84</w:t>
            </w:r>
          </w:p>
        </w:tc>
        <w:tc>
          <w:tcPr>
            <w:tcW w:type="dxa" w:w="731"/>
          </w:tcPr>
          <w:p>
            <w:pPr>
              <w:pStyle w:val="TableText"/>
            </w:pPr>
            <w:r>
              <w:rPr/>
              <w:t>0.00</w:t>
            </w:r>
          </w:p>
        </w:tc>
        <w:tc>
          <w:tcPr>
            <w:tcW w:type="dxa" w:w="1635"/>
          </w:tcPr>
          <w:p>
            <w:pPr>
              <w:pStyle w:val="TableText"/>
            </w:pPr>
            <w:r>
              <w:rPr/>
              <w:t>0.76</w:t>
            </w:r>
          </w:p>
        </w:tc>
        <w:tc>
          <w:tcPr>
            <w:tcW w:type="dxa" w:w="1575"/>
          </w:tcPr>
          <w:p>
            <w:pPr>
              <w:pStyle w:val="TableText"/>
            </w:pPr>
            <w:r>
              <w:rPr/>
              <w:t>0.55</w:t>
            </w:r>
          </w:p>
        </w:tc>
        <w:tc>
          <w:tcPr>
            <w:tcW w:type="dxa" w:w="1250"/>
          </w:tcPr>
          <w:p>
            <w:pPr>
              <w:pStyle w:val="TableText"/>
            </w:pPr>
            <w:r>
              <w:rPr/>
              <w:t>0.71</w:t>
            </w:r>
          </w:p>
        </w:tc>
      </w:tr>
      <w:tr>
        <w:tc>
          <w:tcPr>
            <w:tcW w:type="dxa" w:w="1264"/>
            <w:shd w:val="clear" w:color="auto" w:fill="F4F3EF"/>
          </w:tcPr>
          <w:p>
            <w:pPr>
              <w:pStyle w:val="TableText"/>
            </w:pPr>
            <w:r>
              <w:rPr/>
              <w:t>Physics + operator country</w:t>
            </w:r>
          </w:p>
        </w:tc>
        <w:tc>
          <w:tcPr>
            <w:tcW w:type="dxa" w:w="2157"/>
            <w:shd w:val="clear" w:color="auto" w:fill="F4F3EF"/>
          </w:tcPr>
          <w:p>
            <w:pPr>
              <w:pStyle w:val="TableText"/>
            </w:pPr>
            <w:r>
              <w:rPr/>
              <w:t>Gradient-boosted trees</w:t>
            </w:r>
          </w:p>
        </w:tc>
        <w:tc>
          <w:tcPr>
            <w:tcW w:type="dxa" w:w="1136"/>
            <w:shd w:val="clear" w:color="auto" w:fill="F4F3EF"/>
          </w:tcPr>
          <w:p>
            <w:pPr>
              <w:pStyle w:val="TableText"/>
            </w:pPr>
            <w:r>
              <w:rPr/>
              <w:t>0.94</w:t>
            </w:r>
          </w:p>
        </w:tc>
        <w:tc>
          <w:tcPr>
            <w:tcW w:type="dxa" w:w="731"/>
            <w:shd w:val="clear" w:color="auto" w:fill="F4F3EF"/>
          </w:tcPr>
          <w:p>
            <w:pPr>
              <w:pStyle w:val="TableText"/>
            </w:pPr>
            <w:r>
              <w:rPr/>
              <w:t>0.00</w:t>
            </w:r>
          </w:p>
        </w:tc>
        <w:tc>
          <w:tcPr>
            <w:tcW w:type="dxa" w:w="1635"/>
            <w:shd w:val="clear" w:color="auto" w:fill="F4F3EF"/>
          </w:tcPr>
          <w:p>
            <w:pPr>
              <w:pStyle w:val="TableText"/>
            </w:pPr>
            <w:r>
              <w:rPr/>
              <w:t>0.63</w:t>
            </w:r>
          </w:p>
        </w:tc>
        <w:tc>
          <w:tcPr>
            <w:tcW w:type="dxa" w:w="1575"/>
            <w:shd w:val="clear" w:color="auto" w:fill="F4F3EF"/>
          </w:tcPr>
          <w:p>
            <w:pPr>
              <w:pStyle w:val="TableText"/>
            </w:pPr>
            <w:r>
              <w:rPr/>
              <w:t>0.27</w:t>
            </w:r>
          </w:p>
        </w:tc>
        <w:tc>
          <w:tcPr>
            <w:tcW w:type="dxa" w:w="1250"/>
            <w:shd w:val="clear" w:color="auto" w:fill="F4F3EF"/>
          </w:tcPr>
          <w:p>
            <w:pPr>
              <w:pStyle w:val="TableText"/>
            </w:pPr>
            <w:r>
              <w:rPr/>
              <w:t>0.61</w:t>
            </w:r>
          </w:p>
        </w:tc>
      </w:tr>
    </w:tbl>
    <w:p>
      <w:pPr>
        <w:spacing w:after="40" w:line="144" w:lineRule="auto"/>
      </w:pPr>
    </w:p>
    <w:p>
      <w:pPr>
        <w:pStyle w:val="TableCaption"/>
      </w:pPr>
      <w:r>
        <w:rPr>
          <w:b/>
        </w:rPr>
        <w:t>Table 4.3 :</w:t>
      </w:r>
      <w:r>
        <w:rPr/>
        <w:t xml:space="preserve"> Permutation importance on the out-of-time set (chosen model)</w:t>
      </w:r>
    </w:p>
    <w:tbl>
      <w:tblPr>
        <w:tblStyle w:val="TableGrid"/>
        <w:tblW w:w="9750" w:type="dxa"/>
        <w:jc w:val="center"/>
        <w:tblLayout w:type="fixed"/>
        <w:tblLook w:firstColumn="1" w:firstRow="1" w:lastColumn="0" w:lastRow="0" w:noHBand="0" w:noVBand="1" w:val="04A0"/>
      </w:tblPr>
      <w:tblGrid>
        <w:gridCol w:w="5425"/>
        <w:gridCol w:w="4325"/>
      </w:tblGrid>
      <w:tr>
        <w:trPr>
          <w:tblHeader w:val="true"/>
        </w:trPr>
        <w:tc>
          <w:tcPr>
            <w:tcW w:type="dxa" w:w="5425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5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AUC drop when shuffled</w:t>
            </w:r>
          </w:p>
        </w:tc>
      </w:tr>
      <w:tr>
        <w:tc>
          <w:tcPr>
            <w:tcW w:type="dxa" w:w="5425"/>
          </w:tcPr>
          <w:p>
            <w:pPr>
              <w:pStyle w:val="TableText"/>
            </w:pPr>
            <w:r>
              <w:rPr/>
              <w:t>Launch mass</w:t>
            </w:r>
          </w:p>
        </w:tc>
        <w:tc>
          <w:tcPr>
            <w:tcW w:type="dxa" w:w="4325"/>
          </w:tcPr>
          <w:p>
            <w:pPr>
              <w:pStyle w:val="TableText"/>
            </w:pPr>
            <w:r>
              <w:rPr/>
              <w:t>0.16</w:t>
            </w:r>
          </w:p>
        </w:tc>
      </w:tr>
      <w:tr>
        <w:tc>
          <w:tcPr>
            <w:tcW w:type="dxa" w:w="5425"/>
            <w:shd w:val="clear" w:color="auto" w:fill="F4F3EF"/>
          </w:tcPr>
          <w:p>
            <w:pPr>
              <w:pStyle w:val="TableText"/>
            </w:pPr>
            <w:r>
              <w:rPr/>
              <w:t>Apogee</w:t>
            </w:r>
          </w:p>
        </w:tc>
        <w:tc>
          <w:tcPr>
            <w:tcW w:type="dxa" w:w="4325"/>
            <w:shd w:val="clear" w:color="auto" w:fill="F4F3EF"/>
          </w:tcPr>
          <w:p>
            <w:pPr>
              <w:pStyle w:val="TableText"/>
            </w:pPr>
            <w:r>
              <w:rPr/>
              <w:t>0.11</w:t>
            </w:r>
          </w:p>
        </w:tc>
      </w:tr>
      <w:tr>
        <w:tc>
          <w:tcPr>
            <w:tcW w:type="dxa" w:w="5425"/>
          </w:tcPr>
          <w:p>
            <w:pPr>
              <w:pStyle w:val="TableText"/>
            </w:pPr>
            <w:r>
              <w:rPr/>
              <w:t>Sun-synchronous-like</w:t>
            </w:r>
          </w:p>
        </w:tc>
        <w:tc>
          <w:tcPr>
            <w:tcW w:type="dxa" w:w="4325"/>
          </w:tcPr>
          <w:p>
            <w:pPr>
              <w:pStyle w:val="TableText"/>
            </w:pPr>
            <w:r>
              <w:rPr/>
              <w:t>0.05</w:t>
            </w:r>
          </w:p>
        </w:tc>
      </w:tr>
      <w:tr>
        <w:tc>
          <w:tcPr>
            <w:tcW w:type="dxa" w:w="5425"/>
            <w:shd w:val="clear" w:color="auto" w:fill="F4F3EF"/>
          </w:tcPr>
          <w:p>
            <w:pPr>
              <w:pStyle w:val="TableText"/>
            </w:pPr>
            <w:r>
              <w:rPr/>
              <w:t>Design life</w:t>
            </w:r>
          </w:p>
        </w:tc>
        <w:tc>
          <w:tcPr>
            <w:tcW w:type="dxa" w:w="4325"/>
            <w:shd w:val="clear" w:color="auto" w:fill="F4F3EF"/>
          </w:tcPr>
          <w:p>
            <w:pPr>
              <w:pStyle w:val="TableText"/>
            </w:pPr>
            <w:r>
              <w:rPr/>
              <w:t>0.04</w:t>
            </w:r>
          </w:p>
        </w:tc>
      </w:tr>
      <w:tr>
        <w:tc>
          <w:tcPr>
            <w:tcW w:type="dxa" w:w="5425"/>
          </w:tcPr>
          <w:p>
            <w:pPr>
              <w:pStyle w:val="TableText"/>
            </w:pPr>
            <w:r>
              <w:rPr/>
              <w:t>MEO</w:t>
            </w:r>
          </w:p>
        </w:tc>
        <w:tc>
          <w:tcPr>
            <w:tcW w:type="dxa" w:w="4325"/>
          </w:tcPr>
          <w:p>
            <w:pPr>
              <w:pStyle w:val="TableText"/>
            </w:pPr>
            <w:r>
              <w:rPr/>
              <w:t>0.02</w:t>
            </w:r>
          </w:p>
        </w:tc>
      </w:tr>
      <w:tr>
        <w:tc>
          <w:tcPr>
            <w:tcW w:type="dxa" w:w="5425"/>
            <w:shd w:val="clear" w:color="auto" w:fill="F4F3EF"/>
          </w:tcPr>
          <w:p>
            <w:pPr>
              <w:pStyle w:val="TableText"/>
            </w:pPr>
            <w:r>
              <w:rPr/>
              <w:t>Inclination</w:t>
            </w:r>
          </w:p>
        </w:tc>
        <w:tc>
          <w:tcPr>
            <w:tcW w:type="dxa" w:w="4325"/>
            <w:shd w:val="clear" w:color="auto" w:fill="F4F3EF"/>
          </w:tcPr>
          <w:p>
            <w:pPr>
              <w:pStyle w:val="TableText"/>
            </w:pPr>
            <w:r>
              <w:rPr/>
              <w:t>0.01</w:t>
            </w:r>
          </w:p>
        </w:tc>
      </w:tr>
      <w:tr>
        <w:tc>
          <w:tcPr>
            <w:tcW w:type="dxa" w:w="5425"/>
          </w:tcPr>
          <w:p>
            <w:pPr>
              <w:pStyle w:val="TableText"/>
            </w:pPr>
            <w:r>
              <w:rPr/>
              <w:t>Molniya-like</w:t>
            </w:r>
          </w:p>
        </w:tc>
        <w:tc>
          <w:tcPr>
            <w:tcW w:type="dxa" w:w="4325"/>
          </w:tcPr>
          <w:p>
            <w:pPr>
              <w:pStyle w:val="TableText"/>
            </w:pPr>
            <w:r>
              <w:rPr/>
              <w:t>0.01</w:t>
            </w:r>
          </w:p>
        </w:tc>
      </w:tr>
      <w:tr>
        <w:tc>
          <w:tcPr>
            <w:tcW w:type="dxa" w:w="5425"/>
            <w:shd w:val="clear" w:color="auto" w:fill="F4F3EF"/>
          </w:tcPr>
          <w:p>
            <w:pPr>
              <w:pStyle w:val="TableText"/>
            </w:pPr>
            <w:r>
              <w:rPr/>
              <w:t>Period</w:t>
            </w:r>
          </w:p>
        </w:tc>
        <w:tc>
          <w:tcPr>
            <w:tcW w:type="dxa" w:w="4325"/>
            <w:shd w:val="clear" w:color="auto" w:fill="F4F3EF"/>
          </w:tcPr>
          <w:p>
            <w:pPr>
              <w:pStyle w:val="TableText"/>
            </w:pPr>
            <w:r>
              <w:rPr/>
              <w:t>0.00</w:t>
            </w:r>
          </w:p>
        </w:tc>
      </w:tr>
    </w:tbl>
    <w:p>
      <w:pPr>
        <w:spacing w:after="40" w:line="144" w:lineRule="auto"/>
      </w:pPr>
    </w:p>
    <w:p>
      <w:pPr>
        <w:jc w:val="both"/>
      </w:pPr>
      <w:r>
        <w:rPr/>
        <w:t>Cross-validation would have chosen the trees (0.941), which collapse out of time (0.644): the post-2014 population (mass-produced commercial constellations in low orbit) differs from the 2014 one, and the trees memorise the old one. The logistic model degrades gracefully (0.835 to 0.793). Dual-use signal: 83 of 1,613 non-military satellites score p ≥ 0.5.</w:t>
      </w:r>
    </w:p>
    <w:p>
      <w:pPr>
        <w:pStyle w:val="Heading1"/>
        <w:spacing w:before="360"/>
      </w:pPr>
      <w:r>
        <w:rPr/>
        <w:t>5. CLOSE-APPROACH SCREENING</w:t>
      </w:r>
    </w:p>
    <w:p>
      <w:pPr>
        <w:pStyle w:val="TableCaption"/>
      </w:pPr>
      <w:r>
        <w:rPr>
          <w:b/>
        </w:rPr>
        <w:t>Table 5.1 :</w:t>
      </w:r>
      <w:r>
        <w:rPr/>
        <w:t xml:space="preserve"> Screening parameters</w:t>
      </w:r>
    </w:p>
    <w:tbl>
      <w:tblPr>
        <w:tblStyle w:val="TableGrid"/>
        <w:tblW w:w="9751" w:type="dxa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7356"/>
      </w:tblGrid>
      <w:tr>
        <w:trPr>
          <w:tblHeader w:val="true"/>
        </w:trPr>
        <w:tc>
          <w:tcPr>
            <w:tcW w:type="dxa" w:w="2395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356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Setting</w:t>
            </w:r>
          </w:p>
        </w:tc>
      </w:tr>
      <w:tr>
        <w:tc>
          <w:tcPr>
            <w:tcW w:type="dxa" w:w="2395"/>
          </w:tcPr>
          <w:p>
            <w:pPr>
              <w:pStyle w:val="TableText"/>
            </w:pPr>
            <w:r>
              <w:rPr/>
              <w:t>Elements</w:t>
            </w:r>
          </w:p>
        </w:tc>
        <w:tc>
          <w:tcPr>
            <w:tcW w:type="dxa" w:w="7356"/>
          </w:tcPr>
          <w:p>
            <w:pPr>
              <w:pStyle w:val="TableText"/>
            </w:pPr>
            <w:r>
              <w:rPr/>
              <w:t>CelesTrak GP data (CCSDS OMM) via public mirror; LEO only: mean motion &gt;= 11.25 rev/day, eccentricity &lt;= 0.25</w:t>
            </w:r>
          </w:p>
        </w:tc>
      </w:tr>
      <w:tr>
        <w:tc>
          <w:tcPr>
            <w:tcW w:type="dxa" w:w="2395"/>
            <w:shd w:val="clear" w:color="auto" w:fill="F4F3EF"/>
          </w:tcPr>
          <w:p>
            <w:pPr>
              <w:pStyle w:val="TableText"/>
            </w:pPr>
            <w:r>
              <w:rPr/>
              <w:t>Screening A</w:t>
            </w:r>
          </w:p>
        </w:tc>
        <w:tc>
          <w:tcPr>
            <w:tcW w:type="dxa" w:w="7356"/>
            <w:shd w:val="clear" w:color="auto" w:fill="F4F3EF"/>
          </w:tcPr>
          <w:p>
            <w:pPr>
              <w:pStyle w:val="TableText"/>
            </w:pPr>
            <w:r>
              <w:rPr/>
              <w:t>15,656 active satellites vs each other, 24 h from 31 Aug 2026 12:00 UTC (elements of 30-31 Aug)</w:t>
            </w:r>
          </w:p>
        </w:tc>
      </w:tr>
      <w:tr>
        <w:tc>
          <w:tcPr>
            <w:tcW w:type="dxa" w:w="2395"/>
          </w:tcPr>
          <w:p>
            <w:pPr>
              <w:pStyle w:val="TableText"/>
            </w:pPr>
            <w:r>
              <w:rPr/>
              <w:t>Screening B</w:t>
            </w:r>
          </w:p>
        </w:tc>
        <w:tc>
          <w:tcPr>
            <w:tcW w:type="dxa" w:w="7356"/>
          </w:tcPr>
          <w:p>
            <w:pPr>
              <w:pStyle w:val="TableText"/>
            </w:pPr>
            <w:r>
              <w:rPr/>
              <w:t>4,640 objects: freshly tracked satellites + 4 debris clouds, 24 h from 23 Sep 2026 12:00 UTC (elements of 21-24 Sep)</w:t>
            </w:r>
          </w:p>
        </w:tc>
      </w:tr>
      <w:tr>
        <w:tc>
          <w:tcPr>
            <w:tcW w:type="dxa" w:w="2395"/>
            <w:shd w:val="clear" w:color="auto" w:fill="F4F3EF"/>
          </w:tcPr>
          <w:p>
            <w:pPr>
              <w:pStyle w:val="TableText"/>
            </w:pPr>
            <w:r>
              <w:rPr/>
              <w:t>Propagator</w:t>
            </w:r>
          </w:p>
        </w:tc>
        <w:tc>
          <w:tcPr>
            <w:tcW w:type="dxa" w:w="7356"/>
            <w:shd w:val="clear" w:color="auto" w:fill="F4F3EF"/>
          </w:tcPr>
          <w:p>
            <w:pPr>
              <w:pStyle w:val="TableText"/>
            </w:pPr>
            <w:r>
              <w:rPr/>
              <w:t>SGP4 (Vallado et al., 2006), WGS-72, vectorised</w:t>
            </w:r>
          </w:p>
        </w:tc>
      </w:tr>
      <w:tr>
        <w:tc>
          <w:tcPr>
            <w:tcW w:type="dxa" w:w="2395"/>
          </w:tcPr>
          <w:p>
            <w:pPr>
              <w:pStyle w:val="TableText"/>
            </w:pPr>
            <w:r>
              <w:rPr/>
              <w:t>Coarse filter</w:t>
            </w:r>
          </w:p>
        </w:tc>
        <w:tc>
          <w:tcPr>
            <w:tcW w:type="dxa" w:w="7356"/>
          </w:tcPr>
          <w:p>
            <w:pPr>
              <w:pStyle w:val="TableText"/>
            </w:pPr>
            <w:r>
              <w:rPr/>
              <w:t>positions every 10 s; k-d tree pairs within 80 km (&gt;= half the 150 km two objects can close in 10 s at 15 km/s)</w:t>
            </w:r>
          </w:p>
        </w:tc>
      </w:tr>
      <w:tr>
        <w:tc>
          <w:tcPr>
            <w:tcW w:type="dxa" w:w="2395"/>
            <w:shd w:val="clear" w:color="auto" w:fill="F4F3EF"/>
          </w:tcPr>
          <w:p>
            <w:pPr>
              <w:pStyle w:val="TableText"/>
            </w:pPr>
            <w:r>
              <w:rPr/>
              <w:t>Refinement</w:t>
            </w:r>
          </w:p>
        </w:tc>
        <w:tc>
          <w:tcPr>
            <w:tcW w:type="dxa" w:w="7356"/>
            <w:shd w:val="clear" w:color="auto" w:fill="F4F3EF"/>
          </w:tcPr>
          <w:p>
            <w:pPr>
              <w:pStyle w:val="TableText"/>
            </w:pPr>
            <w:r>
              <w:rPr/>
              <w:t>1-s positions over +-10 s around the closest sample; linearised closest approach (eq. 7)</w:t>
            </w:r>
          </w:p>
        </w:tc>
      </w:tr>
      <w:tr>
        <w:tc>
          <w:tcPr>
            <w:tcW w:type="dxa" w:w="2395"/>
          </w:tcPr>
          <w:p>
            <w:pPr>
              <w:pStyle w:val="TableText"/>
            </w:pPr>
            <w:r>
              <w:rPr/>
              <w:t>Thresholds</w:t>
            </w:r>
          </w:p>
        </w:tc>
        <w:tc>
          <w:tcPr>
            <w:tcW w:type="dxa" w:w="7356"/>
          </w:tcPr>
          <w:p>
            <w:pPr>
              <w:pStyle w:val="TableText"/>
            </w:pPr>
            <w:r>
              <w:rPr/>
              <w:t>report &lt; 5 km; high interest &lt; 1 km; co-orbiting / docked if relative speed &lt; 0.5 km/s</w:t>
            </w:r>
          </w:p>
        </w:tc>
      </w:tr>
    </w:tbl>
    <w:p>
      <w:pPr>
        <w:spacing w:after="40" w:line="144" w:lineRule="auto"/>
      </w:pPr>
    </w:p>
    <w:p>
      <w:pPr>
        <w:jc w:val="center"/>
      </w:pPr>
      <w:r>
        <w:rPr>
          <w:i/>
        </w:rPr>
        <w:t>τ* = −(Δr · Δv) / |Δv|</w:t>
      </w:r>
      <w:r>
        <w:rPr>
          <w:i/>
        </w:rPr>
        <w:t>2</w:t>
      </w:r>
      <w:r>
        <w:rPr>
          <w:i/>
        </w:rPr>
        <w:t>, miss = |Δr + Δv τ*| (τ* clipped to ±1 s)</w:t>
      </w:r>
      <w:r>
        <w:tab/>
        <w:tab/>
        <w:t>(7)</w:t>
      </w:r>
    </w:p>
    <w:p>
      <w:pPr>
        <w:pStyle w:val="TableCaption"/>
      </w:pPr>
      <w:r>
        <w:rPr>
          <w:b/>
        </w:rPr>
        <w:t>Table 5.2 :</w:t>
      </w:r>
      <w:r>
        <w:rPr/>
        <w:t xml:space="preserve"> Encounters under 5 km in the two 24-hour screenings</w:t>
      </w:r>
    </w:p>
    <w:tbl>
      <w:tblPr>
        <w:tblStyle w:val="TableGrid"/>
        <w:tblW w:w="9749" w:type="dxa"/>
        <w:jc w:val="center"/>
        <w:tblLayout w:type="fixed"/>
        <w:tblLook w:firstColumn="1" w:firstRow="1" w:lastColumn="0" w:lastRow="0" w:noHBand="0" w:noVBand="1" w:val="04A0"/>
      </w:tblPr>
      <w:tblGrid>
        <w:gridCol w:w="1857"/>
        <w:gridCol w:w="2219"/>
        <w:gridCol w:w="2016"/>
        <w:gridCol w:w="1392"/>
        <w:gridCol w:w="2265"/>
      </w:tblGrid>
      <w:tr>
        <w:trPr>
          <w:tblHeader w:val="true"/>
        </w:trPr>
        <w:tc>
          <w:tcPr>
            <w:tcW w:type="dxa" w:w="185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2219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016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encounters_5km</w:t>
            </w:r>
          </w:p>
        </w:tc>
        <w:tc>
          <w:tcPr>
            <w:tcW w:type="dxa" w:w="1392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under_1km</w:t>
            </w:r>
          </w:p>
        </w:tc>
        <w:tc>
          <w:tcPr>
            <w:tcW w:type="dxa" w:w="2265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median_rel_speed</w:t>
            </w:r>
          </w:p>
        </w:tc>
      </w:tr>
      <w:tr>
        <w:tc>
          <w:tcPr>
            <w:tcW w:type="dxa" w:w="1857"/>
          </w:tcPr>
          <w:p>
            <w:pPr>
              <w:pStyle w:val="TableText"/>
            </w:pPr>
            <w:r>
              <w:rPr/>
              <w:t>A: active vs active (31 Aug-1 Sep)</w:t>
            </w:r>
          </w:p>
        </w:tc>
        <w:tc>
          <w:tcPr>
            <w:tcW w:type="dxa" w:w="2219"/>
          </w:tcPr>
          <w:p>
            <w:pPr>
              <w:pStyle w:val="TableText"/>
            </w:pPr>
            <w:r>
              <w:rPr/>
              <w:t>Co-orbiting (formation or docked)</w:t>
            </w:r>
          </w:p>
        </w:tc>
        <w:tc>
          <w:tcPr>
            <w:tcW w:type="dxa" w:w="2016"/>
          </w:tcPr>
          <w:p>
            <w:pPr>
              <w:pStyle w:val="TableText"/>
            </w:pPr>
            <w:r>
              <w:rPr/>
              <w:t>430</w:t>
            </w:r>
          </w:p>
        </w:tc>
        <w:tc>
          <w:tcPr>
            <w:tcW w:type="dxa" w:w="1392"/>
          </w:tcPr>
          <w:p>
            <w:pPr>
              <w:pStyle w:val="TableText"/>
            </w:pPr>
            <w:r>
              <w:rPr/>
              <w:t>86</w:t>
            </w:r>
          </w:p>
        </w:tc>
        <w:tc>
          <w:tcPr>
            <w:tcW w:type="dxa" w:w="2265"/>
          </w:tcPr>
          <w:p>
            <w:pPr>
              <w:pStyle w:val="TableText"/>
            </w:pPr>
            <w:r>
              <w:rPr/>
              <w:t>0.15</w:t>
            </w:r>
          </w:p>
        </w:tc>
      </w:tr>
      <w:tr>
        <w:tc>
          <w:tcPr>
            <w:tcW w:type="dxa" w:w="1857"/>
            <w:shd w:val="clear" w:color="auto" w:fill="F4F3EF"/>
          </w:tcPr>
          <w:p>
            <w:pPr>
              <w:pStyle w:val="TableText"/>
            </w:pPr>
            <w:r>
              <w:rPr/>
              <w:t>A: active vs active (31 Aug-1 Sep)</w:t>
            </w:r>
          </w:p>
        </w:tc>
        <w:tc>
          <w:tcPr>
            <w:tcW w:type="dxa" w:w="2219"/>
            <w:shd w:val="clear" w:color="auto" w:fill="F4F3EF"/>
          </w:tcPr>
          <w:p>
            <w:pPr>
              <w:pStyle w:val="TableText"/>
            </w:pPr>
            <w:r>
              <w:rPr/>
              <w:t>Different operators, crossing</w:t>
            </w:r>
          </w:p>
        </w:tc>
        <w:tc>
          <w:tcPr>
            <w:tcW w:type="dxa" w:w="2016"/>
            <w:shd w:val="clear" w:color="auto" w:fill="F4F3EF"/>
          </w:tcPr>
          <w:p>
            <w:pPr>
              <w:pStyle w:val="TableText"/>
            </w:pPr>
            <w:r>
              <w:rPr/>
              <w:t>5,043</w:t>
            </w:r>
          </w:p>
        </w:tc>
        <w:tc>
          <w:tcPr>
            <w:tcW w:type="dxa" w:w="1392"/>
            <w:shd w:val="clear" w:color="auto" w:fill="F4F3EF"/>
          </w:tcPr>
          <w:p>
            <w:pPr>
              <w:pStyle w:val="TableText"/>
            </w:pPr>
            <w:r>
              <w:rPr/>
              <w:t>193</w:t>
            </w:r>
          </w:p>
        </w:tc>
        <w:tc>
          <w:tcPr>
            <w:tcW w:type="dxa" w:w="2265"/>
            <w:shd w:val="clear" w:color="auto" w:fill="F4F3EF"/>
          </w:tcPr>
          <w:p>
            <w:pPr>
              <w:pStyle w:val="TableText"/>
            </w:pPr>
            <w:r>
              <w:rPr/>
              <w:t>11.18</w:t>
            </w:r>
          </w:p>
        </w:tc>
      </w:tr>
      <w:tr>
        <w:tc>
          <w:tcPr>
            <w:tcW w:type="dxa" w:w="1857"/>
          </w:tcPr>
          <w:p>
            <w:pPr>
              <w:pStyle w:val="TableText"/>
            </w:pPr>
            <w:r>
              <w:rPr/>
              <w:t>A: active vs active (31 Aug-1 Sep)</w:t>
            </w:r>
          </w:p>
        </w:tc>
        <w:tc>
          <w:tcPr>
            <w:tcW w:type="dxa" w:w="2219"/>
          </w:tcPr>
          <w:p>
            <w:pPr>
              <w:pStyle w:val="TableText"/>
            </w:pPr>
            <w:r>
              <w:rPr/>
              <w:t>Same constellation, crossing</w:t>
            </w:r>
          </w:p>
        </w:tc>
        <w:tc>
          <w:tcPr>
            <w:tcW w:type="dxa" w:w="2016"/>
          </w:tcPr>
          <w:p>
            <w:pPr>
              <w:pStyle w:val="TableText"/>
            </w:pPr>
            <w:r>
              <w:rPr/>
              <w:t>12,844</w:t>
            </w:r>
          </w:p>
        </w:tc>
        <w:tc>
          <w:tcPr>
            <w:tcW w:type="dxa" w:w="1392"/>
          </w:tcPr>
          <w:p>
            <w:pPr>
              <w:pStyle w:val="TableText"/>
            </w:pPr>
            <w:r>
              <w:rPr/>
              <w:t>192</w:t>
            </w:r>
          </w:p>
        </w:tc>
        <w:tc>
          <w:tcPr>
            <w:tcW w:type="dxa" w:w="2265"/>
          </w:tcPr>
          <w:p>
            <w:pPr>
              <w:pStyle w:val="TableText"/>
            </w:pPr>
            <w:r>
              <w:rPr/>
              <w:t>9.78</w:t>
            </w:r>
          </w:p>
        </w:tc>
      </w:tr>
      <w:tr>
        <w:tc>
          <w:tcPr>
            <w:tcW w:type="dxa" w:w="1857"/>
            <w:shd w:val="clear" w:color="auto" w:fill="F4F3EF"/>
          </w:tcPr>
          <w:p>
            <w:pPr>
              <w:pStyle w:val="TableText"/>
            </w:pPr>
            <w:r>
              <w:rPr/>
              <w:t>B: satellites vs debris clouds (23-24 Sep)</w:t>
            </w:r>
          </w:p>
        </w:tc>
        <w:tc>
          <w:tcPr>
            <w:tcW w:type="dxa" w:w="2219"/>
            <w:shd w:val="clear" w:color="auto" w:fill="F4F3EF"/>
          </w:tcPr>
          <w:p>
            <w:pPr>
              <w:pStyle w:val="TableText"/>
            </w:pPr>
            <w:r>
              <w:rPr/>
              <w:t>Satellite vs debris</w:t>
            </w:r>
          </w:p>
        </w:tc>
        <w:tc>
          <w:tcPr>
            <w:tcW w:type="dxa" w:w="2016"/>
            <w:shd w:val="clear" w:color="auto" w:fill="F4F3EF"/>
          </w:tcPr>
          <w:p>
            <w:pPr>
              <w:pStyle w:val="TableText"/>
            </w:pPr>
            <w:r>
              <w:rPr/>
              <w:t>468</w:t>
            </w:r>
          </w:p>
        </w:tc>
        <w:tc>
          <w:tcPr>
            <w:tcW w:type="dxa" w:w="1392"/>
            <w:shd w:val="clear" w:color="auto" w:fill="F4F3EF"/>
          </w:tcPr>
          <w:p>
            <w:pPr>
              <w:pStyle w:val="TableText"/>
            </w:pPr>
            <w:r>
              <w:rPr/>
              <w:t>20</w:t>
            </w:r>
          </w:p>
        </w:tc>
        <w:tc>
          <w:tcPr>
            <w:tcW w:type="dxa" w:w="2265"/>
            <w:shd w:val="clear" w:color="auto" w:fill="F4F3EF"/>
          </w:tcPr>
          <w:p>
            <w:pPr>
              <w:pStyle w:val="TableText"/>
            </w:pPr>
            <w:r>
              <w:rPr/>
              <w:t>13.09</w:t>
            </w:r>
          </w:p>
        </w:tc>
      </w:tr>
    </w:tbl>
    <w:p>
      <w:pPr>
        <w:spacing w:after="40" w:line="144" w:lineRule="auto"/>
      </w:pPr>
    </w:p>
    <w:p>
      <w:pPr>
        <w:pStyle w:val="TableCaption"/>
      </w:pPr>
      <w:r>
        <w:rPr>
          <w:b/>
        </w:rPr>
        <w:t>Table 5.3 :</w:t>
      </w:r>
      <w:r>
        <w:rPr/>
        <w:t xml:space="preserve"> Closest crossing encounters</w:t>
      </w:r>
    </w:p>
    <w:tbl>
      <w:tblPr>
        <w:tblStyle w:val="TableGrid"/>
        <w:tblW w:w="9748" w:type="dxa"/>
        <w:jc w:val="center"/>
        <w:tblLayout w:type="fixed"/>
        <w:tblLook w:firstColumn="1" w:firstRow="1" w:lastColumn="0" w:lastRow="0" w:noHBand="0" w:noVBand="1" w:val="04A0"/>
      </w:tblPr>
      <w:tblGrid>
        <w:gridCol w:w="2130"/>
        <w:gridCol w:w="2051"/>
        <w:gridCol w:w="2244"/>
        <w:gridCol w:w="849"/>
        <w:gridCol w:w="1117"/>
        <w:gridCol w:w="1357"/>
      </w:tblGrid>
      <w:tr>
        <w:trPr>
          <w:tblHeader w:val="true"/>
        </w:trPr>
        <w:tc>
          <w:tcPr>
            <w:tcW w:type="dxa" w:w="2130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Object A</w:t>
            </w:r>
          </w:p>
        </w:tc>
        <w:tc>
          <w:tcPr>
            <w:tcW w:type="dxa" w:w="2051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Object B</w:t>
            </w:r>
          </w:p>
        </w:tc>
        <w:tc>
          <w:tcPr>
            <w:tcW w:type="dxa" w:w="2244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849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Miss (km)</w:t>
            </w:r>
          </w:p>
        </w:tc>
        <w:tc>
          <w:tcPr>
            <w:tcW w:type="dxa" w:w="111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Speed (km/s)</w:t>
            </w:r>
          </w:p>
        </w:tc>
        <w:tc>
          <w:tcPr>
            <w:tcW w:type="dxa" w:w="135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Altitude (km)</w:t>
            </w:r>
          </w:p>
        </w:tc>
      </w:tr>
      <w:tr>
        <w:tc>
          <w:tcPr>
            <w:tcW w:type="dxa" w:w="2130"/>
          </w:tcPr>
          <w:p>
            <w:pPr>
              <w:pStyle w:val="TableText"/>
            </w:pPr>
            <w:r>
              <w:rPr/>
              <w:t>YAOGAN-14</w:t>
            </w:r>
          </w:p>
        </w:tc>
        <w:tc>
          <w:tcPr>
            <w:tcW w:type="dxa" w:w="2051"/>
          </w:tcPr>
          <w:p>
            <w:pPr>
              <w:pStyle w:val="TableText"/>
            </w:pPr>
            <w:r>
              <w:rPr/>
              <w:t>STARLINK-5061</w:t>
            </w:r>
          </w:p>
        </w:tc>
        <w:tc>
          <w:tcPr>
            <w:tcW w:type="dxa" w:w="2244"/>
          </w:tcPr>
          <w:p>
            <w:pPr>
              <w:pStyle w:val="TableText"/>
            </w:pPr>
            <w:r>
              <w:rPr/>
              <w:t>Different operators, crossing</w:t>
            </w:r>
          </w:p>
        </w:tc>
        <w:tc>
          <w:tcPr>
            <w:tcW w:type="dxa" w:w="849"/>
          </w:tcPr>
          <w:p>
            <w:pPr>
              <w:pStyle w:val="TableText"/>
            </w:pPr>
            <w:r>
              <w:rPr/>
              <w:t>0.05</w:t>
            </w:r>
          </w:p>
        </w:tc>
        <w:tc>
          <w:tcPr>
            <w:tcW w:type="dxa" w:w="1117"/>
          </w:tcPr>
          <w:p>
            <w:pPr>
              <w:pStyle w:val="TableText"/>
            </w:pPr>
            <w:r>
              <w:rPr/>
              <w:t>14.34</w:t>
            </w:r>
          </w:p>
        </w:tc>
        <w:tc>
          <w:tcPr>
            <w:tcW w:type="dxa" w:w="1357"/>
          </w:tcPr>
          <w:p>
            <w:pPr>
              <w:pStyle w:val="TableText"/>
            </w:pPr>
            <w:r>
              <w:rPr/>
              <w:t>482</w:t>
            </w:r>
          </w:p>
        </w:tc>
      </w:tr>
      <w:tr>
        <w:tc>
          <w:tcPr>
            <w:tcW w:type="dxa" w:w="2130"/>
            <w:shd w:val="clear" w:color="auto" w:fill="F4F3EF"/>
          </w:tcPr>
          <w:p>
            <w:pPr>
              <w:pStyle w:val="TableText"/>
            </w:pPr>
            <w:r>
              <w:rPr/>
              <w:t>STARLINK-5366</w:t>
            </w:r>
          </w:p>
        </w:tc>
        <w:tc>
          <w:tcPr>
            <w:tcW w:type="dxa" w:w="2051"/>
            <w:shd w:val="clear" w:color="auto" w:fill="F4F3EF"/>
          </w:tcPr>
          <w:p>
            <w:pPr>
              <w:pStyle w:val="TableText"/>
            </w:pPr>
            <w:r>
              <w:rPr/>
              <w:t>STARLINK-36147</w:t>
            </w:r>
          </w:p>
        </w:tc>
        <w:tc>
          <w:tcPr>
            <w:tcW w:type="dxa" w:w="2244"/>
            <w:shd w:val="clear" w:color="auto" w:fill="F4F3EF"/>
          </w:tcPr>
          <w:p>
            <w:pPr>
              <w:pStyle w:val="TableText"/>
            </w:pPr>
            <w:r>
              <w:rPr/>
              <w:t>Same constellation, crossing</w:t>
            </w:r>
          </w:p>
        </w:tc>
        <w:tc>
          <w:tcPr>
            <w:tcW w:type="dxa" w:w="849"/>
            <w:shd w:val="clear" w:color="auto" w:fill="F4F3EF"/>
          </w:tcPr>
          <w:p>
            <w:pPr>
              <w:pStyle w:val="TableText"/>
            </w:pPr>
            <w:r>
              <w:rPr/>
              <w:t>0.06</w:t>
            </w:r>
          </w:p>
        </w:tc>
        <w:tc>
          <w:tcPr>
            <w:tcW w:type="dxa" w:w="1117"/>
            <w:shd w:val="clear" w:color="auto" w:fill="F4F3EF"/>
          </w:tcPr>
          <w:p>
            <w:pPr>
              <w:pStyle w:val="TableText"/>
            </w:pPr>
            <w:r>
              <w:rPr/>
              <w:t>3.89</w:t>
            </w:r>
          </w:p>
        </w:tc>
        <w:tc>
          <w:tcPr>
            <w:tcW w:type="dxa" w:w="1357"/>
            <w:shd w:val="clear" w:color="auto" w:fill="F4F3EF"/>
          </w:tcPr>
          <w:p>
            <w:pPr>
              <w:pStyle w:val="TableText"/>
            </w:pPr>
            <w:r>
              <w:rPr/>
              <w:t>485</w:t>
            </w:r>
          </w:p>
        </w:tc>
      </w:tr>
      <w:tr>
        <w:tc>
          <w:tcPr>
            <w:tcW w:type="dxa" w:w="2130"/>
          </w:tcPr>
          <w:p>
            <w:pPr>
              <w:pStyle w:val="TableText"/>
            </w:pPr>
            <w:r>
              <w:rPr/>
              <w:t>STARLINK-30385</w:t>
            </w:r>
          </w:p>
        </w:tc>
        <w:tc>
          <w:tcPr>
            <w:tcW w:type="dxa" w:w="2051"/>
          </w:tcPr>
          <w:p>
            <w:pPr>
              <w:pStyle w:val="TableText"/>
            </w:pPr>
            <w:r>
              <w:rPr/>
              <w:t>STARLINK-32434</w:t>
            </w:r>
          </w:p>
        </w:tc>
        <w:tc>
          <w:tcPr>
            <w:tcW w:type="dxa" w:w="2244"/>
          </w:tcPr>
          <w:p>
            <w:pPr>
              <w:pStyle w:val="TableText"/>
            </w:pPr>
            <w:r>
              <w:rPr/>
              <w:t>Same constellation, crossing</w:t>
            </w:r>
          </w:p>
        </w:tc>
        <w:tc>
          <w:tcPr>
            <w:tcW w:type="dxa" w:w="849"/>
          </w:tcPr>
          <w:p>
            <w:pPr>
              <w:pStyle w:val="TableText"/>
            </w:pPr>
            <w:r>
              <w:rPr/>
              <w:t>0.11</w:t>
            </w:r>
          </w:p>
        </w:tc>
        <w:tc>
          <w:tcPr>
            <w:tcW w:type="dxa" w:w="1117"/>
          </w:tcPr>
          <w:p>
            <w:pPr>
              <w:pStyle w:val="TableText"/>
            </w:pPr>
            <w:r>
              <w:rPr/>
              <w:t>7.91</w:t>
            </w:r>
          </w:p>
        </w:tc>
        <w:tc>
          <w:tcPr>
            <w:tcW w:type="dxa" w:w="1357"/>
          </w:tcPr>
          <w:p>
            <w:pPr>
              <w:pStyle w:val="TableText"/>
            </w:pPr>
            <w:r>
              <w:rPr/>
              <w:t>485</w:t>
            </w:r>
          </w:p>
        </w:tc>
      </w:tr>
      <w:tr>
        <w:tc>
          <w:tcPr>
            <w:tcW w:type="dxa" w:w="2130"/>
            <w:shd w:val="clear" w:color="auto" w:fill="F4F3EF"/>
          </w:tcPr>
          <w:p>
            <w:pPr>
              <w:pStyle w:val="TableText"/>
            </w:pPr>
            <w:r>
              <w:rPr/>
              <w:t>STARLINK-31971</w:t>
            </w:r>
          </w:p>
        </w:tc>
        <w:tc>
          <w:tcPr>
            <w:tcW w:type="dxa" w:w="2051"/>
            <w:shd w:val="clear" w:color="auto" w:fill="F4F3EF"/>
          </w:tcPr>
          <w:p>
            <w:pPr>
              <w:pStyle w:val="TableText"/>
            </w:pPr>
            <w:r>
              <w:rPr/>
              <w:t>STARLINK-35986</w:t>
            </w:r>
          </w:p>
        </w:tc>
        <w:tc>
          <w:tcPr>
            <w:tcW w:type="dxa" w:w="2244"/>
            <w:shd w:val="clear" w:color="auto" w:fill="F4F3EF"/>
          </w:tcPr>
          <w:p>
            <w:pPr>
              <w:pStyle w:val="TableText"/>
            </w:pPr>
            <w:r>
              <w:rPr/>
              <w:t>Same constellation, crossing</w:t>
            </w:r>
          </w:p>
        </w:tc>
        <w:tc>
          <w:tcPr>
            <w:tcW w:type="dxa" w:w="849"/>
            <w:shd w:val="clear" w:color="auto" w:fill="F4F3EF"/>
          </w:tcPr>
          <w:p>
            <w:pPr>
              <w:pStyle w:val="TableText"/>
            </w:pPr>
            <w:r>
              <w:rPr/>
              <w:t>0.11</w:t>
            </w:r>
          </w:p>
        </w:tc>
        <w:tc>
          <w:tcPr>
            <w:tcW w:type="dxa" w:w="1117"/>
            <w:shd w:val="clear" w:color="auto" w:fill="F4F3EF"/>
          </w:tcPr>
          <w:p>
            <w:pPr>
              <w:pStyle w:val="TableText"/>
            </w:pPr>
            <w:r>
              <w:rPr/>
              <w:t>1.26</w:t>
            </w:r>
          </w:p>
        </w:tc>
        <w:tc>
          <w:tcPr>
            <w:tcW w:type="dxa" w:w="1357"/>
            <w:shd w:val="clear" w:color="auto" w:fill="F4F3EF"/>
          </w:tcPr>
          <w:p>
            <w:pPr>
              <w:pStyle w:val="TableText"/>
            </w:pPr>
            <w:r>
              <w:rPr/>
              <w:t>477</w:t>
            </w:r>
          </w:p>
        </w:tc>
      </w:tr>
      <w:tr>
        <w:tc>
          <w:tcPr>
            <w:tcW w:type="dxa" w:w="2130"/>
          </w:tcPr>
          <w:p>
            <w:pPr>
              <w:pStyle w:val="TableText"/>
            </w:pPr>
            <w:r>
              <w:rPr/>
              <w:t>STARLINK-3122</w:t>
            </w:r>
          </w:p>
        </w:tc>
        <w:tc>
          <w:tcPr>
            <w:tcW w:type="dxa" w:w="2051"/>
          </w:tcPr>
          <w:p>
            <w:pPr>
              <w:pStyle w:val="TableText"/>
            </w:pPr>
            <w:r>
              <w:rPr/>
              <w:t>STARLINK-4550</w:t>
            </w:r>
          </w:p>
        </w:tc>
        <w:tc>
          <w:tcPr>
            <w:tcW w:type="dxa" w:w="2244"/>
          </w:tcPr>
          <w:p>
            <w:pPr>
              <w:pStyle w:val="TableText"/>
            </w:pPr>
            <w:r>
              <w:rPr/>
              <w:t>Same constellation, crossing</w:t>
            </w:r>
          </w:p>
        </w:tc>
        <w:tc>
          <w:tcPr>
            <w:tcW w:type="dxa" w:w="849"/>
          </w:tcPr>
          <w:p>
            <w:pPr>
              <w:pStyle w:val="TableText"/>
            </w:pPr>
            <w:r>
              <w:rPr/>
              <w:t>0.11</w:t>
            </w:r>
          </w:p>
        </w:tc>
        <w:tc>
          <w:tcPr>
            <w:tcW w:type="dxa" w:w="1117"/>
          </w:tcPr>
          <w:p>
            <w:pPr>
              <w:pStyle w:val="TableText"/>
            </w:pPr>
            <w:r>
              <w:rPr/>
              <w:t>12.16</w:t>
            </w:r>
          </w:p>
        </w:tc>
        <w:tc>
          <w:tcPr>
            <w:tcW w:type="dxa" w:w="1357"/>
          </w:tcPr>
          <w:p>
            <w:pPr>
              <w:pStyle w:val="TableText"/>
            </w:pPr>
            <w:r>
              <w:rPr/>
              <w:t>465</w:t>
            </w:r>
          </w:p>
        </w:tc>
      </w:tr>
      <w:tr>
        <w:tc>
          <w:tcPr>
            <w:tcW w:type="dxa" w:w="2130"/>
            <w:shd w:val="clear" w:color="auto" w:fill="F4F3EF"/>
          </w:tcPr>
          <w:p>
            <w:pPr>
              <w:pStyle w:val="TableText"/>
            </w:pPr>
            <w:r>
              <w:rPr/>
              <w:t>KSLV-II DUMMY</w:t>
            </w:r>
          </w:p>
        </w:tc>
        <w:tc>
          <w:tcPr>
            <w:tcW w:type="dxa" w:w="2051"/>
            <w:shd w:val="clear" w:color="auto" w:fill="F4F3EF"/>
          </w:tcPr>
          <w:p>
            <w:pPr>
              <w:pStyle w:val="TableText"/>
            </w:pPr>
            <w:r>
              <w:rPr/>
              <w:t>GAOFEN-5 01A</w:t>
            </w:r>
          </w:p>
        </w:tc>
        <w:tc>
          <w:tcPr>
            <w:tcW w:type="dxa" w:w="2244"/>
            <w:shd w:val="clear" w:color="auto" w:fill="F4F3EF"/>
          </w:tcPr>
          <w:p>
            <w:pPr>
              <w:pStyle w:val="TableText"/>
            </w:pPr>
            <w:r>
              <w:rPr/>
              <w:t>Different operators, crossing</w:t>
            </w:r>
          </w:p>
        </w:tc>
        <w:tc>
          <w:tcPr>
            <w:tcW w:type="dxa" w:w="849"/>
            <w:shd w:val="clear" w:color="auto" w:fill="F4F3EF"/>
          </w:tcPr>
          <w:p>
            <w:pPr>
              <w:pStyle w:val="TableText"/>
            </w:pPr>
            <w:r>
              <w:rPr/>
              <w:t>0.12</w:t>
            </w:r>
          </w:p>
        </w:tc>
        <w:tc>
          <w:tcPr>
            <w:tcW w:type="dxa" w:w="1117"/>
            <w:shd w:val="clear" w:color="auto" w:fill="F4F3EF"/>
          </w:tcPr>
          <w:p>
            <w:pPr>
              <w:pStyle w:val="TableText"/>
            </w:pPr>
            <w:r>
              <w:rPr/>
              <w:t>14.57</w:t>
            </w:r>
          </w:p>
        </w:tc>
        <w:tc>
          <w:tcPr>
            <w:tcW w:type="dxa" w:w="1357"/>
            <w:shd w:val="clear" w:color="auto" w:fill="F4F3EF"/>
          </w:tcPr>
          <w:p>
            <w:pPr>
              <w:pStyle w:val="TableText"/>
            </w:pPr>
            <w:r>
              <w:rPr/>
              <w:t>693</w:t>
            </w:r>
          </w:p>
        </w:tc>
      </w:tr>
      <w:tr>
        <w:tc>
          <w:tcPr>
            <w:tcW w:type="dxa" w:w="2130"/>
          </w:tcPr>
          <w:p>
            <w:pPr>
              <w:pStyle w:val="TableText"/>
            </w:pPr>
            <w:r>
              <w:rPr/>
              <w:t>JILIN-1 GAOFEN 03D48</w:t>
            </w:r>
          </w:p>
        </w:tc>
        <w:tc>
          <w:tcPr>
            <w:tcW w:type="dxa" w:w="2051"/>
          </w:tcPr>
          <w:p>
            <w:pPr>
              <w:pStyle w:val="TableText"/>
            </w:pPr>
            <w:r>
              <w:rPr/>
              <w:t>STARLINK-37742</w:t>
            </w:r>
          </w:p>
        </w:tc>
        <w:tc>
          <w:tcPr>
            <w:tcW w:type="dxa" w:w="2244"/>
          </w:tcPr>
          <w:p>
            <w:pPr>
              <w:pStyle w:val="TableText"/>
            </w:pPr>
            <w:r>
              <w:rPr/>
              <w:t>Different operators, crossing</w:t>
            </w:r>
          </w:p>
        </w:tc>
        <w:tc>
          <w:tcPr>
            <w:tcW w:type="dxa" w:w="849"/>
          </w:tcPr>
          <w:p>
            <w:pPr>
              <w:pStyle w:val="TableText"/>
            </w:pPr>
            <w:r>
              <w:rPr/>
              <w:t>0.13</w:t>
            </w:r>
          </w:p>
        </w:tc>
        <w:tc>
          <w:tcPr>
            <w:tcW w:type="dxa" w:w="1117"/>
          </w:tcPr>
          <w:p>
            <w:pPr>
              <w:pStyle w:val="TableText"/>
            </w:pPr>
            <w:r>
              <w:rPr/>
              <w:t>14.74</w:t>
            </w:r>
          </w:p>
        </w:tc>
        <w:tc>
          <w:tcPr>
            <w:tcW w:type="dxa" w:w="1357"/>
          </w:tcPr>
          <w:p>
            <w:pPr>
              <w:pStyle w:val="TableText"/>
            </w:pPr>
            <w:r>
              <w:rPr/>
              <w:t>461</w:t>
            </w:r>
          </w:p>
        </w:tc>
      </w:tr>
      <w:tr>
        <w:tc>
          <w:tcPr>
            <w:tcW w:type="dxa" w:w="2130"/>
            <w:shd w:val="clear" w:color="auto" w:fill="F4F3EF"/>
          </w:tcPr>
          <w:p>
            <w:pPr>
              <w:pStyle w:val="TableText"/>
            </w:pPr>
            <w:r>
              <w:rPr/>
              <w:t>STARLINK-6327</w:t>
            </w:r>
          </w:p>
        </w:tc>
        <w:tc>
          <w:tcPr>
            <w:tcW w:type="dxa" w:w="2051"/>
            <w:shd w:val="clear" w:color="auto" w:fill="F4F3EF"/>
          </w:tcPr>
          <w:p>
            <w:pPr>
              <w:pStyle w:val="TableText"/>
            </w:pPr>
            <w:r>
              <w:rPr/>
              <w:t>STARLINK-36432</w:t>
            </w:r>
          </w:p>
        </w:tc>
        <w:tc>
          <w:tcPr>
            <w:tcW w:type="dxa" w:w="2244"/>
            <w:shd w:val="clear" w:color="auto" w:fill="F4F3EF"/>
          </w:tcPr>
          <w:p>
            <w:pPr>
              <w:pStyle w:val="TableText"/>
            </w:pPr>
            <w:r>
              <w:rPr/>
              <w:t>Same constellation, crossing</w:t>
            </w:r>
          </w:p>
        </w:tc>
        <w:tc>
          <w:tcPr>
            <w:tcW w:type="dxa" w:w="849"/>
            <w:shd w:val="clear" w:color="auto" w:fill="F4F3EF"/>
          </w:tcPr>
          <w:p>
            <w:pPr>
              <w:pStyle w:val="TableText"/>
            </w:pPr>
            <w:r>
              <w:rPr/>
              <w:t>0.13</w:t>
            </w:r>
          </w:p>
        </w:tc>
        <w:tc>
          <w:tcPr>
            <w:tcW w:type="dxa" w:w="1117"/>
            <w:shd w:val="clear" w:color="auto" w:fill="F4F3EF"/>
          </w:tcPr>
          <w:p>
            <w:pPr>
              <w:pStyle w:val="TableText"/>
            </w:pPr>
            <w:r>
              <w:rPr/>
              <w:t>1.28</w:t>
            </w:r>
          </w:p>
        </w:tc>
        <w:tc>
          <w:tcPr>
            <w:tcW w:type="dxa" w:w="1357"/>
            <w:shd w:val="clear" w:color="auto" w:fill="F4F3EF"/>
          </w:tcPr>
          <w:p>
            <w:pPr>
              <w:pStyle w:val="TableText"/>
            </w:pPr>
            <w:r>
              <w:rPr/>
              <w:t>485</w:t>
            </w:r>
          </w:p>
        </w:tc>
      </w:tr>
      <w:tr>
        <w:tc>
          <w:tcPr>
            <w:tcW w:type="dxa" w:w="2130"/>
          </w:tcPr>
          <w:p>
            <w:pPr>
              <w:pStyle w:val="TableText"/>
            </w:pPr>
            <w:r>
              <w:rPr/>
              <w:t>AL MUNTHER</w:t>
            </w:r>
          </w:p>
        </w:tc>
        <w:tc>
          <w:tcPr>
            <w:tcW w:type="dxa" w:w="2051"/>
          </w:tcPr>
          <w:p>
            <w:pPr>
              <w:pStyle w:val="TableText"/>
            </w:pPr>
            <w:r>
              <w:rPr/>
              <w:t>STARLINK-35382</w:t>
            </w:r>
          </w:p>
        </w:tc>
        <w:tc>
          <w:tcPr>
            <w:tcW w:type="dxa" w:w="2244"/>
          </w:tcPr>
          <w:p>
            <w:pPr>
              <w:pStyle w:val="TableText"/>
            </w:pPr>
            <w:r>
              <w:rPr/>
              <w:t>Different operators, crossing</w:t>
            </w:r>
          </w:p>
        </w:tc>
        <w:tc>
          <w:tcPr>
            <w:tcW w:type="dxa" w:w="849"/>
          </w:tcPr>
          <w:p>
            <w:pPr>
              <w:pStyle w:val="TableText"/>
            </w:pPr>
            <w:r>
              <w:rPr/>
              <w:t>0.13</w:t>
            </w:r>
          </w:p>
        </w:tc>
        <w:tc>
          <w:tcPr>
            <w:tcW w:type="dxa" w:w="1117"/>
          </w:tcPr>
          <w:p>
            <w:pPr>
              <w:pStyle w:val="TableText"/>
            </w:pPr>
            <w:r>
              <w:rPr/>
              <w:t>13.71</w:t>
            </w:r>
          </w:p>
        </w:tc>
        <w:tc>
          <w:tcPr>
            <w:tcW w:type="dxa" w:w="1357"/>
          </w:tcPr>
          <w:p>
            <w:pPr>
              <w:pStyle w:val="TableText"/>
            </w:pPr>
            <w:r>
              <w:rPr/>
              <w:t>467</w:t>
            </w:r>
          </w:p>
        </w:tc>
      </w:tr>
      <w:tr>
        <w:tc>
          <w:tcPr>
            <w:tcW w:type="dxa" w:w="2130"/>
            <w:shd w:val="clear" w:color="auto" w:fill="F4F3EF"/>
          </w:tcPr>
          <w:p>
            <w:pPr>
              <w:pStyle w:val="TableText"/>
            </w:pPr>
            <w:r>
              <w:rPr/>
              <w:t>YAOGAN-12</w:t>
            </w:r>
          </w:p>
        </w:tc>
        <w:tc>
          <w:tcPr>
            <w:tcW w:type="dxa" w:w="2051"/>
            <w:shd w:val="clear" w:color="auto" w:fill="F4F3EF"/>
          </w:tcPr>
          <w:p>
            <w:pPr>
              <w:pStyle w:val="TableText"/>
            </w:pPr>
            <w:r>
              <w:rPr/>
              <w:t>STARLINK-6173</w:t>
            </w:r>
          </w:p>
        </w:tc>
        <w:tc>
          <w:tcPr>
            <w:tcW w:type="dxa" w:w="2244"/>
            <w:shd w:val="clear" w:color="auto" w:fill="F4F3EF"/>
          </w:tcPr>
          <w:p>
            <w:pPr>
              <w:pStyle w:val="TableText"/>
            </w:pPr>
            <w:r>
              <w:rPr/>
              <w:t>Different operators, crossing</w:t>
            </w:r>
          </w:p>
        </w:tc>
        <w:tc>
          <w:tcPr>
            <w:tcW w:type="dxa" w:w="849"/>
            <w:shd w:val="clear" w:color="auto" w:fill="F4F3EF"/>
          </w:tcPr>
          <w:p>
            <w:pPr>
              <w:pStyle w:val="TableText"/>
            </w:pPr>
            <w:r>
              <w:rPr/>
              <w:t>0.14</w:t>
            </w:r>
          </w:p>
        </w:tc>
        <w:tc>
          <w:tcPr>
            <w:tcW w:type="dxa" w:w="1117"/>
            <w:shd w:val="clear" w:color="auto" w:fill="F4F3EF"/>
          </w:tcPr>
          <w:p>
            <w:pPr>
              <w:pStyle w:val="TableText"/>
            </w:pPr>
            <w:r>
              <w:rPr/>
              <w:t>6.98</w:t>
            </w:r>
          </w:p>
        </w:tc>
        <w:tc>
          <w:tcPr>
            <w:tcW w:type="dxa" w:w="1357"/>
            <w:shd w:val="clear" w:color="auto" w:fill="F4F3EF"/>
          </w:tcPr>
          <w:p>
            <w:pPr>
              <w:pStyle w:val="TableText"/>
            </w:pPr>
            <w:r>
              <w:rPr/>
              <w:t>483</w:t>
            </w:r>
          </w:p>
        </w:tc>
      </w:tr>
    </w:tbl>
    <w:p>
      <w:pPr>
        <w:spacing w:after="40" w:line="144" w:lineRule="auto"/>
      </w:pPr>
    </w:p>
    <w:p>
      <w:pPr>
        <w:jc w:val="both"/>
      </w:pPr>
      <w:r>
        <w:rPr/>
        <w:t>Limits: public GP elements carry about 1 km error, growing with time from epoch, so miss distances are screening values; no covariance or collision probability is computed; objects manoeuvre; the full debris catalogue (about 12,500 pieces) is not publicly mirrored, so screening B covers the four largest clouds only; the catalogue excludes objects smaller than about 10 cm.</w:t>
      </w:r>
    </w:p>
    <w:p>
      <w:pPr>
        <w:pStyle w:val="Heading1"/>
        <w:spacing w:before="360"/>
      </w:pPr>
      <w:r>
        <w:rPr/>
        <w:t>6. FORECAST, LIMITATIONS AND REPRODUCIBILITY</w:t>
      </w:r>
    </w:p>
    <w:p>
      <w:pPr>
        <w:pStyle w:val="Heading2"/>
      </w:pPr>
      <w:r>
        <w:rPr/>
        <w:t>6.1 Forecast</w:t>
      </w:r>
    </w:p>
    <w:p>
      <w:pPr>
        <w:jc w:val="both"/>
      </w:pPr>
      <w:r>
        <w:rPr/>
        <w:t>Holt's damped additive trend on log payloads in orbit, 2000-2026 (Hyndman and Athanasopoulos, 2021):</w:t>
      </w:r>
    </w:p>
    <w:p>
      <w:pPr>
        <w:jc w:val="center"/>
      </w:pPr>
      <w:r>
        <w:rPr>
          <w:i/>
        </w:rPr>
        <w:t>ℓ</w:t>
      </w:r>
      <w:r>
        <w:rPr>
          <w:i/>
          <w:vertAlign w:val="subscript"/>
        </w:rPr>
        <w:t>t</w:t>
      </w:r>
      <w:r>
        <w:rPr>
          <w:i/>
        </w:rPr>
        <w:t xml:space="preserve"> = αy</w:t>
      </w:r>
      <w:r>
        <w:rPr>
          <w:i/>
          <w:vertAlign w:val="subscript"/>
        </w:rPr>
        <w:t>t</w:t>
      </w:r>
      <w:r>
        <w:rPr>
          <w:i/>
        </w:rPr>
        <w:t xml:space="preserve"> + (1−α)(ℓ</w:t>
      </w:r>
      <w:r>
        <w:rPr>
          <w:i/>
          <w:vertAlign w:val="subscript"/>
        </w:rPr>
        <w:t>t−1</w:t>
      </w:r>
      <w:r>
        <w:rPr>
          <w:i/>
        </w:rPr>
        <w:t xml:space="preserve"> + φb</w:t>
      </w:r>
      <w:r>
        <w:rPr>
          <w:i/>
          <w:vertAlign w:val="subscript"/>
        </w:rPr>
        <w:t>t−1</w:t>
      </w:r>
      <w:r>
        <w:rPr>
          <w:i/>
        </w:rPr>
        <w:t>), b</w:t>
      </w:r>
      <w:r>
        <w:rPr>
          <w:i/>
          <w:vertAlign w:val="subscript"/>
        </w:rPr>
        <w:t>t</w:t>
      </w:r>
      <w:r>
        <w:rPr>
          <w:i/>
        </w:rPr>
        <w:t xml:space="preserve"> = β(ℓ</w:t>
      </w:r>
      <w:r>
        <w:rPr>
          <w:i/>
          <w:vertAlign w:val="subscript"/>
        </w:rPr>
        <w:t>t</w:t>
      </w:r>
      <w:r>
        <w:rPr>
          <w:i/>
        </w:rPr>
        <w:t xml:space="preserve"> − ℓ</w:t>
      </w:r>
      <w:r>
        <w:rPr>
          <w:i/>
          <w:vertAlign w:val="subscript"/>
        </w:rPr>
        <w:t>t−1</w:t>
      </w:r>
      <w:r>
        <w:rPr>
          <w:i/>
        </w:rPr>
        <w:t>) + (1−β)φb</w:t>
      </w:r>
      <w:r>
        <w:rPr>
          <w:i/>
          <w:vertAlign w:val="subscript"/>
        </w:rPr>
        <w:t>t−1</w:t>
      </w:r>
      <w:r>
        <w:tab/>
        <w:tab/>
        <w:t>(8)</w:t>
      </w:r>
    </w:p>
    <w:p>
      <w:pPr>
        <w:jc w:val="both"/>
      </w:pPr>
      <w:r>
        <w:rPr/>
        <w:t>80% interval from 2,000 simulated paths (seeded). Back-test: fit to 2000-2021, forecast 2022-2026, mean absolute percentage error 8.6%. 2030: 36,000 (28,000-46,100).</w:t>
      </w:r>
    </w:p>
    <w:p>
      <w:pPr>
        <w:pStyle w:val="TableCaption"/>
      </w:pPr>
      <w:r>
        <w:rPr>
          <w:b/>
        </w:rPr>
        <w:t>Table 6.1 :</w:t>
      </w:r>
      <w:r>
        <w:rPr/>
        <w:t xml:space="preserve"> Bottom-up scenarios for working satellites in 2030 (others grow 3 / 7 / 12% a year)</w:t>
      </w:r>
    </w:p>
    <w:tbl>
      <w:tblPr>
        <w:tblStyle w:val="TableGrid"/>
        <w:tblW w:w="9746" w:type="dxa"/>
        <w:jc w:val="center"/>
        <w:tblLayout w:type="fixed"/>
        <w:tblLook w:firstColumn="1" w:firstRow="1" w:lastColumn="0" w:lastRow="0" w:noHBand="0" w:noVBand="1" w:val="04A0"/>
      </w:tblPr>
      <w:tblGrid>
        <w:gridCol w:w="1351"/>
        <w:gridCol w:w="1455"/>
        <w:gridCol w:w="1188"/>
        <w:gridCol w:w="1382"/>
        <w:gridCol w:w="1382"/>
        <w:gridCol w:w="1821"/>
        <w:gridCol w:w="1167"/>
      </w:tblGrid>
      <w:tr>
        <w:trPr>
          <w:tblHeader w:val="true"/>
        </w:trPr>
        <w:tc>
          <w:tcPr>
            <w:tcW w:type="dxa" w:w="1351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455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Starlink (US)</w:t>
            </w:r>
          </w:p>
        </w:tc>
        <w:tc>
          <w:tcPr>
            <w:tcW w:type="dxa" w:w="1188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Kuiper (US)</w:t>
            </w:r>
          </w:p>
        </w:tc>
        <w:tc>
          <w:tcPr>
            <w:tcW w:type="dxa" w:w="1382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Guowang (China)</w:t>
            </w:r>
          </w:p>
        </w:tc>
        <w:tc>
          <w:tcPr>
            <w:tcW w:type="dxa" w:w="1382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Qianfan (China)</w:t>
            </w:r>
          </w:p>
        </w:tc>
        <w:tc>
          <w:tcPr>
            <w:tcW w:type="dxa" w:w="1821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All other satellites</w:t>
            </w:r>
          </w:p>
        </w:tc>
        <w:tc>
          <w:tcPr>
            <w:tcW w:type="dxa" w:w="116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Total 2030</w:t>
            </w:r>
          </w:p>
        </w:tc>
      </w:tr>
      <w:tr>
        <w:tc>
          <w:tcPr>
            <w:tcW w:type="dxa" w:w="1351"/>
          </w:tcPr>
          <w:p>
            <w:pPr>
              <w:pStyle w:val="TableText"/>
            </w:pPr>
            <w:r>
              <w:rPr/>
              <w:t>Low</w:t>
            </w:r>
          </w:p>
        </w:tc>
        <w:tc>
          <w:tcPr>
            <w:tcW w:type="dxa" w:w="1455"/>
          </w:tcPr>
          <w:p>
            <w:pPr>
              <w:pStyle w:val="TableText"/>
            </w:pPr>
            <w:r>
              <w:rPr/>
              <w:t>12,000</w:t>
            </w:r>
          </w:p>
        </w:tc>
        <w:tc>
          <w:tcPr>
            <w:tcW w:type="dxa" w:w="1188"/>
          </w:tcPr>
          <w:p>
            <w:pPr>
              <w:pStyle w:val="TableText"/>
            </w:pPr>
            <w:r>
              <w:rPr/>
              <w:t>1,600</w:t>
            </w:r>
          </w:p>
        </w:tc>
        <w:tc>
          <w:tcPr>
            <w:tcW w:type="dxa" w:w="1382"/>
          </w:tcPr>
          <w:p>
            <w:pPr>
              <w:pStyle w:val="TableText"/>
            </w:pPr>
            <w:r>
              <w:rPr/>
              <w:t>800</w:t>
            </w:r>
          </w:p>
        </w:tc>
        <w:tc>
          <w:tcPr>
            <w:tcW w:type="dxa" w:w="1382"/>
          </w:tcPr>
          <w:p>
            <w:pPr>
              <w:pStyle w:val="TableText"/>
            </w:pPr>
            <w:r>
              <w:rPr/>
              <w:t>800</w:t>
            </w:r>
          </w:p>
        </w:tc>
        <w:tc>
          <w:tcPr>
            <w:tcW w:type="dxa" w:w="1821"/>
          </w:tcPr>
          <w:p>
            <w:pPr>
              <w:pStyle w:val="TableText"/>
            </w:pPr>
            <w:r>
              <w:rPr/>
              <w:t>5,701</w:t>
            </w:r>
          </w:p>
        </w:tc>
        <w:tc>
          <w:tcPr>
            <w:tcW w:type="dxa" w:w="1167"/>
          </w:tcPr>
          <w:p>
            <w:pPr>
              <w:pStyle w:val="TableText"/>
            </w:pPr>
            <w:r>
              <w:rPr/>
              <w:t>20,901</w:t>
            </w:r>
          </w:p>
        </w:tc>
      </w:tr>
      <w:tr>
        <w:tc>
          <w:tcPr>
            <w:tcW w:type="dxa" w:w="1351"/>
            <w:shd w:val="clear" w:color="auto" w:fill="F4F3EF"/>
          </w:tcPr>
          <w:p>
            <w:pPr>
              <w:pStyle w:val="TableText"/>
            </w:pPr>
            <w:r>
              <w:rPr/>
              <w:t>Base</w:t>
            </w:r>
          </w:p>
        </w:tc>
        <w:tc>
          <w:tcPr>
            <w:tcW w:type="dxa" w:w="1455"/>
            <w:shd w:val="clear" w:color="auto" w:fill="F4F3EF"/>
          </w:tcPr>
          <w:p>
            <w:pPr>
              <w:pStyle w:val="TableText"/>
            </w:pPr>
            <w:r>
              <w:rPr/>
              <w:t>15,000</w:t>
            </w:r>
          </w:p>
        </w:tc>
        <w:tc>
          <w:tcPr>
            <w:tcW w:type="dxa" w:w="1188"/>
            <w:shd w:val="clear" w:color="auto" w:fill="F4F3EF"/>
          </w:tcPr>
          <w:p>
            <w:pPr>
              <w:pStyle w:val="TableText"/>
            </w:pPr>
            <w:r>
              <w:rPr/>
              <w:t>3,236</w:t>
            </w:r>
          </w:p>
        </w:tc>
        <w:tc>
          <w:tcPr>
            <w:tcW w:type="dxa" w:w="1382"/>
            <w:shd w:val="clear" w:color="auto" w:fill="F4F3EF"/>
          </w:tcPr>
          <w:p>
            <w:pPr>
              <w:pStyle w:val="TableText"/>
            </w:pPr>
            <w:r>
              <w:rPr/>
              <w:t>3,000</w:t>
            </w:r>
          </w:p>
        </w:tc>
        <w:tc>
          <w:tcPr>
            <w:tcW w:type="dxa" w:w="1382"/>
            <w:shd w:val="clear" w:color="auto" w:fill="F4F3EF"/>
          </w:tcPr>
          <w:p>
            <w:pPr>
              <w:pStyle w:val="TableText"/>
            </w:pPr>
            <w:r>
              <w:rPr/>
              <w:t>3,000</w:t>
            </w:r>
          </w:p>
        </w:tc>
        <w:tc>
          <w:tcPr>
            <w:tcW w:type="dxa" w:w="1821"/>
            <w:shd w:val="clear" w:color="auto" w:fill="F4F3EF"/>
          </w:tcPr>
          <w:p>
            <w:pPr>
              <w:pStyle w:val="TableText"/>
            </w:pPr>
            <w:r>
              <w:rPr/>
              <w:t>6,639</w:t>
            </w:r>
          </w:p>
        </w:tc>
        <w:tc>
          <w:tcPr>
            <w:tcW w:type="dxa" w:w="1167"/>
            <w:shd w:val="clear" w:color="auto" w:fill="F4F3EF"/>
          </w:tcPr>
          <w:p>
            <w:pPr>
              <w:pStyle w:val="TableText"/>
            </w:pPr>
            <w:r>
              <w:rPr/>
              <w:t>30,875</w:t>
            </w:r>
          </w:p>
        </w:tc>
      </w:tr>
      <w:tr>
        <w:tc>
          <w:tcPr>
            <w:tcW w:type="dxa" w:w="1351"/>
          </w:tcPr>
          <w:p>
            <w:pPr>
              <w:pStyle w:val="TableText"/>
            </w:pPr>
            <w:r>
              <w:rPr/>
              <w:t>High</w:t>
            </w:r>
          </w:p>
        </w:tc>
        <w:tc>
          <w:tcPr>
            <w:tcW w:type="dxa" w:w="1455"/>
          </w:tcPr>
          <w:p>
            <w:pPr>
              <w:pStyle w:val="TableText"/>
            </w:pPr>
            <w:r>
              <w:rPr/>
              <w:t>19,400</w:t>
            </w:r>
          </w:p>
        </w:tc>
        <w:tc>
          <w:tcPr>
            <w:tcW w:type="dxa" w:w="1188"/>
          </w:tcPr>
          <w:p>
            <w:pPr>
              <w:pStyle w:val="TableText"/>
            </w:pPr>
            <w:r>
              <w:rPr/>
              <w:t>3,236</w:t>
            </w:r>
          </w:p>
        </w:tc>
        <w:tc>
          <w:tcPr>
            <w:tcW w:type="dxa" w:w="1382"/>
          </w:tcPr>
          <w:p>
            <w:pPr>
              <w:pStyle w:val="TableText"/>
            </w:pPr>
            <w:r>
              <w:rPr/>
              <w:t>6,500</w:t>
            </w:r>
          </w:p>
        </w:tc>
        <w:tc>
          <w:tcPr>
            <w:tcW w:type="dxa" w:w="1382"/>
          </w:tcPr>
          <w:p>
            <w:pPr>
              <w:pStyle w:val="TableText"/>
            </w:pPr>
            <w:r>
              <w:rPr/>
              <w:t>6,500</w:t>
            </w:r>
          </w:p>
        </w:tc>
        <w:tc>
          <w:tcPr>
            <w:tcW w:type="dxa" w:w="1821"/>
          </w:tcPr>
          <w:p>
            <w:pPr>
              <w:pStyle w:val="TableText"/>
            </w:pPr>
            <w:r>
              <w:rPr/>
              <w:t>7,970</w:t>
            </w:r>
          </w:p>
        </w:tc>
        <w:tc>
          <w:tcPr>
            <w:tcW w:type="dxa" w:w="1167"/>
          </w:tcPr>
          <w:p>
            <w:pPr>
              <w:pStyle w:val="TableText"/>
            </w:pPr>
            <w:r>
              <w:rPr/>
              <w:t>43,606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/>
        <w:t>6.2 Limitations and threats to validity</w:t>
      </w:r>
    </w:p>
    <w:p>
      <w:pPr>
        <w:spacing w:after="60"/>
        <w:ind w:left="454" w:hanging="340"/>
        <w:jc w:val="both"/>
      </w:pPr>
      <w:r>
        <w:t>•</w:t>
        <w:tab/>
      </w:r>
      <w:r>
        <w:rPr/>
        <w:t>The CDM census is a 2014 snapshot; growth after 2014 rests on the open catalogue and the UCS 2020 census (cross-checked).</w:t>
      </w:r>
    </w:p>
    <w:p>
      <w:pPr>
        <w:spacing w:after="60"/>
        <w:ind w:left="454" w:hanging="340"/>
        <w:jc w:val="both"/>
      </w:pPr>
      <w:r>
        <w:t>•</w:t>
        <w:tab/>
      </w:r>
      <w:r>
        <w:rPr/>
        <w:t>'Operational' in the catalogue is the maintainer's flag; some dead satellites may be flagged operational and vice versa.</w:t>
      </w:r>
    </w:p>
    <w:p>
      <w:pPr>
        <w:spacing w:after="60"/>
        <w:ind w:left="454" w:hanging="340"/>
        <w:jc w:val="both"/>
      </w:pPr>
      <w:r>
        <w:t>•</w:t>
        <w:tab/>
      </w:r>
      <w:r>
        <w:rPr/>
        <w:t>Military counts use names: a lower bound. The classifier's label is the registered user, itself imperfect for dual-use satellites.</w:t>
      </w:r>
    </w:p>
    <w:p>
      <w:pPr>
        <w:spacing w:after="60"/>
        <w:ind w:left="454" w:hanging="340"/>
        <w:jc w:val="both"/>
      </w:pPr>
      <w:r>
        <w:t>•</w:t>
        <w:tab/>
      </w:r>
      <w:r>
        <w:rPr/>
        <w:t>The collision-risk index is relative and ignores object size, manoeuvres and eccentric orbits spanning shells.</w:t>
      </w:r>
    </w:p>
    <w:p>
      <w:pPr>
        <w:spacing w:after="60"/>
        <w:ind w:left="454" w:hanging="340"/>
        <w:jc w:val="both"/>
      </w:pPr>
      <w:r>
        <w:t>•</w:t>
        <w:tab/>
      </w:r>
      <w:r>
        <w:rPr/>
        <w:t>The CDM space-weather periods are anonymised; the storm-sunspot relation uses their internal timing only.</w:t>
      </w:r>
    </w:p>
    <w:p>
      <w:pPr>
        <w:spacing w:after="60"/>
        <w:ind w:left="454" w:hanging="340"/>
        <w:jc w:val="both"/>
      </w:pPr>
      <w:r>
        <w:t>•</w:t>
        <w:tab/>
      </w:r>
      <w:r>
        <w:rPr/>
        <w:t>Scenario totals depend on announced plans; they are assumptions, stated in the table, not predictions of company behaviour.</w:t>
      </w:r>
    </w:p>
    <w:p>
      <w:pPr>
        <w:pStyle w:val="Heading2"/>
      </w:pPr>
      <w:r>
        <w:rPr/>
        <w:t>6.3 Reproducibility</w:t>
      </w:r>
    </w:p>
    <w:p>
      <w:pPr>
        <w:jc w:val="both"/>
      </w:pPr>
      <w:r>
        <w:rPr/>
        <w:t xml:space="preserve">Python 3.11.15; pandas 3.0.6; NumPy 2.3.5; SciPy 1.17.1; statsmodels 0.15.0; scikit-learn 1.9.1; ruptures 1.1.10; sgp4 2.27; Matplotlib 3.10.9. Commands: </w:t>
      </w:r>
      <w:r>
        <w:rPr>
          <w:i/>
        </w:rPr>
        <w:t>cd analysis &amp;&amp; python run_all.py</w:t>
      </w:r>
      <w:r>
        <w:rPr/>
        <w:t xml:space="preserve"> (about 8 minutes, of which 7 are the close-approach screening), then </w:t>
      </w:r>
      <w:r>
        <w:rPr>
          <w:i/>
        </w:rPr>
        <w:t>cd ../report &amp;&amp; python build_booklet.py &amp;&amp; python build_annex.py &amp;&amp; python build_word.py</w:t>
      </w:r>
      <w:r>
        <w:rPr/>
        <w:t>. Random elements are seeded; two consecutive runs give identical metrics.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20" w:bottom="1020" w:left="1134" w:header="720" w:footer="720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555555"/>
        <w:sz w:val="15"/>
      </w:rPr>
      <w:t>CDM Datathon-2026  |  Theme 6.1  |  Project High Ground  |  Technical Annex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555555"/>
        <w:sz w:val="15"/>
      </w:rPr>
      <w:t>CDM Datathon-2026  |  Theme 6.1  |  Project High Ground  |  Technical Annex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/>
      <w:b/>
      <w:bCs/>
      <w:color w:val="1F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/>
      <w:b/>
      <w:bCs/>
      <w:color w:val="1F3B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spacing w:before="60" w:after="160"/>
      <w:jc w:val="center"/>
    </w:pPr>
    <w:rPr>
      <w:sz w:val="21"/>
    </w:rPr>
  </w:style>
  <w:style w:type="paragraph" w:customStyle="1" w:styleId="TableCaption">
    <w:name w:val="Table Caption"/>
    <w:basedOn w:val="Normal"/>
    <w:pPr>
      <w:keepNext/>
      <w:spacing w:before="60" w:after="160"/>
      <w:jc w:val="center"/>
    </w:pPr>
    <w:rPr>
      <w:sz w:val="21"/>
    </w:rPr>
  </w:style>
  <w:style w:type="paragraph" w:customStyle="1" w:styleId="FrontHeading">
    <w:name w:val="Front Heading"/>
    <w:basedOn w:val="Normal"/>
    <w:pPr>
      <w:keepNext/>
      <w:spacing w:after="240"/>
      <w:jc w:val="center"/>
    </w:pPr>
    <w:rPr>
      <w:b/>
      <w:color w:val="1F3B5C"/>
      <w:sz w:val="28"/>
    </w:rPr>
  </w:style>
  <w:style w:type="paragraph" w:customStyle="1" w:styleId="Kicker">
    <w:name w:val="Kicker"/>
    <w:basedOn w:val="Normal"/>
    <w:pPr>
      <w:keepNext/>
    </w:pPr>
    <w:rPr>
      <w:rFonts w:ascii="Arial" w:hAnsi="Arial"/>
      <w:b/>
      <w:color w:val="9A4A3A"/>
      <w:sz w:val="18"/>
    </w:rPr>
  </w:style>
  <w:style w:type="paragraph" w:customStyle="1" w:styleId="TableText">
    <w:name w:val="Table Text"/>
    <w:basedOn w:val="Normal"/>
    <w:pPr>
      <w:spacing w:after="0" w:line="240" w:lineRule="auto"/>
      <w:jc w:val="left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Annex</dc:title>
  <dc:subject/>
  <dc:creator>Arjun Jayadev</dc:creator>
  <cp:keywords/>
  <dc:description/>
  <cp:lastModifiedBy>Arjun Jayadev</cp:lastModifiedBy>
  <cp:revision>1</cp:revision>
  <dcterms:created xsi:type="dcterms:W3CDTF">2013-12-23T23:15:00Z</dcterms:created>
  <dcterms:modified xsi:type="dcterms:W3CDTF">2013-12-23T23:15:00Z</dcterms:modified>
  <cp:category/>
</cp:coreProperties>
</file>