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E3A8A"/>
          <w:sz w:val="48"/>
        </w:rPr>
        <w:t>SOFTWARE REQUIREMENTS SPECIFICATION</w:t>
      </w:r>
    </w:p>
    <w:p>
      <w:pPr>
        <w:spacing w:after="280"/>
        <w:jc w:val="left"/>
      </w:pPr>
      <w:r>
        <w:rPr>
          <w:rFonts w:ascii="Calibri" w:hAnsi="Calibri"/>
          <w:b/>
          <w:color w:val="0D9488"/>
          <w:sz w:val="26"/>
        </w:rPr>
        <w:t>Multi-Tenant UAE FTA E-Invoicing Middleware Platform (PaaS) - Version 2.1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2880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Specification Metadata</w:t>
            </w:r>
          </w:p>
        </w:tc>
        <w:tc>
          <w:tcPr>
            <w:tcW w:type="dxa" w:w="6480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Document Version</w:t>
            </w:r>
          </w:p>
        </w:tc>
        <w:tc>
          <w:tcPr>
            <w:tcW w:type="dxa" w:w="64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2.1 (Release: In-App Invoice Creation &amp; Customer Directory Added)</w:t>
            </w:r>
          </w:p>
        </w:tc>
      </w:tr>
      <w:tr>
        <w:trPr>
          <w:cantSplit/>
        </w:trPr>
        <w:tc>
          <w:tcPr>
            <w:tcW w:type="dxa" w:w="288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Target Jurisdiction</w:t>
            </w:r>
          </w:p>
        </w:tc>
        <w:tc>
          <w:tcPr>
            <w:tcW w:type="dxa" w:w="648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United Arab Emirates (UAE)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Regulatory Authorities</w:t>
            </w:r>
          </w:p>
        </w:tc>
        <w:tc>
          <w:tcPr>
            <w:tcW w:type="dxa" w:w="64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Federal Tax Authority (FTA) &amp; Ministry of Finance (MoF)</w:t>
            </w:r>
          </w:p>
        </w:tc>
      </w:tr>
      <w:tr>
        <w:trPr>
          <w:cantSplit/>
        </w:trPr>
        <w:tc>
          <w:tcPr>
            <w:tcW w:type="dxa" w:w="288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Technical Standards</w:t>
            </w:r>
          </w:p>
        </w:tc>
        <w:tc>
          <w:tcPr>
            <w:tcW w:type="dxa" w:w="648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UAE Peppol PINT (PINT AE) / UBL 2.1 XML / OASIS ebMS3 AS4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Platform Architecture</w:t>
            </w:r>
          </w:p>
        </w:tc>
        <w:tc>
          <w:tcPr>
            <w:tcW w:type="dxa" w:w="64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Multi-Tenant Cloud Native PaaS (Direct &amp; Channel Partner Hierarchies)</w:t>
            </w:r>
          </w:p>
        </w:tc>
      </w:tr>
      <w:tr>
        <w:trPr>
          <w:cantSplit/>
        </w:trPr>
        <w:tc>
          <w:tcPr>
            <w:tcW w:type="dxa" w:w="288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Ingestion Channels</w:t>
            </w:r>
          </w:p>
        </w:tc>
        <w:tc>
          <w:tcPr>
            <w:tcW w:type="dxa" w:w="648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1. Programmatic ERP APIs | 2. Interactive Excel/CSV Portal | 3. Native In-App Web Invoice Builder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Customer Management</w:t>
            </w:r>
          </w:p>
        </w:tc>
        <w:tc>
          <w:tcPr>
            <w:tcW w:type="dxa" w:w="64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Tenant-Level Customer / Buyer Master Directory (TRNs, Address, B2B/B2C Classification)</w:t>
            </w:r>
          </w:p>
        </w:tc>
      </w:tr>
      <w:tr>
        <w:trPr>
          <w:cantSplit/>
        </w:trPr>
        <w:tc>
          <w:tcPr>
            <w:tcW w:type="dxa" w:w="288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Billing &amp; Metering Model</w:t>
            </w:r>
          </w:p>
        </w:tc>
        <w:tc>
          <w:tcPr>
            <w:tcW w:type="dxa" w:w="648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Two-Tier Prepaid Data Bundles (Invoice Row Consumption Tracking)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Security &amp; Compliance</w:t>
            </w:r>
          </w:p>
        </w:tc>
        <w:tc>
          <w:tcPr>
            <w:tcW w:type="dxa" w:w="64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UAE In-Country Data Residency (AWS me-central-1 / Azure UAE North), WORM Lock</w:t>
            </w:r>
          </w:p>
        </w:tc>
      </w:tr>
      <w:tr>
        <w:trPr>
          <w:cantSplit/>
        </w:trPr>
        <w:tc>
          <w:tcPr>
            <w:tcW w:type="dxa" w:w="288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Phasing Strategy</w:t>
            </w:r>
          </w:p>
        </w:tc>
        <w:tc>
          <w:tcPr>
            <w:tcW w:type="dxa" w:w="648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Phase 1: 3rd-Party ASP Router -&gt; Phase 2: Native ASP / Peppol Access Point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6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 xml:space="preserve">[EXECUTIVE ARCHITECTURE BRIEF &amp; REVISION HIGHLIGHTS] </w:t>
            </w:r>
            <w:r>
              <w:rPr>
                <w:color w:val="1F2937"/>
                <w:sz w:val="19"/>
              </w:rPr>
              <w:t>REVISION HIGHLIGHTS (v2.1): This amended specification introduces native In-App Invoice Creation and a Customer / Buyer Master Directory for both Direct Enterprise Tenants and Managed Sub-Tenants. Tenants without ERP systems or spreadsheets can now maintain persistent customer profiles (TRNs, addresses, VAT group details) and generate, validate, and clear e-invoices directly within the web application as a complete stand-alone solution.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9"/>
        </w:rPr>
        <w:t>1. Executive Summary &amp; Core Platform Scope</w:t>
      </w:r>
    </w:p>
    <w:p>
      <w:pPr>
        <w:keepNext/>
        <w:spacing w:before="240" w:after="60"/>
      </w:pPr>
      <w:r>
        <w:rPr>
          <w:rFonts w:ascii="Calibri" w:hAnsi="Calibri"/>
          <w:b/>
          <w:color w:val="0D9488"/>
          <w:sz w:val="23"/>
        </w:rPr>
        <w:t>1.1 Purpose</w:t>
      </w:r>
    </w:p>
    <w:p>
      <w:pPr>
        <w:spacing w:after="100"/>
      </w:pPr>
      <w:r>
        <w:rPr>
          <w:i w:val="0"/>
          <w:color w:val="1F2937"/>
        </w:rPr>
        <w:t>The primary purpose of this platform is to provide a multi-tenant, cloud-native E-Invoicing Middleware service operating on a Platform-as-a-Service (PaaS) model. The platform serves as the central bridge connecting diverse business ERPs, POS systems, spreadsheet files, and native in-app manual invoice forms to the UAE Federal Tax Authority (FTA) e-invoicing network. It enforces strict compliance with UAE PINT (Peppol International) standards, validates business and tax arithmetic, meters multi-tiered data consumption, and coordinates document clearance via Accredited Service Providers (ASPs).</w:t>
      </w:r>
    </w:p>
    <w:p>
      <w:pPr>
        <w:keepNext/>
        <w:spacing w:before="240" w:after="60"/>
      </w:pPr>
      <w:r>
        <w:rPr>
          <w:rFonts w:ascii="Calibri" w:hAnsi="Calibri"/>
          <w:b/>
          <w:color w:val="0D9488"/>
          <w:sz w:val="23"/>
        </w:rPr>
        <w:t>1.2 Three Ingestion &amp; Creation Channels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Channel 1 — Direct ERP Connectors / REST APIs: </w:t>
      </w:r>
      <w:r>
        <w:rPr>
          <w:color w:val="1F2937"/>
        </w:rPr>
        <w:t>Programmatic, automated real-time ingestion via REST APIs, webhooks, and SFTP listeners for cloud or on-premise ERPs.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Channel 2 — Batch Excel/CSV Upload Portal: </w:t>
      </w:r>
      <w:r>
        <w:rPr>
          <w:color w:val="1F2937"/>
        </w:rPr>
        <w:t>Web portal module for uploading batch .xlsx/.csv files, automated sheet parsing, dynamic column mapping, and pre-flight grid staging.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Channel 3 — In-App Web Invoice Builder &amp; Customer Directory: </w:t>
      </w:r>
      <w:r>
        <w:rPr>
          <w:color w:val="1F2937"/>
        </w:rPr>
        <w:t>Native web form allowing users to select saved customers from a Customer Master Directory, compose line items with real-time tax calculation, save drafts, and submit directly to the FTA clearance workflow without preparing external files.</w:t>
      </w:r>
    </w:p>
    <w:p>
      <w:pPr>
        <w:keepNext/>
        <w:spacing w:before="240" w:after="60"/>
      </w:pPr>
      <w:r>
        <w:rPr>
          <w:rFonts w:ascii="Calibri" w:hAnsi="Calibri"/>
          <w:b/>
          <w:color w:val="0D9488"/>
          <w:sz w:val="23"/>
        </w:rPr>
        <w:t>1.3 System Topology &amp; Hierarchy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                     HOST PROVIDER (Platform Owner / Root Admin)             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   - Infrastructure Operations (UAE Data Center)   - Master Billing &amp; Inventory Engine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   - Central FTA/Peppol Compliance Updates         - Global Tenant &amp; Partner Provisioning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└───────────────────────────────┬─────────────────────────────────────────────┬───────────────┘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                │                               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┌──────────────────┴──────────────────┐       ┌──────────────────┴──────────────────┐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▼                                     ▼       ▼                                     ▼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┌──────────────────────────────────────┐               ┌─────────────────────────────────────────┐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   DIRECT ENTERPRISE TENANT 1       │               │      CHANNEL PARTNER (Advisory/CPA)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- Standalone Account &amp; Own TRN       │               │ - Master Data Bundle Pool (e.g. 100k)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- Customer Master Directory (Own)    │               │ - Onboards &amp; Manages Sub-Tenants   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- In-App Invoice Builder / API / XLS │               └────────────────────┬────────────────────┘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- Admin onboards internal users      │                      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└──────────────────┬───────────────────┘                ┌───────────────────┴────────────────────┐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   │                                    ▼                                        ▼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   ▼                     ┌──────────────────────────────────────┐ ┌──────────────────────────────────────┐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┌──────────────────────────────────────┐ │        MANAGED SUB-TENANT A          │ │        MANAGED SUB-TENANT B     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Users (Admin / Data Entry / CFO)    │ │ - Customer Master Directory (Own)    │ │ - Customer Master Directory (Own)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- In-App Builder / Excel / API      │ │ - In-App Invoice Builder / Excel     │ │ - In-App Invoice Builder / Excel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- Deducts from Direct Tenant Quota  │ │ - Deducts from Sub-Tenant &amp; Partner  │ │ - Deducts from Sub-Tenant &amp; Partner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└──────────────────────────────────────┘ └──────────────────────────────────────┘ └──────────────────────────────────────┘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9"/>
        </w:rPr>
        <w:t>2. Multi-Tenant Organizational Hierarchy &amp; Onboarding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728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Tenancy Tier</w:t>
            </w:r>
          </w:p>
        </w:tc>
        <w:tc>
          <w:tcPr>
            <w:tcW w:type="dxa" w:w="2016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3168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Core Responsibilities &amp; Capabilities</w:t>
            </w:r>
          </w:p>
        </w:tc>
        <w:tc>
          <w:tcPr>
            <w:tcW w:type="dxa" w:w="2448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Billing / Data Model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1. Host (Provider)</w:t>
            </w:r>
          </w:p>
        </w:tc>
        <w:tc>
          <w:tcPr>
            <w:tcW w:type="dxa" w:w="201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Platform Owner (Root)</w:t>
            </w:r>
          </w:p>
        </w:tc>
        <w:tc>
          <w:tcPr>
            <w:tcW w:type="dxa" w:w="316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Maintains cloud infrastructure in UAE; sets global FTA tax logic; onboards Direct Tenants &amp; Partners; provisions master inventory.</w:t>
            </w:r>
          </w:p>
        </w:tc>
        <w:tc>
          <w:tcPr>
            <w:tcW w:type="dxa" w:w="244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Sells bulk inventory packages (invoice rows) to Direct Tenants &amp; Channel Partners.</w:t>
            </w:r>
          </w:p>
        </w:tc>
      </w:tr>
      <w:tr>
        <w:trPr>
          <w:cantSplit/>
        </w:trPr>
        <w:tc>
          <w:tcPr>
            <w:tcW w:type="dxa" w:w="172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2. Enterprise Tenant</w:t>
            </w:r>
          </w:p>
        </w:tc>
        <w:tc>
          <w:tcPr>
            <w:tcW w:type="dxa" w:w="2016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Direct Client to Host</w:t>
            </w:r>
          </w:p>
        </w:tc>
        <w:tc>
          <w:tcPr>
            <w:tcW w:type="dxa" w:w="316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Standalone company; maintains Customer Directory, creates in-app invoices or links ERP API keys; manages internal users.</w:t>
            </w:r>
          </w:p>
        </w:tc>
        <w:tc>
          <w:tcPr>
            <w:tcW w:type="dxa" w:w="244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Buys prepaid data bundles directly from Host; balances deducted per invoice upload/creation.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3. Channel Partner</w:t>
            </w:r>
          </w:p>
        </w:tc>
        <w:tc>
          <w:tcPr>
            <w:tcW w:type="dxa" w:w="2016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Intermediary / Reseller</w:t>
            </w:r>
          </w:p>
        </w:tc>
        <w:tc>
          <w:tcPr>
            <w:tcW w:type="dxa" w:w="316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Accounting firms, ERP vendors, or tax consultancies; has dedicated Partner Portal to onboard and manage client sub-tenants.</w:t>
            </w:r>
          </w:p>
        </w:tc>
        <w:tc>
          <w:tcPr>
            <w:tcW w:type="dxa" w:w="244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Purchases large master bundle (e.g., 100,000 rows) and carves out smaller slices to sub-tenants.</w:t>
            </w:r>
          </w:p>
        </w:tc>
      </w:tr>
      <w:tr>
        <w:trPr>
          <w:cantSplit/>
        </w:trPr>
        <w:tc>
          <w:tcPr>
            <w:tcW w:type="dxa" w:w="172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4. Managed Sub-Tenant</w:t>
            </w:r>
          </w:p>
        </w:tc>
        <w:tc>
          <w:tcPr>
            <w:tcW w:type="dxa" w:w="2016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Child under Channel Partner</w:t>
            </w:r>
          </w:p>
        </w:tc>
        <w:tc>
          <w:tcPr>
            <w:tcW w:type="dxa" w:w="316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Sits inside Partner's umbrella; maintains own Customer Directory; creates invoices in-app or via Excel upload.</w:t>
            </w:r>
          </w:p>
        </w:tc>
        <w:tc>
          <w:tcPr>
            <w:tcW w:type="dxa" w:w="244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Consumes data from the slice allocated by Partner; dual-deducted from Partner master pool.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9"/>
        </w:rPr>
        <w:t>3. Customer Master Directory Module</w:t>
      </w:r>
    </w:p>
    <w:p>
      <w:pPr>
        <w:spacing w:after="100"/>
      </w:pPr>
      <w:r>
        <w:rPr>
          <w:i w:val="0"/>
          <w:color w:val="1F2937"/>
        </w:rPr>
        <w:t>To enable direct in-app invoice generation without requiring external ERP integrations, both Direct Enterprise Tenants and Managed Sub-Tenants have access to a dedicated **Customer / Buyer Master Directory**.</w:t>
      </w:r>
    </w:p>
    <w:p>
      <w:pPr>
        <w:keepNext/>
        <w:spacing w:before="240" w:after="60"/>
      </w:pPr>
      <w:r>
        <w:rPr>
          <w:rFonts w:ascii="Calibri" w:hAnsi="Calibri"/>
          <w:b/>
          <w:color w:val="0D9488"/>
          <w:sz w:val="23"/>
        </w:rPr>
        <w:t>3.1 Customer Profile Fields &amp; Validation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1728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312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Validation &amp; Business Rules</w:t>
            </w:r>
          </w:p>
        </w:tc>
        <w:tc>
          <w:tcPr>
            <w:tcW w:type="dxa" w:w="2160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FTA / PINT-AE Mapping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Customer Name (EN)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Text (Max 255)</w:t>
            </w:r>
          </w:p>
        </w:tc>
        <w:tc>
          <w:tcPr>
            <w:tcW w:type="dxa" w:w="331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Mandatory legal name in English.</w:t>
            </w:r>
          </w:p>
        </w:tc>
        <w:tc>
          <w:tcPr>
            <w:tcW w:type="dxa" w:w="2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/Invoice/cac:AccountingCustomerParty/.../cbc:RegistrationName</w:t>
            </w:r>
          </w:p>
        </w:tc>
      </w:tr>
      <w:tr>
        <w:trPr>
          <w:cantSplit/>
        </w:trPr>
        <w:tc>
          <w:tcPr>
            <w:tcW w:type="dxa" w:w="21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Customer Name (AR)</w:t>
            </w:r>
          </w:p>
        </w:tc>
        <w:tc>
          <w:tcPr>
            <w:tcW w:type="dxa" w:w="172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Text (Max 255)</w:t>
            </w:r>
          </w:p>
        </w:tc>
        <w:tc>
          <w:tcPr>
            <w:tcW w:type="dxa" w:w="3312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Optional legal name in Arabic script.</w:t>
            </w:r>
          </w:p>
        </w:tc>
        <w:tc>
          <w:tcPr>
            <w:tcW w:type="dxa" w:w="21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cac:PartyLegalEntity/cbc:RegistrationName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Customer Type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Enum (B2B / B2C)</w:t>
            </w:r>
          </w:p>
        </w:tc>
        <w:tc>
          <w:tcPr>
            <w:tcW w:type="dxa" w:w="331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B2B requires 15-digit TRN; B2C allows un-registered individual sales.</w:t>
            </w:r>
          </w:p>
        </w:tc>
        <w:tc>
          <w:tcPr>
            <w:tcW w:type="dxa" w:w="2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Determines Invoice Type (380 vs 388)</w:t>
            </w:r>
          </w:p>
        </w:tc>
      </w:tr>
      <w:tr>
        <w:trPr>
          <w:cantSplit/>
        </w:trPr>
        <w:tc>
          <w:tcPr>
            <w:tcW w:type="dxa" w:w="21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Tax Reg Number (TRN)</w:t>
            </w:r>
          </w:p>
        </w:tc>
        <w:tc>
          <w:tcPr>
            <w:tcW w:type="dxa" w:w="172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String (15 Digits)</w:t>
            </w:r>
          </w:p>
        </w:tc>
        <w:tc>
          <w:tcPr>
            <w:tcW w:type="dxa" w:w="3312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Mandatory for B2B. Must match ^[0-9]{15}$ and start with 1.</w:t>
            </w:r>
          </w:p>
        </w:tc>
        <w:tc>
          <w:tcPr>
            <w:tcW w:type="dxa" w:w="21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/Invoice/cac:AccountingCustomerParty/.../cbc:CompanyID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Emirate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Dropdown List</w:t>
            </w:r>
          </w:p>
        </w:tc>
        <w:tc>
          <w:tcPr>
            <w:tcW w:type="dxa" w:w="331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Mandatory selection: Dubai, Abu Dhabi, Sharjah, Ajman, RAK, Fujairah, UAQ.</w:t>
            </w:r>
          </w:p>
        </w:tc>
        <w:tc>
          <w:tcPr>
            <w:tcW w:type="dxa" w:w="2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/Invoice/cac:AccountingCustomerParty/.../cbc:CityName</w:t>
            </w:r>
          </w:p>
        </w:tc>
      </w:tr>
      <w:tr>
        <w:trPr>
          <w:cantSplit/>
        </w:trPr>
        <w:tc>
          <w:tcPr>
            <w:tcW w:type="dxa" w:w="21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Street &amp; Building</w:t>
            </w:r>
          </w:p>
        </w:tc>
        <w:tc>
          <w:tcPr>
            <w:tcW w:type="dxa" w:w="172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Text (Max 255)</w:t>
            </w:r>
          </w:p>
        </w:tc>
        <w:tc>
          <w:tcPr>
            <w:tcW w:type="dxa" w:w="3312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Mandatory physical address details.</w:t>
            </w:r>
          </w:p>
        </w:tc>
        <w:tc>
          <w:tcPr>
            <w:tcW w:type="dxa" w:w="21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/Invoice/cac:AccountingCustomerParty/.../cac:PostalAddress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PO Box / Postal Code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Text (Max 20)</w:t>
            </w:r>
          </w:p>
        </w:tc>
        <w:tc>
          <w:tcPr>
            <w:tcW w:type="dxa" w:w="331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Optional postal routing code.</w:t>
            </w:r>
          </w:p>
        </w:tc>
        <w:tc>
          <w:tcPr>
            <w:tcW w:type="dxa" w:w="2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/Invoice/cac:AccountingCustomerParty/.../cbc:PostalZone</w:t>
            </w:r>
          </w:p>
        </w:tc>
      </w:tr>
      <w:tr>
        <w:trPr>
          <w:cantSplit/>
        </w:trPr>
        <w:tc>
          <w:tcPr>
            <w:tcW w:type="dxa" w:w="21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Contact Email / Phone</w:t>
            </w:r>
          </w:p>
        </w:tc>
        <w:tc>
          <w:tcPr>
            <w:tcW w:type="dxa" w:w="172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Text</w:t>
            </w:r>
          </w:p>
        </w:tc>
        <w:tc>
          <w:tcPr>
            <w:tcW w:type="dxa" w:w="3312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Used for digital invoice dispatch and notifications.</w:t>
            </w:r>
          </w:p>
        </w:tc>
        <w:tc>
          <w:tcPr>
            <w:tcW w:type="dxa" w:w="21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/Invoice/cac:AccountingCustomerParty/.../cac:Contact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D9488"/>
          <w:sz w:val="23"/>
        </w:rPr>
        <w:t>3.2 Customer Directory Features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Single Customer Management: </w:t>
      </w:r>
      <w:r>
        <w:rPr>
          <w:color w:val="1F2937"/>
        </w:rPr>
        <w:t>Tenants can add single customer profiles with instant UAE TRN format verification.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Batch Customer Import: </w:t>
      </w:r>
      <w:r>
        <w:rPr>
          <w:color w:val="1F2937"/>
        </w:rPr>
        <w:t>Bulk import/export of customer directories via Excel (.xlsx) templates for rapid customer onboarding.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Inline Customer Creation: </w:t>
      </w:r>
      <w:r>
        <w:rPr>
          <w:color w:val="1F2937"/>
        </w:rPr>
        <w:t>Quick-add modal directly inside the Invoice Creation form allowing users to register new customers on the fly.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9"/>
        </w:rPr>
        <w:t>4. In-App Invoice Builder UI/UX Specification</w:t>
      </w:r>
    </w:p>
    <w:p>
      <w:pPr>
        <w:spacing w:after="100"/>
      </w:pPr>
      <w:r>
        <w:rPr>
          <w:i w:val="0"/>
          <w:color w:val="1F2937"/>
        </w:rPr>
        <w:t>The In-App Invoice Builder provides an intuitive, web-based form enabling accountants and data entry personnel to generate fully compliant UAE PINT-AE e-invoices directly inside the platform.</w:t>
      </w:r>
    </w:p>
    <w:p>
      <w:pPr>
        <w:keepNext/>
        <w:spacing w:before="240" w:after="60"/>
      </w:pPr>
      <w:r>
        <w:rPr>
          <w:rFonts w:ascii="Calibri" w:hAnsi="Calibri"/>
          <w:b/>
          <w:color w:val="0D9488"/>
          <w:sz w:val="23"/>
        </w:rPr>
        <w:t>4.1 Layout &amp; Wireframe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[Logo] UAE Middleware | Create New Tax Invoice (Direct In-App Entry)                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INVOICE HEADER INFORMATION  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Invoice Type: [ 380 - Commercial Tax Invoice ▼ ]    Invoice Number: [ INV-2026-00950 ] (Auto)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Issue Date:   [ 2026-08-22 📅 ]                     Issue Time:     [ 17:09:52 🕒 ]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Currency:     [ AED ▼ ]  FX Rate: [ 1.000000 ]      Payment Means:  [ 30 - Bank Transfer ▼ ]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CUSTOMER / BUYER INFORMATION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Select Customer: [ Search Customer Directory (e.g. Emirates Trading Co) 🔍 ▼ ]  [ + Quick Add ]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Customer TRN:    100384759200003 [Verified]         Customer Type:  B2B Commercial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Address:         Al-Maktoum St, Deira, Dubai, UAE   Contact Email:  accounts@emiratestrading.ae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LINE ITEMS ITEMIZATION      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┌───┬──────────────────────────┬────────┬───────┬────────────┬──────────┬────────┬────────────┐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│ # │ Item Description         │ HS Code│ Qty   │ UOM        │ Unit Net │ VAT %  │ Total (AED)│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├───┼──────────────────────────┼────────┼───────┼────────────┼──────────┼────────┼────────────┤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│ 1 │ Cloud Hosting &amp; Support  │ 8471.30│ 1.00  │ HUR ▼      │ 5,000.00 │ 5% (S) │ 5,250.00   │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│ 2 │ Security Audit Services  │ 8523.49│ 2.00  │ PCE ▼      │ 1,500.00 │ 5% (S) │ 3,150.00   │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└───┴──────────────────────────┴────────┴───────┴────────────┴──────────┴────────┴────────────┘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[ + Add Line Item ]         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TOTALS &amp; TAX SUMMARY        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Line Extension Net: AED 8,000.00   Total VAT (5%): AED 400.00   Payable Grand Total: AED 8,400.00│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│  ACTIONS:  [ Save as Draft ]   [ Validate &amp; Preview XML ]   [ Submit for CFO Approval ]          │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D9488"/>
          <w:sz w:val="23"/>
        </w:rPr>
        <w:t>4.2 Form Workflow &amp; Calculation Automation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Auto-Populated Customer Fields: </w:t>
      </w:r>
      <w:r>
        <w:rPr>
          <w:color w:val="1F2937"/>
        </w:rPr>
        <w:t>Selecting a customer from the dropdown auto-populates buyer TRN, address, emirate, and sets Invoice Type to 380 (B2B) or 388 (B2C).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Instant Calculation Engine: </w:t>
      </w:r>
      <w:r>
        <w:rPr>
          <w:color w:val="1F2937"/>
        </w:rPr>
        <w:t>Entering Quantity, Unit Price, or Discount instantly computes Line Net, Line VAT, and updates Header Summary Totals.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Draft Lifecycle: </w:t>
      </w:r>
      <w:r>
        <w:rPr>
          <w:color w:val="1F2937"/>
        </w:rPr>
        <w:t>Accountants can save partial invoices in 'DRAFT' status without consuming data bundle quotas.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Pre-Flight Validation: </w:t>
      </w:r>
      <w:r>
        <w:rPr>
          <w:color w:val="1F2937"/>
        </w:rPr>
        <w:t>Clicking 'Validate &amp; Preview' executes real-time XSD/Schematron verification, displaying any compliance errors inline before submission.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9"/>
        </w:rPr>
        <w:t>5. Role-Based Access Control (RBAC) &amp; Approval Workflows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User Role</w:t>
            </w:r>
          </w:p>
        </w:tc>
        <w:tc>
          <w:tcPr>
            <w:tcW w:type="dxa" w:w="1728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600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Permissions &amp; Responsibilities</w:t>
            </w:r>
          </w:p>
        </w:tc>
        <w:tc>
          <w:tcPr>
            <w:tcW w:type="dxa" w:w="1872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UI Access Level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Host Global Admin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Global / Platform</w:t>
            </w:r>
          </w:p>
        </w:tc>
        <w:tc>
          <w:tcPr>
            <w:tcW w:type="dxa" w:w="36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Root access, UAE server ops, Schematron tax logic updates, master billing configuration, partner onboarding.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Host Super-Admin Portal</w:t>
            </w:r>
          </w:p>
        </w:tc>
      </w:tr>
      <w:tr>
        <w:trPr>
          <w:cantSplit/>
        </w:trPr>
        <w:tc>
          <w:tcPr>
            <w:tcW w:type="dxa" w:w="21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Channel Partner Admin</w:t>
            </w:r>
          </w:p>
        </w:tc>
        <w:tc>
          <w:tcPr>
            <w:tcW w:type="dxa" w:w="172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Partner &amp; Sub-Tenants</w:t>
            </w:r>
          </w:p>
        </w:tc>
        <w:tc>
          <w:tcPr>
            <w:tcW w:type="dxa" w:w="360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Onboard sub-tenants, allocate/rebalance data quota slices, view aggregated consumption, assign sub-tenant admins.</w:t>
            </w:r>
          </w:p>
        </w:tc>
        <w:tc>
          <w:tcPr>
            <w:tcW w:type="dxa" w:w="1872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Channel Partner Portal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Company Admin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Single Tenant</w:t>
            </w:r>
          </w:p>
        </w:tc>
        <w:tc>
          <w:tcPr>
            <w:tcW w:type="dxa" w:w="36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Manage company tax profile, maintain Customer Directory, invite users, manage ERP API keys, configure banking details.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Tenant Settings &amp; Admin</w:t>
            </w:r>
          </w:p>
        </w:tc>
      </w:tr>
      <w:tr>
        <w:trPr>
          <w:cantSplit/>
        </w:trPr>
        <w:tc>
          <w:tcPr>
            <w:tcW w:type="dxa" w:w="21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Data Entry / Accountant</w:t>
            </w:r>
          </w:p>
        </w:tc>
        <w:tc>
          <w:tcPr>
            <w:tcW w:type="dxa" w:w="172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Single Tenant</w:t>
            </w:r>
          </w:p>
        </w:tc>
        <w:tc>
          <w:tcPr>
            <w:tcW w:type="dxa" w:w="360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Create in-app invoice drafts, maintain customer records, upload Excel files, edit staging grid, review draft VAT.</w:t>
            </w:r>
          </w:p>
        </w:tc>
        <w:tc>
          <w:tcPr>
            <w:tcW w:type="dxa" w:w="1872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Invoice Builder &amp; Drafts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Tax Approver / CFO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Single Tenant</w:t>
            </w:r>
          </w:p>
        </w:tc>
        <w:tc>
          <w:tcPr>
            <w:tcW w:type="dxa" w:w="36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Sole role authorized to execute 'Submit to FTA', lock tax periods, approve bulk clearance, download official FAF audit logs.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Clearance &amp; Audit Desk</w:t>
            </w:r>
          </w:p>
        </w:tc>
      </w:tr>
      <w:tr>
        <w:trPr>
          <w:cantSplit/>
        </w:trPr>
        <w:tc>
          <w:tcPr>
            <w:tcW w:type="dxa" w:w="21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Compliance Auditor</w:t>
            </w:r>
          </w:p>
        </w:tc>
        <w:tc>
          <w:tcPr>
            <w:tcW w:type="dxa" w:w="172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Read-Only (Tenant)</w:t>
            </w:r>
          </w:p>
        </w:tc>
        <w:tc>
          <w:tcPr>
            <w:tcW w:type="dxa" w:w="360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Read-only access to Customer Directory, archived WORM XMLs, signed clearance receipts, and audit logs.</w:t>
            </w:r>
          </w:p>
        </w:tc>
        <w:tc>
          <w:tcPr>
            <w:tcW w:type="dxa" w:w="1872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Audit &amp; Search Only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9"/>
        </w:rPr>
        <w:t>6. Data Usage Bundles, Metering &amp; Billing Engine</w:t>
      </w:r>
    </w:p>
    <w:p>
      <w:pPr>
        <w:spacing w:after="100"/>
      </w:pPr>
      <w:r>
        <w:rPr>
          <w:i w:val="0"/>
          <w:color w:val="1F2937"/>
        </w:rPr>
        <w:t>Regardless of whether invoices are ingested via ERP API, uploaded via Excel, or composed directly in-app, every transaction is metered in units of **Invoice Rows** against the tenant's active data bundle.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Direct Metering: </w:t>
      </w:r>
      <w:r>
        <w:rPr>
          <w:color w:val="1F2937"/>
        </w:rPr>
        <w:t>Direct Enterprise Tenants: Decrements directly from the tenant's Host-provisioned data bundle.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Dual Partner Metering: </w:t>
      </w:r>
      <w:r>
        <w:rPr>
          <w:color w:val="1F2937"/>
        </w:rPr>
        <w:t>Managed Sub-Tenants: Dual-deducted atomically from the sub-tenant's allocated slice and the Channel Partner's master pool.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Draft Exemption: </w:t>
      </w:r>
      <w:r>
        <w:rPr>
          <w:color w:val="1F2937"/>
        </w:rPr>
        <w:t>Draft invoices do not consume quota; quota is deducted only upon formal submission to the ASP/FTA clearance pipeline.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9"/>
        </w:rPr>
        <w:t>7. Database Schema Specification (SQL DDL)</w:t>
      </w:r>
    </w:p>
    <w:p>
      <w:pPr>
        <w:spacing w:after="100"/>
      </w:pPr>
      <w:r>
        <w:rPr>
          <w:i w:val="0"/>
          <w:color w:val="1F2937"/>
        </w:rPr>
        <w:t>The PostgreSQL schema includes the new Customer Master Directory and In-App Entry sources.</w:t>
      </w:r>
    </w:p>
    <w:p>
      <w:pPr>
        <w:keepNext/>
        <w:spacing w:before="240" w:after="60"/>
      </w:pPr>
      <w:r>
        <w:rPr>
          <w:rFonts w:ascii="Calibri" w:hAnsi="Calibri"/>
          <w:b/>
          <w:color w:val="0D9488"/>
          <w:sz w:val="23"/>
        </w:rPr>
        <w:t>7.1 Extensions, Enums &amp; Hierarchy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EXTENSION IF NOT EXISTS "uuid-ossp";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EXTENSION IF NOT EXISTS "pgcrypto";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TYPE tenant_type AS ENUM ('HOST', 'ENTERPRISE_TENANT', 'CHANNEL_PARTNER', 'MANAGED_SUB_TENANT');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TYPE user_role AS ENUM ('GLOBAL_ADMIN', 'PARTNER_ADMIN', 'COMPANY_ADMIN', 'ACCOUNTANT', 'TAX_APPROVER_CFO', 'AUDITOR');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TYPE customer_type AS ENUM ('B2B', 'B2C');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TYPE ingestion_source AS ENUM ('REST_API', 'EXCEL_UPLOAD', 'CSV_UPLOAD', 'MANUAL_IN_APP_ENTRY', 'SFTP', 'POS_CONNECTOR');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TYPE invoice_status AS ENUM ('DRAFT', 'INGESTED', 'VALIDATED', 'VALIDATION_FAILED', 'PENDING_CFO_APPROVAL', 'SUBMITTED_TO_ASP', 'ACCEPTED_BY_FTA', 'REJECTED_BY_FTA', 'ARCHIVED');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TYPE bundle_status AS ENUM ('ACTIVE', 'EXHAUSTED', 'EXPIRED', 'SUSPENDED');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-- 1. Tenants Table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TABLE tenants (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id UUID PRIMARY KEY DEFAULT uuid_generate_v4(),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parent_tenant_id UUID REFERENCES tenants(id) ON DELETE RESTRICT,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tenant_type tenant_type NOT NULL DEFAULT 'ENTERPRISE_TENANT',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company_code VARCHAR(50) NOT NULL UNIQUE,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legal_name_en VARCHAR(255)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legal_name_ar VARCHAR(255)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trn VARCHAR(15) CHECK (trn IS NULL OR trn ~ '^[0-9]{15}$'),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is_vat_group BOOLEAN NOT NULL DEFAULT FALSE,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registered_address JSONB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is_active BOOLEAN NOT NULL DEFAULT TRUE,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created_at TIMESTAMP WITH TIME ZONE DEFAULT CURRENT_TIMESTAMP,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updated_at TIMESTAMP WITH TIME ZONE DEFAULT CURRENT_TIMESTAMP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);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D9488"/>
          <w:sz w:val="23"/>
        </w:rPr>
        <w:t>7.2 Customer Master Directory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-- 2. Customer Master Directory (Tenant-Scoped)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TABLE customers (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id UUID PRIMARY KEY DEFAULT uuid_generate_v4(),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tenant_id UUID NOT NULL REFERENCES tenants(id) ON DELETE CASCADE,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customer_code VARCHAR(50), -- Tenant-specific Customer ID / Account Number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customer_name_en VARCHAR(255)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customer_name_ar VARCHAR(255),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customer_type customer_type NOT NULL DEFAULT 'B2B',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trn VARCHAR(15) CHECK (trn IS NULL OR trn ~ '^[0-9]{15}$'),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emirate VARCHAR(50) NOT NULL, -- 'Dubai', 'Abu Dhabi', 'Sharjah', etc.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street_address TEXT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po_box VARCHAR(20),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contact_email VARCHAR(255),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contact_phone VARCHAR(50),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is_active BOOLEAN NOT NULL DEFAULT TRUE,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created_at TIMESTAMP WITH TIME ZONE DEFAULT CURRENT_TIMESTAMP,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updated_at TIMESTAMP WITH TIME ZONE DEFAULT CURRENT_TIMESTAMP,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CONSTRAINT uq_tenant_customer_code UNIQUE (tenant_id, customer_code)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INDEX idx_customers_tenant ON customers(tenant_id, is_active);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INDEX idx_customers_trn ON customers(trn);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D9488"/>
          <w:sz w:val="23"/>
        </w:rPr>
        <w:t>7.3 Invoices &amp; Line Items (Updated for In-App Entry)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-- 3. Invoices Master Table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TABLE invoices (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id UUID PRIMARY KEY DEFAULT uuid_generate_v4(),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tenant_id UUID NOT NULL REFERENCES tenants(id) ON DELETE RESTRICT,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customer_id UUID REFERENCES customers(id) ON DELETE SET NULL, -- Linked Customer Profile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batch_upload_id UUID,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source_channel ingestion_source NOT NULL DEFAULT 'MANUAL_IN_APP_ENTRY',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excel_row_index INT,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peppol_uuid UUID NOT NULL DEFAULT uuid_generate_v4(),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invoice_number VARCHAR(100)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invoice_type VARCHAR(10) NOT NULL DEFAULT '380',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issue_date DATE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issue_time TIME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currency_code CHAR(3) NOT NULL DEFAULT 'AED',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exchange_rate NUMERIC(12, 6) NOT NULL DEFAULT 1.000000,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seller_trn VARCHAR(15)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seller_name VARCHAR(255)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buyer_trn VARCHAR(15),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buyer_name VARCHAR(255)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buyer_address JSONB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line_extension_amount NUMERIC(15, 2)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tax_exclusive_amount NUMERIC(15, 2)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tax_inclusive_amount NUMERIC(15, 2)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vat_total_amount NUMERIC(15, 2)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payable_amount NUMERIC(15, 2)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payable_amount_aed NUMERIC(15, 2) NOT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status invoice_status NOT NULL DEFAULT 'DRAFT',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created_by_user_id UUID,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approved_by_cfo_id UUID,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qr_code_data TEXT,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ubl_xml_s3_uri VARCHAR(512),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ubl_xml_sha256 CHAR(64),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created_at TIMESTAMP WITH TIME ZONE DEFAULT CURRENT_TIMESTAMP,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updated_at TIMESTAMP WITH TIME ZONE DEFAULT CURRENT_TIMESTAMP,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CONSTRAINT uq_tenant_invoice_num UNIQUE (tenant_id, invoice_number)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-- Row-Level Security (RLS)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ALTER TABLE customers ENABLE ROW LEVEL SECURITY;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ALTER TABLE invoices ENABLE ROW LEVEL SECURITY;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POLICY tenant_isolation_customers ON customers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AS RESTRICTIVE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USING (tenant_id = NULLIF(current_setting('app.current_tenant_id', true), '')::UUID);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CREATE POLICY tenant_isolation_invoices ON invoices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AS RESTRICTIVE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USING (tenant_id = NULLIF(current_setting('app.current_tenant_id', true), '')::UUID);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9"/>
        </w:rPr>
        <w:t>8. Phased ASP &amp; Gateway Architecture</w:t>
      </w:r>
    </w:p>
    <w:p>
      <w:pPr>
        <w:spacing w:after="100"/>
      </w:pPr>
      <w:r>
        <w:rPr>
          <w:i w:val="0"/>
          <w:color w:val="1F2937"/>
        </w:rPr>
        <w:t>Whether invoices originate from programmatic APIs, Excel uploads, or in-app creation forms, they are converted into canonical UAE PINT UBL 2.1 XML and routed through the abstracted ASP Gateway: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Phase 1 (3rd-Party ASP): </w:t>
      </w:r>
      <w:r>
        <w:rPr>
          <w:color w:val="1F2937"/>
        </w:rPr>
        <w:t>Middleware connects to external ASP REST APIs via IASPDriver interface.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Phase 2 (Native AS4 Gateway): </w:t>
      </w:r>
      <w:r>
        <w:rPr>
          <w:color w:val="1F2937"/>
        </w:rPr>
        <w:t>Middleware routes directly to Peppol APs and the FTA clearance node via native OASIS ebMS3/AS4 protocol with HSM PKI digital signatures.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9"/>
        </w:rPr>
        <w:t>9. Technical Security, Data Residency &amp; Compliance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UAE Data Sovereignty: </w:t>
      </w:r>
      <w:r>
        <w:rPr>
          <w:color w:val="1F2937"/>
        </w:rPr>
        <w:t>All compute nodes, PostgreSQL databases, and S3 repositories must physically reside in the UAE (AWS me-central-1 in Dubai or Azure UAE North).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Encryption at Rest: </w:t>
      </w:r>
      <w:r>
        <w:rPr>
          <w:color w:val="1F2937"/>
        </w:rPr>
        <w:t>Customer master data, draft invoices, and signed XMLs are encrypted at rest using AES-256 with tenant-isolated KMS keys.</w:t>
      </w:r>
    </w:p>
    <w:p>
      <w:pPr>
        <w:pStyle w:val="ListBullet"/>
        <w:spacing w:after="60"/>
        <w:ind w:left="360"/>
      </w:pPr>
      <w:r>
        <w:rPr>
          <w:b/>
          <w:color w:val="1F2937"/>
        </w:rPr>
        <w:t xml:space="preserve">Immutable WORM Storage: </w:t>
      </w:r>
      <w:r>
        <w:rPr>
          <w:color w:val="1F2937"/>
        </w:rPr>
        <w:t>Tax invoices, source Excel files, and clearance receipts are stored in S3 WORM storage with a 5-to-15 year Compliance lock.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9"/>
        </w:rPr>
        <w:t>10. Project Implementation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728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4752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8"/>
              </w:rPr>
              <w:t>Key Deliverables &amp; Milestones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Phase 1A</w:t>
            </w:r>
          </w:p>
        </w:tc>
        <w:tc>
          <w:tcPr>
            <w:tcW w:type="dxa" w:w="28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Sprint 1 – 2</w:t>
            </w:r>
          </w:p>
        </w:tc>
        <w:tc>
          <w:tcPr>
            <w:tcW w:type="dxa" w:w="475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Multi-tier tenant hierarchy (Host, Partner, Sub-Tenant), Auth &amp; RBAC, KMS Integration.</w:t>
            </w:r>
          </w:p>
        </w:tc>
      </w:tr>
      <w:tr>
        <w:trPr>
          <w:cantSplit/>
        </w:trPr>
        <w:tc>
          <w:tcPr>
            <w:tcW w:type="dxa" w:w="172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Phase 1B</w:t>
            </w:r>
          </w:p>
        </w:tc>
        <w:tc>
          <w:tcPr>
            <w:tcW w:type="dxa" w:w="288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Sprint 3 – 4</w:t>
            </w:r>
          </w:p>
        </w:tc>
        <w:tc>
          <w:tcPr>
            <w:tcW w:type="dxa" w:w="4752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Metering &amp; Billing Layer (Master bundles, sub-slices, ledger deduction engine).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Phase 1C</w:t>
            </w:r>
          </w:p>
        </w:tc>
        <w:tc>
          <w:tcPr>
            <w:tcW w:type="dxa" w:w="28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Sprint 5 – 6</w:t>
            </w:r>
          </w:p>
        </w:tc>
        <w:tc>
          <w:tcPr>
            <w:tcW w:type="dxa" w:w="475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Customer Master Directory Module &amp; In-App Web Invoice Builder with real-time tax calculation.</w:t>
            </w:r>
          </w:p>
        </w:tc>
      </w:tr>
      <w:tr>
        <w:trPr>
          <w:cantSplit/>
        </w:trPr>
        <w:tc>
          <w:tcPr>
            <w:tcW w:type="dxa" w:w="172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Phase 1D</w:t>
            </w:r>
          </w:p>
        </w:tc>
        <w:tc>
          <w:tcPr>
            <w:tcW w:type="dxa" w:w="288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Sprint 7 – 8</w:t>
            </w:r>
          </w:p>
        </w:tc>
        <w:tc>
          <w:tcPr>
            <w:tcW w:type="dxa" w:w="4752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Batch Excel/CSV Ingestion Portal &amp; Interactive Staging Grid with cell error correction.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Phase 1E</w:t>
            </w:r>
          </w:p>
        </w:tc>
        <w:tc>
          <w:tcPr>
            <w:tcW w:type="dxa" w:w="28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Sprint 9 – 10</w:t>
            </w:r>
          </w:p>
        </w:tc>
        <w:tc>
          <w:tcPr>
            <w:tcW w:type="dxa" w:w="475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Schematron Validation Engine, Phase 1 3rd-Party ASP Adapters, CFO Approval Workflow.</w:t>
            </w:r>
          </w:p>
        </w:tc>
      </w:tr>
      <w:tr>
        <w:trPr>
          <w:cantSplit/>
        </w:trPr>
        <w:tc>
          <w:tcPr>
            <w:tcW w:type="dxa" w:w="172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Phase 1F</w:t>
            </w:r>
          </w:p>
        </w:tc>
        <w:tc>
          <w:tcPr>
            <w:tcW w:type="dxa" w:w="288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Sprint 11 – 12</w:t>
            </w:r>
          </w:p>
        </w:tc>
        <w:tc>
          <w:tcPr>
            <w:tcW w:type="dxa" w:w="4752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WORM S3 Archiving Engine, Partner Management Dashboard, Audit Trail Logging.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Phase 2A</w:t>
            </w:r>
          </w:p>
        </w:tc>
        <w:tc>
          <w:tcPr>
            <w:tcW w:type="dxa" w:w="28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Sprint 13 – 14</w:t>
            </w:r>
          </w:p>
        </w:tc>
        <w:tc>
          <w:tcPr>
            <w:tcW w:type="dxa" w:w="475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Native AS4 Protocol Gateway (ebMS3), SML/SMP Dynamic Discovery Worker Pool.</w:t>
            </w:r>
          </w:p>
        </w:tc>
      </w:tr>
      <w:tr>
        <w:trPr>
          <w:cantSplit/>
        </w:trPr>
        <w:tc>
          <w:tcPr>
            <w:tcW w:type="dxa" w:w="1728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Phase 2B</w:t>
            </w:r>
          </w:p>
        </w:tc>
        <w:tc>
          <w:tcPr>
            <w:tcW w:type="dxa" w:w="288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Sprint 15 – 16</w:t>
            </w:r>
          </w:p>
        </w:tc>
        <w:tc>
          <w:tcPr>
            <w:tcW w:type="dxa" w:w="4752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HSM PKI Signing, Direct OpenPEPPOL AP Onboarding &amp; FTA Accreditation testing.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Phase 2C</w:t>
            </w:r>
          </w:p>
        </w:tc>
        <w:tc>
          <w:tcPr>
            <w:tcW w:type="dxa" w:w="288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Sprint 17</w:t>
            </w:r>
          </w:p>
        </w:tc>
        <w:tc>
          <w:tcPr>
            <w:tcW w:type="dxa" w:w="475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color w:val="1F2937"/>
                <w:sz w:val="17"/>
              </w:rPr>
              <w:t>Zero-downtime production cutover from Phase 1 ASP adapters to Native AS4 Gateway.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UAE FTA E-Invoicing Middleware Platform | SRS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