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056" w:rsidRPr="003255D3" w:rsidRDefault="00FA3056" w:rsidP="00FA3056">
      <w:pPr>
        <w:pStyle w:val="NormalWeb"/>
        <w:jc w:val="center"/>
        <w:rPr>
          <w:rFonts w:asciiTheme="majorHAnsi" w:eastAsiaTheme="majorEastAsia" w:hAnsiTheme="majorHAnsi" w:cstheme="majorBidi"/>
          <w:b/>
          <w:bCs/>
          <w:color w:val="002060"/>
          <w:sz w:val="32"/>
          <w:szCs w:val="26"/>
        </w:rPr>
      </w:pPr>
      <w:r w:rsidRPr="003255D3">
        <w:rPr>
          <w:rFonts w:asciiTheme="majorHAnsi" w:eastAsiaTheme="majorEastAsia" w:hAnsiTheme="majorHAnsi" w:cstheme="majorBidi"/>
          <w:b/>
          <w:bCs/>
          <w:color w:val="002060"/>
          <w:sz w:val="32"/>
          <w:szCs w:val="26"/>
        </w:rPr>
        <w:t>Storing invoice data</w:t>
      </w:r>
    </w:p>
    <w:p w:rsidR="00FA3056" w:rsidRDefault="00FA3056" w:rsidP="00FA3056">
      <w:pPr>
        <w:pStyle w:val="NormalWeb"/>
      </w:pPr>
      <w:r>
        <w:t xml:space="preserve">Storing invoice data in your application's database (and object storage) is </w:t>
      </w:r>
      <w:r>
        <w:rPr>
          <w:b/>
          <w:bCs/>
        </w:rPr>
        <w:t>mandatory</w:t>
      </w:r>
      <w:r>
        <w:t xml:space="preserve"> for both regulatory compliances in the UAE and core operational functionality.</w:t>
      </w:r>
    </w:p>
    <w:p w:rsidR="00FA3056" w:rsidRDefault="00FA3056" w:rsidP="00FA3056">
      <w:pPr>
        <w:pStyle w:val="NormalWeb"/>
      </w:pPr>
      <w:r>
        <w:t>Here is a breakdown of why storing invoice data is required, followed by the recommended enterprise storage strategy.</w:t>
      </w:r>
    </w:p>
    <w:p w:rsidR="00FA3056" w:rsidRDefault="00FA3056" w:rsidP="00FA3056">
      <w:pPr>
        <w:pStyle w:val="Heading2"/>
      </w:pPr>
      <w:r>
        <w:t>1. Regulatory &amp; Legal Reasons (UAE Tax Compliance)</w:t>
      </w:r>
    </w:p>
    <w:p w:rsidR="00FA3056" w:rsidRDefault="00FA3056" w:rsidP="00FA3056">
      <w:pPr>
        <w:pStyle w:val="NormalWeb"/>
        <w:numPr>
          <w:ilvl w:val="0"/>
          <w:numId w:val="1"/>
        </w:numPr>
      </w:pPr>
      <w:r>
        <w:rPr>
          <w:b/>
          <w:bCs/>
        </w:rPr>
        <w:t>Statutory Record Retention (5 to 15 Years):</w:t>
      </w:r>
      <w:r>
        <w:t xml:space="preserve"> Under UAE Tax Procedures Law (Cabinet Decision No. 52/2017), taxable entities </w:t>
      </w:r>
      <w:r>
        <w:rPr>
          <w:b/>
          <w:bCs/>
        </w:rPr>
        <w:t>must retain tax invoices, credit notes, and transaction records for a minimum of 5 years</w:t>
      </w:r>
      <w:r>
        <w:t xml:space="preserve"> (up to </w:t>
      </w:r>
      <w:r>
        <w:rPr>
          <w:b/>
          <w:bCs/>
        </w:rPr>
        <w:t>15 years</w:t>
      </w:r>
      <w:r>
        <w:t xml:space="preserve"> for commercial real estate or capital assets).</w:t>
      </w:r>
    </w:p>
    <w:p w:rsidR="00FA3056" w:rsidRDefault="00FA3056" w:rsidP="00FA3056">
      <w:pPr>
        <w:pStyle w:val="NormalWeb"/>
        <w:numPr>
          <w:ilvl w:val="0"/>
          <w:numId w:val="1"/>
        </w:numPr>
      </w:pPr>
      <w:r>
        <w:rPr>
          <w:b/>
          <w:bCs/>
        </w:rPr>
        <w:t>FTA Tax Audit Readiness:</w:t>
      </w:r>
      <w:r>
        <w:t xml:space="preserve"> In the event of an audit, the Federal Tax Authority (FTA) can require the platform to generate a </w:t>
      </w:r>
      <w:r>
        <w:rPr>
          <w:b/>
          <w:bCs/>
        </w:rPr>
        <w:t>FTA Audit File (FAF)</w:t>
      </w:r>
      <w:r>
        <w:t xml:space="preserve"> or export a complete audit trail containing raw payloads, generated UBL 2.1 XMLs, digital signatures, and clearance receipts.</w:t>
      </w:r>
    </w:p>
    <w:p w:rsidR="00FA3056" w:rsidRDefault="00FA3056" w:rsidP="00FA3056">
      <w:pPr>
        <w:pStyle w:val="NormalWeb"/>
        <w:numPr>
          <w:ilvl w:val="0"/>
          <w:numId w:val="1"/>
        </w:numPr>
      </w:pPr>
      <w:r>
        <w:rPr>
          <w:b/>
          <w:bCs/>
        </w:rPr>
        <w:t>Non-Repudiation of Receipt (NRR):</w:t>
      </w:r>
      <w:r>
        <w:t xml:space="preserve"> Your platform must store the cryptographic hash (SHA-256) and signed AS4 transmission receipts as legal proof that an invoice was delivered to and acknowledged by the Peppol/FTA network.</w:t>
      </w:r>
    </w:p>
    <w:p w:rsidR="00FA3056" w:rsidRDefault="00FA3056" w:rsidP="00FA3056">
      <w:pPr>
        <w:pStyle w:val="Heading2"/>
      </w:pPr>
      <w:r>
        <w:t>2. Operational &amp; Technical Reasons</w:t>
      </w:r>
    </w:p>
    <w:p w:rsidR="00FA3056" w:rsidRDefault="00FA3056" w:rsidP="00FA3056">
      <w:pPr>
        <w:pStyle w:val="NormalWeb"/>
        <w:numPr>
          <w:ilvl w:val="0"/>
          <w:numId w:val="2"/>
        </w:numPr>
      </w:pPr>
      <w:r>
        <w:rPr>
          <w:b/>
          <w:bCs/>
        </w:rPr>
        <w:t>Idempotency &amp; De-duplication:</w:t>
      </w:r>
      <w:r>
        <w:t xml:space="preserve"> To prevent accidental double-billing or submitting the same invoice twice to the FTA (which can lead to tax penalties), the database must enforce uniqueness constraints on </w:t>
      </w:r>
      <w:r>
        <w:rPr>
          <w:rStyle w:val="HTMLCode"/>
          <w:rFonts w:eastAsiaTheme="minorEastAsia"/>
        </w:rPr>
        <w:t>tenant_id</w:t>
      </w:r>
      <w:r>
        <w:t xml:space="preserve"> + </w:t>
      </w:r>
      <w:r>
        <w:rPr>
          <w:rStyle w:val="HTMLCode"/>
          <w:rFonts w:eastAsiaTheme="minorEastAsia"/>
        </w:rPr>
        <w:t>invoice_number</w:t>
      </w:r>
      <w:r>
        <w:t>.</w:t>
      </w:r>
    </w:p>
    <w:p w:rsidR="00FA3056" w:rsidRDefault="00FA3056" w:rsidP="00FA3056">
      <w:pPr>
        <w:pStyle w:val="NormalWeb"/>
        <w:numPr>
          <w:ilvl w:val="0"/>
          <w:numId w:val="2"/>
        </w:numPr>
      </w:pPr>
      <w:r>
        <w:rPr>
          <w:b/>
          <w:bCs/>
        </w:rPr>
        <w:t>Asynchronous Status Tracking:</w:t>
      </w:r>
      <w:r>
        <w:t xml:space="preserve"> Transmitting an invoice to an ASP or the FTA is an asynchronous workflow. When an ERP queries </w:t>
      </w:r>
      <w:r>
        <w:rPr>
          <w:rStyle w:val="HTMLCode"/>
          <w:rFonts w:eastAsiaTheme="minorEastAsia"/>
        </w:rPr>
        <w:t>GET /v1/invoices/status/{invoice_number}</w:t>
      </w:r>
      <w:r>
        <w:t xml:space="preserve">, the database must serve the current state (e.g., </w:t>
      </w:r>
      <w:r>
        <w:rPr>
          <w:rStyle w:val="HTMLCode"/>
          <w:rFonts w:eastAsiaTheme="minorEastAsia"/>
        </w:rPr>
        <w:t>VALIDATED</w:t>
      </w:r>
      <w:r>
        <w:t xml:space="preserve">, </w:t>
      </w:r>
      <w:r>
        <w:rPr>
          <w:rStyle w:val="HTMLCode"/>
          <w:rFonts w:eastAsiaTheme="minorEastAsia"/>
        </w:rPr>
        <w:t>SUBMITTED_TO_ASP</w:t>
      </w:r>
      <w:r>
        <w:t xml:space="preserve">, </w:t>
      </w:r>
      <w:r>
        <w:rPr>
          <w:rStyle w:val="HTMLCode"/>
          <w:rFonts w:eastAsiaTheme="minorEastAsia"/>
        </w:rPr>
        <w:t>ACCEPTED_BY_FTA</w:t>
      </w:r>
      <w:r>
        <w:t xml:space="preserve">, or </w:t>
      </w:r>
      <w:r>
        <w:rPr>
          <w:rStyle w:val="HTMLCode"/>
          <w:rFonts w:eastAsiaTheme="minorEastAsia"/>
        </w:rPr>
        <w:t>REJECTED_BY_FTA</w:t>
      </w:r>
      <w:r>
        <w:t>).</w:t>
      </w:r>
    </w:p>
    <w:p w:rsidR="00FA3056" w:rsidRDefault="00FA3056" w:rsidP="00FA3056">
      <w:pPr>
        <w:pStyle w:val="NormalWeb"/>
        <w:numPr>
          <w:ilvl w:val="0"/>
          <w:numId w:val="2"/>
        </w:numPr>
      </w:pPr>
      <w:r>
        <w:rPr>
          <w:b/>
          <w:bCs/>
        </w:rPr>
        <w:t>Excel Staging &amp; Error Resolution:</w:t>
      </w:r>
      <w:r>
        <w:t xml:space="preserve"> For Excel/CSV manual uploads, the database must store parsed rows, error cell coordinates (e.g., </w:t>
      </w:r>
      <w:r>
        <w:rPr>
          <w:rStyle w:val="HTMLCode"/>
          <w:rFonts w:eastAsiaTheme="minorEastAsia"/>
        </w:rPr>
        <w:t>Cell D14</w:t>
      </w:r>
      <w:r>
        <w:t>), and validation failure reasons so users can fix them directly in the browser staging grid.</w:t>
      </w:r>
    </w:p>
    <w:p w:rsidR="00FA3056" w:rsidRDefault="00FA3056" w:rsidP="00FA3056">
      <w:pPr>
        <w:pStyle w:val="NormalWeb"/>
        <w:numPr>
          <w:ilvl w:val="0"/>
          <w:numId w:val="2"/>
        </w:numPr>
      </w:pPr>
      <w:r>
        <w:rPr>
          <w:b/>
          <w:bCs/>
        </w:rPr>
        <w:t>Tenant Dashboard &amp; Search:</w:t>
      </w:r>
      <w:r>
        <w:t xml:space="preserve"> Tenant finance users need to search, filter, and view historical invoices by TRN, issue date range, buyer name, or payment status.</w:t>
      </w:r>
    </w:p>
    <w:p w:rsidR="00FA3056" w:rsidRDefault="00FA3056" w:rsidP="00FA3056">
      <w:pPr>
        <w:pStyle w:val="Heading2"/>
      </w:pPr>
      <w:r>
        <w:t>3. Recommended Enterprise Storage Architecture (Hybrid Model)</w:t>
      </w:r>
    </w:p>
    <w:p w:rsidR="00FA3056" w:rsidRDefault="00FA3056" w:rsidP="00FA3056">
      <w:pPr>
        <w:pStyle w:val="NormalWeb"/>
      </w:pPr>
      <w:r>
        <w:t xml:space="preserve">To keep your database lightweight, fast, and compliant, use a </w:t>
      </w:r>
      <w:r>
        <w:rPr>
          <w:b/>
          <w:bCs/>
        </w:rPr>
        <w:t>hybrid storage pattern</w:t>
      </w:r>
      <w:r>
        <w:t>:</w:t>
      </w:r>
    </w:p>
    <w:p w:rsidR="00FA3056" w:rsidRDefault="00FA3056" w:rsidP="00FA305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[ Incoming Invoice Payload ]</w:t>
      </w:r>
    </w:p>
    <w:p w:rsidR="00FA3056" w:rsidRDefault="00FA3056" w:rsidP="00FA305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     │</w:t>
      </w:r>
    </w:p>
    <w:p w:rsidR="00FA3056" w:rsidRDefault="00FA3056" w:rsidP="00FA305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     ├───&gt; Database (PostgreSQL with RLS)</w:t>
      </w:r>
    </w:p>
    <w:p w:rsidR="00FA3056" w:rsidRDefault="00FA3056" w:rsidP="00FA305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     │     └─ Metatada Headers, Totals, TRNs, Status, &amp; Cell Errors</w:t>
      </w:r>
    </w:p>
    <w:p w:rsidR="00FA3056" w:rsidRDefault="00FA3056" w:rsidP="00FA305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     │</w:t>
      </w:r>
    </w:p>
    <w:p w:rsidR="00FA3056" w:rsidRDefault="00FA3056" w:rsidP="00FA305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lastRenderedPageBreak/>
        <w:t xml:space="preserve">             └───&gt; Object Storage (AWS S3 / Azure Blob in UAE)</w:t>
      </w:r>
    </w:p>
    <w:p w:rsidR="00FA3056" w:rsidRDefault="00FA3056" w:rsidP="00FA305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           └─ Raw Payloads, Excel Files, UBL XMLs, &amp; Signed Receipts</w:t>
      </w:r>
    </w:p>
    <w:p w:rsidR="00FA3056" w:rsidRDefault="00FA3056" w:rsidP="00FA3056">
      <w:pPr>
        <w:pStyle w:val="Heading3"/>
      </w:pPr>
      <w:r>
        <w:t>A. Database Tier (PostgreSQL)</w:t>
      </w:r>
    </w:p>
    <w:p w:rsidR="00FA3056" w:rsidRDefault="00FA3056" w:rsidP="00FA3056">
      <w:pPr>
        <w:pStyle w:val="NormalWeb"/>
        <w:numPr>
          <w:ilvl w:val="0"/>
          <w:numId w:val="3"/>
        </w:numPr>
      </w:pPr>
      <w:r>
        <w:rPr>
          <w:b/>
          <w:bCs/>
        </w:rPr>
        <w:t>What to Store:</w:t>
      </w:r>
      <w:r>
        <w:t xml:space="preserve"> Invoice headers (Invoice #, Date, Type, Seller/Buyer TRNs, Net/VAT/Grand Totals), line-item breakdowns, processing status, validation logs, batch upload records, and audit logs.</w:t>
      </w:r>
    </w:p>
    <w:p w:rsidR="00FA3056" w:rsidRDefault="00FA3056" w:rsidP="00FA3056">
      <w:pPr>
        <w:pStyle w:val="NormalWeb"/>
        <w:numPr>
          <w:ilvl w:val="0"/>
          <w:numId w:val="3"/>
        </w:numPr>
      </w:pPr>
      <w:r>
        <w:rPr>
          <w:b/>
          <w:bCs/>
        </w:rPr>
        <w:t>Why:</w:t>
      </w:r>
      <w:r>
        <w:t xml:space="preserve"> Enables fast relational queries, indexed searches, Row-Level Security (RLS) tenant isolation, and strict schema validation.</w:t>
      </w:r>
    </w:p>
    <w:p w:rsidR="00FA3056" w:rsidRDefault="00FA3056" w:rsidP="00FA3056">
      <w:pPr>
        <w:pStyle w:val="Heading3"/>
      </w:pPr>
      <w:r>
        <w:t xml:space="preserve">B. Object Storage Tier (AWS S3 </w:t>
      </w:r>
      <w:r>
        <w:rPr>
          <w:rStyle w:val="HTMLCode"/>
          <w:rFonts w:eastAsiaTheme="minorEastAsia"/>
        </w:rPr>
        <w:t>me-central-1</w:t>
      </w:r>
      <w:r>
        <w:t xml:space="preserve"> / Azure UAE)</w:t>
      </w:r>
    </w:p>
    <w:p w:rsidR="00FA3056" w:rsidRDefault="00FA3056" w:rsidP="00FA3056">
      <w:pPr>
        <w:pStyle w:val="NormalWeb"/>
        <w:numPr>
          <w:ilvl w:val="0"/>
          <w:numId w:val="4"/>
        </w:numPr>
      </w:pPr>
      <w:r>
        <w:rPr>
          <w:b/>
          <w:bCs/>
        </w:rPr>
        <w:t>What to Store:</w:t>
      </w:r>
      <w:r>
        <w:t xml:space="preserve"> Raw JSON/CSV ERP payloads, uploaded </w:t>
      </w:r>
      <w:r>
        <w:rPr>
          <w:rStyle w:val="HTMLCode"/>
          <w:rFonts w:eastAsiaTheme="minorEastAsia"/>
        </w:rPr>
        <w:t>.xlsx</w:t>
      </w:r>
      <w:r>
        <w:t xml:space="preserve"> source files, generated UAE PINT UBL 2.1 XML documents, and signed AS4 clearance receipts.</w:t>
      </w:r>
    </w:p>
    <w:p w:rsidR="00FA3056" w:rsidRDefault="00FA3056" w:rsidP="00FA3056">
      <w:pPr>
        <w:pStyle w:val="NormalWeb"/>
        <w:numPr>
          <w:ilvl w:val="0"/>
          <w:numId w:val="4"/>
        </w:numPr>
      </w:pPr>
      <w:r>
        <w:rPr>
          <w:b/>
          <w:bCs/>
        </w:rPr>
        <w:t>Why:</w:t>
      </w:r>
      <w:r>
        <w:t xml:space="preserve"> S3 </w:t>
      </w:r>
      <w:r>
        <w:rPr>
          <w:b/>
          <w:bCs/>
        </w:rPr>
        <w:t>WORM (Write Once, Read Many)</w:t>
      </w:r>
      <w:r>
        <w:t xml:space="preserve"> Object Lock in </w:t>
      </w:r>
      <w:r>
        <w:rPr>
          <w:rStyle w:val="HTMLCode"/>
          <w:rFonts w:eastAsiaTheme="minorEastAsia"/>
        </w:rPr>
        <w:t>COMPLIANCE</w:t>
      </w:r>
      <w:r>
        <w:t xml:space="preserve"> mode guarantees that raw files cannot be altered or deleted by anyone (including database administrators) for the mandatory 5-to-15-year retention period. The database simply stores the S3 URI reference (</w:t>
      </w:r>
      <w:r>
        <w:rPr>
          <w:rStyle w:val="HTMLCode"/>
          <w:rFonts w:eastAsiaTheme="minorEastAsia"/>
        </w:rPr>
        <w:t>ubl_xml_s3_uri</w:t>
      </w:r>
      <w:r>
        <w:t>).</w:t>
      </w:r>
    </w:p>
    <w:p w:rsidR="00FA3056" w:rsidRDefault="00FA3056" w:rsidP="00FA3056">
      <w:pPr>
        <w:spacing w:after="80"/>
      </w:pPr>
    </w:p>
    <w:p w:rsidR="00D878CB" w:rsidRDefault="00D878CB">
      <w:bookmarkStart w:id="0" w:name="_GoBack"/>
      <w:bookmarkEnd w:id="0"/>
    </w:p>
    <w:sectPr w:rsidR="00D878CB" w:rsidSect="00034616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CE7" w:rsidRDefault="00FA3056">
    <w:pPr>
      <w:pStyle w:val="Footer"/>
      <w:jc w:val="right"/>
    </w:pPr>
    <w:r>
      <w:rPr>
        <w:color w:val="64748B"/>
        <w:sz w:val="18"/>
      </w:rPr>
      <w:t xml:space="preserve">UAE FTA E-Invoicing Middleware SRS (v1.2 Comprehensive) |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C24DA"/>
    <w:multiLevelType w:val="multilevel"/>
    <w:tmpl w:val="E91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40B1B"/>
    <w:multiLevelType w:val="multilevel"/>
    <w:tmpl w:val="8582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C78D3"/>
    <w:multiLevelType w:val="multilevel"/>
    <w:tmpl w:val="07B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067CF"/>
    <w:multiLevelType w:val="multilevel"/>
    <w:tmpl w:val="61A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056"/>
    <w:rsid w:val="00D878CB"/>
    <w:rsid w:val="00FA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504C6-CFEF-4996-B1C3-F4093E56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3056"/>
    <w:pPr>
      <w:spacing w:after="100" w:line="276" w:lineRule="auto"/>
    </w:pPr>
    <w:rPr>
      <w:rFonts w:ascii="Calibri" w:eastAsiaTheme="minorEastAsia" w:hAnsi="Calibri"/>
      <w:color w:val="1F2937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0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0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305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3056"/>
    <w:rPr>
      <w:rFonts w:asciiTheme="majorHAnsi" w:eastAsiaTheme="majorEastAsia" w:hAnsiTheme="majorHAnsi" w:cstheme="majorBidi"/>
      <w:b/>
      <w:bCs/>
      <w:color w:val="5B9BD5" w:themeColor="accent1"/>
      <w:sz w:val="20"/>
    </w:rPr>
  </w:style>
  <w:style w:type="paragraph" w:styleId="Footer">
    <w:name w:val="footer"/>
    <w:basedOn w:val="Normal"/>
    <w:link w:val="FooterChar"/>
    <w:uiPriority w:val="99"/>
    <w:unhideWhenUsed/>
    <w:rsid w:val="00FA3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056"/>
    <w:rPr>
      <w:rFonts w:ascii="Calibri" w:eastAsiaTheme="minorEastAsia" w:hAnsi="Calibri"/>
      <w:color w:val="1F2937"/>
      <w:sz w:val="20"/>
    </w:rPr>
  </w:style>
  <w:style w:type="paragraph" w:styleId="NormalWeb">
    <w:name w:val="Normal (Web)"/>
    <w:basedOn w:val="Normal"/>
    <w:uiPriority w:val="99"/>
    <w:semiHidden/>
    <w:unhideWhenUsed/>
    <w:rsid w:val="00FA3056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30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0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Sudheendra Lal</dc:creator>
  <cp:keywords/>
  <dc:description/>
  <cp:lastModifiedBy>Sudheendra Lal</cp:lastModifiedBy>
  <cp:revision>1</cp:revision>
  <dcterms:created xsi:type="dcterms:W3CDTF">2026-08-09T10:34:00Z</dcterms:created>
  <dcterms:modified xsi:type="dcterms:W3CDTF">2026-08-09T10:34:00Z</dcterms:modified>
</cp:coreProperties>
</file>