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1E3A8A"/>
          <w:sz w:val="48"/>
        </w:rPr>
        <w:t>SOFTWARE REQUIREMENTS SPECIFICATION</w:t>
      </w:r>
    </w:p>
    <w:p>
      <w:pPr>
        <w:spacing w:after="280"/>
        <w:jc w:val="left"/>
      </w:pPr>
      <w:r>
        <w:rPr>
          <w:rFonts w:ascii="Calibri" w:hAnsi="Calibri"/>
          <w:color w:val="0D9488"/>
          <w:sz w:val="26"/>
        </w:rPr>
        <w:t>Multi-Tenant UAE FTA E-Invoicing Middleware Platform (PaaS) - Version 1.2</w:t>
      </w:r>
    </w:p>
    <w:tbl>
      <w:tblPr>
        <w:tblW w:type="auto" w:w="0"/>
        <w:jc w:val="center"/>
        <w:tblLook w:firstColumn="1" w:firstRow="1" w:lastColumn="0" w:lastRow="0" w:noHBand="0" w:noVBand="1" w:val="04A0"/>
      </w:tblPr>
      <w:tblGrid>
        <w:gridCol w:w="4680"/>
        <w:gridCol w:w="4680"/>
      </w:tblGrid>
      <w:tr>
        <w:trPr>
          <w:tblHeader/>
          <w:cantSplit/>
        </w:trPr>
        <w:tc>
          <w:tcPr>
            <w:tcW w:type="dxa" w:w="28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Specification Metadata</w:t>
            </w:r>
          </w:p>
        </w:tc>
        <w:tc>
          <w:tcPr>
            <w:tcW w:type="dxa" w:w="64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Details</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Document Version</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1.2 (Comprehensive: API, Excel Template Schema, &amp; Browser Staging Grid UI/UX)</w:t>
            </w:r>
          </w:p>
        </w:tc>
      </w:tr>
      <w:tr>
        <w:trPr>
          <w:cantSplit/>
        </w:trPr>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Target Jurisdiction</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United Arab Emirates (UAE)</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Regulatory Authorities</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Federal Tax Authority (FTA) &amp; Ministry of Finance (MoF)</w:t>
            </w:r>
          </w:p>
        </w:tc>
      </w:tr>
      <w:tr>
        <w:trPr>
          <w:cantSplit/>
        </w:trPr>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Technical Standards</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UAE Peppol PINT (PINT AE) / UBL 2.1 XML / OASIS ebMS3 AS4</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Deployment Architecture</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Multi-Tenant Cloud Native SaaS / PaaS</w:t>
            </w:r>
          </w:p>
        </w:tc>
      </w:tr>
      <w:tr>
        <w:trPr>
          <w:cantSplit/>
        </w:trPr>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Ingestion Channels</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REST APIs, Webhooks, SFTP, Direct ERP Connectors, &amp; Interactive Web Excel Upload Portal</w:t>
            </w:r>
          </w:p>
        </w:tc>
      </w:tr>
      <w:tr>
        <w:trPr>
          <w:cantSplit/>
        </w:trPr>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Phasing Strategy</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1: 3rd-Party ASP Router -&gt; Phase 2: Native ASP / Peppol Access Point</w:t>
            </w:r>
          </w:p>
        </w:tc>
      </w:tr>
      <w:tr>
        <w:trPr>
          <w:cantSplit/>
        </w:trPr>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Data Sovereignty</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AWS UAE Region (me-central-1) / Azure UAE North (Dubai)</w:t>
            </w:r>
          </w:p>
        </w:tc>
      </w:tr>
    </w:tbl>
    <w:p>
      <w:pPr>
        <w:spacing w:after="80"/>
      </w:pPr>
    </w:p>
    <w:tbl>
      <w:tblPr>
        <w:tblW w:type="auto" w:w="0"/>
        <w:jc w:val="center"/>
        <w:tblLook w:firstColumn="1" w:firstRow="1" w:lastColumn="0" w:lastRow="0" w:noHBand="0" w:noVBand="1" w:val="04A0"/>
      </w:tblPr>
      <w:tblGrid>
        <w:gridCol w:w="9360"/>
      </w:tblGrid>
      <w:tr>
        <w:tc>
          <w:tcPr>
            <w:tcW w:type="dxa" w:w="9360"/>
            <w:shd w:fill="F8FAFC"/>
            <w:tcBorders>
              <w:top w:val="none"/>
              <w:left w:val="single" w:sz="36" w:space="0" w:color="1E3A8A"/>
              <w:bottom w:val="none"/>
              <w:right w:val="none"/>
            </w:tcBorders>
            <w:tcMar>
              <w:top w:w="120" w:type="dxa"/>
              <w:bottom w:w="120" w:type="dxa"/>
              <w:left w:w="200" w:type="dxa"/>
              <w:right w:w="200" w:type="dxa"/>
            </w:tcMar>
          </w:tcPr>
          <w:p>
            <w:pPr>
              <w:spacing w:after="40"/>
            </w:pPr>
            <w:r>
              <w:rPr>
                <w:b/>
                <w:color w:val="1E3A8A"/>
                <w:sz w:val="19"/>
              </w:rPr>
              <w:t xml:space="preserve">[EXECUTIVE ARCHITECTURE BRIEF] </w:t>
            </w:r>
            <w:r>
              <w:rPr>
                <w:color w:val="1F2937"/>
                <w:sz w:val="19"/>
              </w:rPr>
              <w:t>REVISION NOTICE (v1.2): This specification defines the complete end-to-end architecture for the UAE E-Invoicing Middleware. It includes programmatic ERP connectors, detailed .xlsx template field dictionaries (Sheet 1: Header, Sheet 2: Lines, Sheet 3: Lookups), a zero-code browser-based Interactive Staging Data Grid for inline editing and real-time validation error resolution, full PostgreSQL multi-tenant DDL schemas, and the migration architecture from Phase 1 (3rd-Party ASP) to Phase 2 (Native AS4 Gateway).</w:t>
            </w:r>
          </w:p>
        </w:tc>
      </w:tr>
    </w:tbl>
    <w:p>
      <w:pPr>
        <w:spacing w:after="80"/>
      </w:pPr>
    </w:p>
    <w:p>
      <w:pPr>
        <w:keepNext/>
        <w:spacing w:before="320" w:after="80"/>
      </w:pPr>
      <w:r>
        <w:rPr>
          <w:rFonts w:ascii="Calibri" w:hAnsi="Calibri"/>
          <w:b/>
          <w:color w:val="1E3A8A"/>
          <w:sz w:val="30"/>
        </w:rPr>
        <w:t>1. Executive Summary &amp; Scope</w:t>
      </w:r>
    </w:p>
    <w:p>
      <w:pPr>
        <w:keepNext/>
        <w:spacing w:before="240" w:after="60"/>
      </w:pPr>
      <w:r>
        <w:rPr>
          <w:rFonts w:ascii="Calibri" w:hAnsi="Calibri"/>
          <w:b/>
          <w:color w:val="0D9488"/>
          <w:sz w:val="24"/>
        </w:rPr>
        <w:t>1.1 Purpose</w:t>
      </w:r>
    </w:p>
    <w:p>
      <w:pPr>
        <w:spacing w:after="100"/>
      </w:pPr>
      <w:r>
        <w:rPr>
          <w:i w:val="0"/>
          <w:color w:val="1F2937"/>
        </w:rPr>
        <w:t>The primary purpose of this platform is to provide a unified, highly secure, scalable, multi-tenant middleware service operating on a Platform-as-a-Service (PaaS) model. It enables business clients across the United Arab Emirates to ingest raw invoice payloads from diverse Enterprise Resource Planning (ERP), Point of Sale (POS), or manual Excel/CSV spreadsheet uploads (for businesses without API capability). The middleware validates the data against strict UAE FTA business rules, converts payloads into standard UAE PINT UBL 2.1 XML format, transmits cleared invoices to Accredited Service Providers (ASPs), and provides immutable WORM archiving for tax audit compliance.</w:t>
      </w:r>
    </w:p>
    <w:p>
      <w:pPr>
        <w:keepNext/>
        <w:spacing w:before="240" w:after="60"/>
      </w:pPr>
      <w:r>
        <w:rPr>
          <w:rFonts w:ascii="Calibri" w:hAnsi="Calibri"/>
          <w:b/>
          <w:color w:val="0D9488"/>
          <w:sz w:val="24"/>
        </w:rPr>
        <w:t>1.2 Ingestion Channels Flexibility</w:t>
      </w:r>
    </w:p>
    <w:p>
      <w:pPr>
        <w:pStyle w:val="ListBullet"/>
        <w:spacing w:after="60"/>
        <w:ind w:left="360"/>
      </w:pPr>
      <w:r>
        <w:rPr>
          <w:b/>
          <w:color w:val="1F2937"/>
        </w:rPr>
        <w:t xml:space="preserve">Direct ERP Connectors / REST APIs: </w:t>
      </w:r>
      <w:r>
        <w:rPr>
          <w:color w:val="1F2937"/>
        </w:rPr>
        <w:t>Programmatic, automated real-time ingestion for cloud-connected enterprise ERPs.</w:t>
      </w:r>
    </w:p>
    <w:p>
      <w:pPr>
        <w:pStyle w:val="ListBullet"/>
        <w:spacing w:after="60"/>
        <w:ind w:left="360"/>
      </w:pPr>
      <w:r>
        <w:rPr>
          <w:b/>
          <w:color w:val="1F2937"/>
        </w:rPr>
        <w:t xml:space="preserve">SFTP &amp; Automated File Watchers: </w:t>
      </w:r>
      <w:r>
        <w:rPr>
          <w:color w:val="1F2937"/>
        </w:rPr>
        <w:t>Asynchronous file watchers for legacy on-premise ERP systems capable of batch exports.</w:t>
      </w:r>
    </w:p>
    <w:p>
      <w:pPr>
        <w:pStyle w:val="ListBullet"/>
        <w:spacing w:after="60"/>
        <w:ind w:left="360"/>
      </w:pPr>
      <w:r>
        <w:rPr>
          <w:b/>
          <w:color w:val="1F2937"/>
        </w:rPr>
        <w:t xml:space="preserve">Interactive Excel / CSV Upload Portal (Non-ERP Integration): </w:t>
      </w:r>
      <w:r>
        <w:rPr>
          <w:color w:val="1F2937"/>
        </w:rPr>
        <w:t>Dedicated web portal allowing users to download pre-configured Excel templates, drag-and-drop batch file uploads, review pre-flight errors in an interactive browser grid, fix validation errors inline, and submit compliant e-invoices with zero coding required.</w:t>
      </w:r>
    </w:p>
    <w:p>
      <w:pPr>
        <w:keepNext/>
        <w:spacing w:before="240" w:after="60"/>
      </w:pPr>
      <w:r>
        <w:rPr>
          <w:rFonts w:ascii="Calibri" w:hAnsi="Calibri"/>
          <w:b/>
          <w:color w:val="0D9488"/>
          <w:sz w:val="24"/>
        </w:rPr>
        <w:t>1.3 Phased Deployment Strategy</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16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Dimension</w:t>
            </w:r>
          </w:p>
        </w:tc>
        <w:tc>
          <w:tcPr>
            <w:tcW w:type="dxa" w:w="360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Phase 1: Third-Party ASP Router</w:t>
            </w:r>
          </w:p>
        </w:tc>
        <w:tc>
          <w:tcPr>
            <w:tcW w:type="dxa" w:w="360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Phase 2: Native ASP &amp; Peppol AP</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Routing Path</w:t>
            </w:r>
          </w:p>
        </w:tc>
        <w:tc>
          <w:tcPr>
            <w:tcW w:type="dxa" w:w="360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ERP / Excel Upload -&gt; Middleware -&gt; 3rd-Party ASP API -&gt; Peppol/FTA</w:t>
            </w:r>
          </w:p>
        </w:tc>
        <w:tc>
          <w:tcPr>
            <w:tcW w:type="dxa" w:w="360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ERP / Excel Upload -&gt; Middleware -&gt; Native AS4 Gateway -&gt; Peppol/FTA</w:t>
            </w:r>
          </w:p>
        </w:tc>
      </w:tr>
      <w:tr>
        <w:trPr>
          <w:cantSplit/>
        </w:trPr>
        <w:tc>
          <w:tcPr>
            <w:tcW w:type="dxa" w:w="216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Transport Protocol</w:t>
            </w:r>
          </w:p>
        </w:tc>
        <w:tc>
          <w:tcPr>
            <w:tcW w:type="dxa" w:w="360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REST / OAuth 2.0 API Drivers to ASPs</w:t>
            </w:r>
          </w:p>
        </w:tc>
        <w:tc>
          <w:tcPr>
            <w:tcW w:type="dxa" w:w="360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OASIS ebMS3 / AS4 Profile v2.0 via mTLS &amp; WS-Security</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Key Management</w:t>
            </w:r>
          </w:p>
        </w:tc>
        <w:tc>
          <w:tcPr>
            <w:tcW w:type="dxa" w:w="360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Managed via 3rd-party ASP tenant credentials</w:t>
            </w:r>
          </w:p>
        </w:tc>
        <w:tc>
          <w:tcPr>
            <w:tcW w:type="dxa" w:w="360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Hardware Security Module (HSM) PKI Signing</w:t>
            </w:r>
          </w:p>
        </w:tc>
      </w:tr>
      <w:tr>
        <w:trPr>
          <w:cantSplit/>
        </w:trPr>
        <w:tc>
          <w:tcPr>
            <w:tcW w:type="dxa" w:w="216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Discovery Engine</w:t>
            </w:r>
          </w:p>
        </w:tc>
        <w:tc>
          <w:tcPr>
            <w:tcW w:type="dxa" w:w="360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Delegated to external ASP partner</w:t>
            </w:r>
          </w:p>
        </w:tc>
        <w:tc>
          <w:tcPr>
            <w:tcW w:type="dxa" w:w="360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Native SML / SMP Dynamic Service Discovery</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Core Advantage</w:t>
            </w:r>
          </w:p>
        </w:tc>
        <w:tc>
          <w:tcPr>
            <w:tcW w:type="dxa" w:w="360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Zero initial Peppol accreditation delay; immediate go-to-market.</w:t>
            </w:r>
          </w:p>
        </w:tc>
        <w:tc>
          <w:tcPr>
            <w:tcW w:type="dxa" w:w="360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Eliminates third-party transactional fees; full autonomy.</w:t>
            </w:r>
          </w:p>
        </w:tc>
      </w:tr>
    </w:tbl>
    <w:p>
      <w:pPr>
        <w:spacing w:after="80"/>
      </w:pPr>
    </w:p>
    <w:p>
      <w:pPr>
        <w:keepNext/>
        <w:spacing w:before="320" w:after="80"/>
      </w:pPr>
      <w:r>
        <w:rPr>
          <w:rFonts w:ascii="Calibri" w:hAnsi="Calibri"/>
          <w:b/>
          <w:color w:val="1E3A8A"/>
          <w:sz w:val="30"/>
        </w:rPr>
        <w:t>2. Platform Architecture &amp; Multi-Tenancy</w:t>
      </w:r>
    </w:p>
    <w:p>
      <w:pPr>
        <w:keepNext/>
        <w:spacing w:before="240" w:after="60"/>
      </w:pPr>
      <w:r>
        <w:rPr>
          <w:rFonts w:ascii="Calibri" w:hAnsi="Calibri"/>
          <w:b/>
          <w:color w:val="0D9488"/>
          <w:sz w:val="24"/>
        </w:rPr>
        <w:t>2.1 Multi-Tenant Model</w:t>
      </w:r>
    </w:p>
    <w:p>
      <w:pPr>
        <w:pStyle w:val="ListBullet"/>
        <w:spacing w:after="60"/>
        <w:ind w:left="360"/>
      </w:pPr>
      <w:r>
        <w:rPr>
          <w:b/>
          <w:color w:val="1F2937"/>
        </w:rPr>
        <w:t xml:space="preserve">Shared Database Tier: </w:t>
      </w:r>
      <w:r>
        <w:rPr>
          <w:color w:val="1F2937"/>
        </w:rPr>
        <w:t>Shared compute clusters with tenant ID-scoped query enforcement via PostgreSQL Row-Level Security (RLS).</w:t>
      </w:r>
    </w:p>
    <w:p>
      <w:pPr>
        <w:pStyle w:val="ListBullet"/>
        <w:spacing w:after="60"/>
        <w:ind w:left="360"/>
      </w:pPr>
      <w:r>
        <w:rPr>
          <w:b/>
          <w:color w:val="1F2937"/>
        </w:rPr>
        <w:t xml:space="preserve">Dedicated Database Tier: </w:t>
      </w:r>
      <w:r>
        <w:rPr>
          <w:color w:val="1F2937"/>
        </w:rPr>
        <w:t>Dedicated database schema/instance provisioned for Enterprise tier clients requiring physical isolation.</w:t>
      </w:r>
    </w:p>
    <w:p>
      <w:pPr>
        <w:pStyle w:val="ListBullet"/>
        <w:spacing w:after="60"/>
        <w:ind w:left="360"/>
      </w:pPr>
      <w:r>
        <w:rPr>
          <w:b/>
          <w:color w:val="1F2937"/>
        </w:rPr>
        <w:t xml:space="preserve">Role-Based Access Control (RBAC): </w:t>
      </w:r>
      <w:r>
        <w:rPr>
          <w:color w:val="1F2937"/>
        </w:rPr>
        <w:t>System Admin (Platform Owner), Tenant Admin (Customer), Tenant Finance User, Manual Data Entry Clerk, Auditor.</w:t>
      </w:r>
    </w:p>
    <w:p>
      <w:pPr>
        <w:keepNext/>
        <w:spacing w:before="240" w:after="60"/>
      </w:pPr>
      <w:r>
        <w:rPr>
          <w:rFonts w:ascii="Calibri" w:hAnsi="Calibri"/>
          <w:b/>
          <w:color w:val="0D9488"/>
          <w:sz w:val="24"/>
        </w:rPr>
        <w:t>2.2 Core Modules Architecture</w:t>
      </w:r>
    </w:p>
    <w:p>
      <w:pPr>
        <w:pStyle w:val="ListBullet"/>
        <w:spacing w:after="60"/>
        <w:ind w:left="360"/>
      </w:pPr>
      <w:r>
        <w:rPr>
          <w:b/>
          <w:color w:val="1F2937"/>
        </w:rPr>
        <w:t xml:space="preserve">1. Programmatic Ingestion Engine: </w:t>
      </w:r>
      <w:r>
        <w:rPr>
          <w:color w:val="1F2937"/>
        </w:rPr>
        <w:t>Exposes REST APIs, Webhooks, SFTP file listeners, and native ERP connectors.</w:t>
      </w:r>
    </w:p>
    <w:p>
      <w:pPr>
        <w:pStyle w:val="ListBullet"/>
        <w:spacing w:after="60"/>
        <w:ind w:left="360"/>
      </w:pPr>
      <w:r>
        <w:rPr>
          <w:b/>
          <w:color w:val="1F2937"/>
        </w:rPr>
        <w:t xml:space="preserve">2. Excel/CSV Manual Ingestion Portal: </w:t>
      </w:r>
      <w:r>
        <w:rPr>
          <w:color w:val="1F2937"/>
        </w:rPr>
        <w:t>Web portal tool for uploading .xlsx/.csv files, automated sheet parsing, dynamic column mapping, and inline data grid staging.</w:t>
      </w:r>
    </w:p>
    <w:p>
      <w:pPr>
        <w:pStyle w:val="ListBullet"/>
        <w:spacing w:after="60"/>
        <w:ind w:left="360"/>
      </w:pPr>
      <w:r>
        <w:rPr>
          <w:b/>
          <w:color w:val="1F2937"/>
        </w:rPr>
        <w:t xml:space="preserve">3. Transformation Engine: </w:t>
      </w:r>
      <w:r>
        <w:rPr>
          <w:color w:val="1F2937"/>
        </w:rPr>
        <w:t>Converts JSON, CSV, and Excel row structures into canonical UAE PINT UBL 2.1 XML.</w:t>
      </w:r>
    </w:p>
    <w:p>
      <w:pPr>
        <w:pStyle w:val="ListBullet"/>
        <w:spacing w:after="60"/>
        <w:ind w:left="360"/>
      </w:pPr>
      <w:r>
        <w:rPr>
          <w:b/>
          <w:color w:val="1F2937"/>
        </w:rPr>
        <w:t xml:space="preserve">4. Validation Engine: </w:t>
      </w:r>
      <w:r>
        <w:rPr>
          <w:color w:val="1F2937"/>
        </w:rPr>
        <w:t>Executes real-time schema check (XSD) and tax business rules (Schematron) before transmission.</w:t>
      </w:r>
    </w:p>
    <w:p>
      <w:pPr>
        <w:pStyle w:val="ListBullet"/>
        <w:spacing w:after="60"/>
        <w:ind w:left="360"/>
      </w:pPr>
      <w:r>
        <w:rPr>
          <w:b/>
          <w:color w:val="1F2937"/>
        </w:rPr>
        <w:t xml:space="preserve">5. ASP Router Layer: </w:t>
      </w:r>
      <w:r>
        <w:rPr>
          <w:color w:val="1F2937"/>
        </w:rPr>
        <w:t>Abstracted adapter pattern dynamically routing messages to Phase 1 ASP APIs or Phase 2 AS4 Gateway.</w:t>
      </w:r>
    </w:p>
    <w:p>
      <w:pPr>
        <w:pStyle w:val="ListBullet"/>
        <w:spacing w:after="60"/>
        <w:ind w:left="360"/>
      </w:pPr>
      <w:r>
        <w:rPr>
          <w:b/>
          <w:color w:val="1F2937"/>
        </w:rPr>
        <w:t xml:space="preserve">6. Archiving System: </w:t>
      </w:r>
      <w:r>
        <w:rPr>
          <w:color w:val="1F2937"/>
        </w:rPr>
        <w:t>Stores XMLs, raw JSONs, uploaded Excel source files, and signed receipts in WORM S3 storage for 5-15 years.</w:t>
      </w:r>
    </w:p>
    <w:p>
      <w:pPr>
        <w:keepNext/>
        <w:spacing w:before="320" w:after="80"/>
      </w:pPr>
      <w:r>
        <w:rPr>
          <w:rFonts w:ascii="Calibri" w:hAnsi="Calibri"/>
          <w:b/>
          <w:color w:val="1E3A8A"/>
          <w:sz w:val="30"/>
        </w:rPr>
        <w:t>3. Functional Requirements Matrix</w:t>
      </w:r>
    </w:p>
    <w:p>
      <w:pPr>
        <w:keepNext/>
        <w:spacing w:before="240" w:after="60"/>
      </w:pPr>
      <w:r>
        <w:rPr>
          <w:rFonts w:ascii="Calibri" w:hAnsi="Calibri"/>
          <w:b/>
          <w:color w:val="0D9488"/>
          <w:sz w:val="24"/>
        </w:rPr>
        <w:t>3.1 Tenant Management &amp; Onboarding</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TR-01</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System must support multi-tenant account provisioning with isolated data partitions and custom domain mapping.</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TR-02</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System must store UAE-specific Tax Profile per tenant: 15-digit TRN, Legal English/Arabic Name, Registered Address, VAT Group details.</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TR-03</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Support granular role-based access control (RBAC): System Admin, Tenant Admin, Finance User, Manual Data Entry Clerk, Auditor.</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TR-04</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Provide API Key &amp; Excel Mapping Profile management portal for tenant configuration.</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bl>
    <w:p>
      <w:pPr>
        <w:spacing w:after="80"/>
      </w:pPr>
    </w:p>
    <w:p>
      <w:pPr>
        <w:keepNext/>
        <w:spacing w:before="240" w:after="60"/>
      </w:pPr>
      <w:r>
        <w:rPr>
          <w:rFonts w:ascii="Calibri" w:hAnsi="Calibri"/>
          <w:b/>
          <w:color w:val="0D9488"/>
          <w:sz w:val="24"/>
        </w:rPr>
        <w:t>3.2 Invoice Ingestion &amp; Data Transformation (API &amp; Excel)</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IR-01</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Provide RESTful APIs (POST /v1/invoices) accepting JSON/XML payloads for Tax Invoices, Simplified Invoices, Credit &amp; Debit Notes.</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IR-02</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Support asynchronous bulk ingestion via message queues (RabbitMQ/Kafka) supporting up to 500 invoices/sec.</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IR-03</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Provide visual rule-based field mapper to transform non-standard ERP JSON/CSV into UAE PINT UBL 2.1 XML.</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IR-04</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Support automatic generation of dynamic QR Codes and cryptographic UUIDs for tax invoice rendering.</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IR-05</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Provide downloadable standard Excel (.xlsx) templates pre-configured with mandatory UAE FTA tax dictionary fields.</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IR-06</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Provide interactive Web Upload Portal allowing drag-and-drop of Excel/CSV files up to 50MB (10,000+ line items per file).</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IR-07</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Implement interactive Staging Data Grid where uploaded Excel rows are parsed, validated, and highlighted with inline error flags.</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IR-08</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Allow users to correct validation errors (e.g., missing TRN, incorrect tax rate) directly inside the browser grid before XML generation.</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IR-09</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Support custom column mapping profiles per tenant so users can upload their existing Excel format without altering column headers.</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Medium</w:t>
            </w:r>
          </w:p>
        </w:tc>
      </w:tr>
    </w:tbl>
    <w:p>
      <w:pPr>
        <w:spacing w:after="80"/>
      </w:pPr>
    </w:p>
    <w:p>
      <w:pPr>
        <w:keepNext/>
        <w:spacing w:before="240" w:after="60"/>
      </w:pPr>
      <w:r>
        <w:rPr>
          <w:rFonts w:ascii="Calibri" w:hAnsi="Calibri"/>
          <w:b/>
          <w:color w:val="0D9488"/>
          <w:sz w:val="24"/>
        </w:rPr>
        <w:t>3.3 Validation Engine (FTA Compliance)</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VR-01</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Validate mandatory UAE FTA fields (Supplier TRN, Buyer TRN, VAT rate per item, Tax Amount in AED, FX exchange rates).</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VR-02</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Perform strict arithmetic validation (Line Item Net Totals + VAT = Invoice Grand Payable Amount).</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VR-03</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Provide real-time error callbacks/webhooks for APIs, and on-screen cell highlighting for Excel uploads.</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bl>
    <w:p>
      <w:pPr>
        <w:spacing w:after="80"/>
      </w:pPr>
    </w:p>
    <w:p>
      <w:pPr>
        <w:keepNext/>
        <w:spacing w:before="240" w:after="60"/>
      </w:pPr>
      <w:r>
        <w:rPr>
          <w:rFonts w:ascii="Calibri" w:hAnsi="Calibri"/>
          <w:b/>
          <w:color w:val="0D9488"/>
          <w:sz w:val="24"/>
        </w:rPr>
        <w:t>3.4 ASP Communication Layer (Phase 1 vs. Phase 2)</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1152"/>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ID</w:t>
            </w:r>
          </w:p>
        </w:tc>
        <w:tc>
          <w:tcPr>
            <w:tcW w:type="dxa" w:w="5328"/>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Phase</w:t>
            </w:r>
          </w:p>
        </w:tc>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Priority</w:t>
            </w:r>
          </w:p>
        </w:tc>
      </w:tr>
      <w:tr>
        <w:trPr>
          <w:cantSplit/>
        </w:trPr>
        <w:tc>
          <w:tcPr>
            <w:tcW w:type="dxa" w:w="115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AS-01</w:t>
            </w:r>
          </w:p>
        </w:tc>
        <w:tc>
          <w:tcPr>
            <w:tcW w:type="dxa" w:w="53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Abstract ASP communication into a provider interface allowing seamless driver switching without core modification.</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1</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15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AS-02</w:t>
            </w:r>
          </w:p>
        </w:tc>
        <w:tc>
          <w:tcPr>
            <w:tcW w:type="dxa" w:w="5328"/>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Implement API drivers for external 3rd Party ASPs (OAuth2 auth, payload delivery, status polling, webhook handling).</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1</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15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AS-03</w:t>
            </w:r>
          </w:p>
        </w:tc>
        <w:tc>
          <w:tcPr>
            <w:tcW w:type="dxa" w:w="53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Maintain an immutable audit log of all transmission requests, responses, raw payloads, and transport status codes.</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 1 &amp; 2</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15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AS-04</w:t>
            </w:r>
          </w:p>
        </w:tc>
        <w:tc>
          <w:tcPr>
            <w:tcW w:type="dxa" w:w="5328"/>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Implement native AS4 protocol gateway, digital signature verification, and direct Peppol SML/SMP discovery engine.</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2</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bl>
    <w:p>
      <w:pPr>
        <w:spacing w:after="80"/>
      </w:pPr>
    </w:p>
    <w:p>
      <w:pPr>
        <w:keepNext/>
        <w:spacing w:before="240" w:after="60"/>
      </w:pPr>
      <w:r>
        <w:rPr>
          <w:rFonts w:ascii="Calibri" w:hAnsi="Calibri"/>
          <w:b/>
          <w:color w:val="0D9488"/>
          <w:sz w:val="24"/>
        </w:rPr>
        <w:t>3.5 Archiving &amp; Retention Module</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ID</w:t>
            </w:r>
          </w:p>
        </w:tc>
        <w:tc>
          <w:tcPr>
            <w:tcW w:type="dxa" w:w="64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Functional Requirement Description</w:t>
            </w:r>
          </w:p>
        </w:tc>
        <w:tc>
          <w:tcPr>
            <w:tcW w:type="dxa" w:w="144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Priority</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AR-01</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Store original ERP payloads, uploaded Excel source files, generated UBL XMLs, and clearance responses in WORM S3 Storage.</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AR-02</w:t>
            </w:r>
          </w:p>
        </w:tc>
        <w:tc>
          <w:tcPr>
            <w:tcW w:type="dxa" w:w="64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Enforce UAE statutory retention rules (5 to 15 years) with automated compliance lock enforcement.</w:t>
            </w:r>
          </w:p>
        </w:tc>
        <w:tc>
          <w:tcPr>
            <w:tcW w:type="dxa" w:w="144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r>
        <w:trPr>
          <w:cantSplit/>
        </w:trPr>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AR-03</w:t>
            </w:r>
          </w:p>
        </w:tc>
        <w:tc>
          <w:tcPr>
            <w:tcW w:type="dxa" w:w="64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Provide tenant-level full-text search across archived invoices (by TRN, Date, Invoice #, Amount, Buyer, Batch Upload ID).</w:t>
            </w:r>
          </w:p>
        </w:tc>
        <w:tc>
          <w:tcPr>
            <w:tcW w:type="dxa" w:w="144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High</w:t>
            </w:r>
          </w:p>
        </w:tc>
      </w:tr>
    </w:tbl>
    <w:p>
      <w:pPr>
        <w:spacing w:after="80"/>
      </w:pPr>
    </w:p>
    <w:p>
      <w:pPr>
        <w:keepNext/>
        <w:spacing w:before="320" w:after="80"/>
      </w:pPr>
      <w:r>
        <w:rPr>
          <w:rFonts w:ascii="Calibri" w:hAnsi="Calibri"/>
          <w:b/>
          <w:color w:val="1E3A8A"/>
          <w:sz w:val="30"/>
        </w:rPr>
        <w:t>4. Excel/CSV Template &amp; Field Layout Specification (.xlsx)</w:t>
      </w:r>
    </w:p>
    <w:p>
      <w:pPr>
        <w:spacing w:after="100"/>
      </w:pPr>
      <w:r>
        <w:rPr>
          <w:i w:val="0"/>
          <w:color w:val="1F2937"/>
        </w:rPr>
        <w:t>The manual ingestion portal relies on a multi-sheet relational workbook structure designed to enforce PINT-AE data rules before uploading.</w:t>
      </w:r>
    </w:p>
    <w:p>
      <w:pPr>
        <w:keepNext/>
        <w:spacing w:before="240" w:after="60"/>
      </w:pPr>
      <w:r>
        <w:rPr>
          <w:rFonts w:ascii="Calibri" w:hAnsi="Calibri"/>
          <w:b/>
          <w:color w:val="0D9488"/>
          <w:sz w:val="24"/>
        </w:rPr>
        <w:t>4.1 Sheet 1: Invoice_Header Field Layout</w:t>
      </w:r>
    </w:p>
    <w:tbl>
      <w:tblPr>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864"/>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Col</w:t>
            </w:r>
          </w:p>
        </w:tc>
        <w:tc>
          <w:tcPr>
            <w:tcW w:type="dxa" w:w="2016"/>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Field Name</w:t>
            </w:r>
          </w:p>
        </w:tc>
        <w:tc>
          <w:tcPr>
            <w:tcW w:type="dxa" w:w="2592"/>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PINT-AE / UBL 2.1 Path</w:t>
            </w:r>
          </w:p>
        </w:tc>
        <w:tc>
          <w:tcPr>
            <w:tcW w:type="dxa" w:w="1296"/>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Req?</w:t>
            </w:r>
          </w:p>
        </w:tc>
        <w:tc>
          <w:tcPr>
            <w:tcW w:type="dxa" w:w="2592"/>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Validation / Rule</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 Number</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/Invoice/cbc:ID</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Unique per tenant. Pattern: ^[A-Za-z0-9\-\/]+$</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B</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 Type</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/Invoice/cbc:InvoiceTypeCode</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Dropdown: 380 (Tax), 388 (Simplified), 381 (Credit), 383 (Debit)</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Issue Date</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/Invoice/cbc:IssueDate</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Date format: YYYY-MM-DD</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Issue Time</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/Invoice/cbc:IssueTime</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Time format: HH:MM:SS</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E</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 Currency</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/Invoice/cbc:DocumentCurrencyCode</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Dropdown from Ref_Lookups (Default: AED)</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FX Rate to AED</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.../TaxExchangeRate/cbc:CalculationRate</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Cond.</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Required if Currency != AED. Default: 1.000000</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G</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Supplier TRN</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.../AccountingSupplierParty/.../cbc:CompanyID</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Exact 15 digits starting with 1</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Supplier Name</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.../AccountingSupplierParty/.../cbc:RegistrationName</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Max 255 characters</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Buyer TRN</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.../AccountingCustomerParty/.../cbc:CompanyID</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Cond.</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Mandatory for B2B (380); Optional for B2C (388)</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J</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Buyer Name</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.../AccountingCustomerParty/.../cbc:RegistrationName</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Max 255 characters</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K</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Buyer Emirate</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.../AccountingCustomerParty/.../cbc:CityName</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Dropdown: Dubai, Abu Dhabi, Sharjah, Ajman, RAK, Fujairah, UAQ</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PO Reference</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/Invoice/cac:OrderReference/cbc:ID</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No</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Free text</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Preceding Invoice ID</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.../BillingReference/.../cbc:ID</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Cond.</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Mandatory for Credit Notes (381) &amp; Debit Notes (383)</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Payment Means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.../PaymentMeans/cbc:PaymentMeansCode</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Dropdown: 10 (Cash), 30 (Transfer), 48 (Card), 42 (Cheque)</w:t>
            </w:r>
          </w:p>
        </w:tc>
      </w:tr>
    </w:tbl>
    <w:p>
      <w:pPr>
        <w:spacing w:after="80"/>
      </w:pPr>
    </w:p>
    <w:p>
      <w:pPr>
        <w:keepNext/>
        <w:spacing w:before="240" w:after="60"/>
      </w:pPr>
      <w:r>
        <w:rPr>
          <w:rFonts w:ascii="Calibri" w:hAnsi="Calibri"/>
          <w:b/>
          <w:color w:val="0D9488"/>
          <w:sz w:val="24"/>
        </w:rPr>
        <w:t>4.2 Sheet 2: Invoice_Line_Items Field Layout</w:t>
      </w:r>
    </w:p>
    <w:tbl>
      <w:tblPr>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864"/>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Col</w:t>
            </w:r>
          </w:p>
        </w:tc>
        <w:tc>
          <w:tcPr>
            <w:tcW w:type="dxa" w:w="2016"/>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Field Name</w:t>
            </w:r>
          </w:p>
        </w:tc>
        <w:tc>
          <w:tcPr>
            <w:tcW w:type="dxa" w:w="2592"/>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PINT-AE / UBL 2.1 Path</w:t>
            </w:r>
          </w:p>
        </w:tc>
        <w:tc>
          <w:tcPr>
            <w:tcW w:type="dxa" w:w="1296"/>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Req?</w:t>
            </w:r>
          </w:p>
        </w:tc>
        <w:tc>
          <w:tcPr>
            <w:tcW w:type="dxa" w:w="2592"/>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Validation / Formula</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 Number</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Header Link Key</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Must match Invoice Number in Sheet 1</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B</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Line Number</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/Invoice/cac:InvoiceLine/cbc:ID</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Sequential integer per invoice (1, 2, 3...)</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Description</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.../cac:Item/cbc:Name</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Free text (Max 500 chars)</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HS / HS Code</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.../cac:Item/.../cbc:CompanyID</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No</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Harmonized System Customs Code</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E</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Quantity</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.../cbc:InvoicedQuantity</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Numeric &gt; 0 (Up to 4 decimals)</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UOM</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.../cbc:InvoicedQuantity@unitCode</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Dropdown: PCE, HUR, KGM, DAY, MON</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G</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Unit Price</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.../cac:Price/cbc:PriceAmount</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Net price excluding VAT</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Line Discount</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.../cac:AllowanceCharge/cbc:Amount</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No</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Default: 0.00</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I</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VAT Category</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.../cac:ClassifiedTaxCategory/cbc:ID</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Dropdown: S (Standard 5%), Z (Zero 0%), E (Exempt), O (Out of Scope)</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J</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VAT Rate (%)</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.../cac:ClassifiedTaxCategory/cbc:Percent</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Yes</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Formula: =IF(I2="S", 5.00, 0.00)</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K</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Line Net Amount</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.../cbc:LineExtensionAmount</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Auto</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Formula: =ROUND((E2*G2)-H2, 2)</w:t>
            </w:r>
          </w:p>
        </w:tc>
      </w:tr>
      <w:tr>
        <w:trPr>
          <w:cantSplit/>
        </w:trPr>
        <w:tc>
          <w:tcPr>
            <w:tcW w:type="dxa" w:w="864"/>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w:t>
            </w:r>
          </w:p>
        </w:tc>
        <w:tc>
          <w:tcPr>
            <w:tcW w:type="dxa" w:w="201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Line VAT Amount</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.../cac:TaxTotal/cbc:TaxAmount</w:t>
            </w:r>
          </w:p>
        </w:tc>
        <w:tc>
          <w:tcPr>
            <w:tcW w:type="dxa" w:w="1296"/>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Auto</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Formula: =ROUND(K2*(J2/100), 2)</w:t>
            </w:r>
          </w:p>
        </w:tc>
      </w:tr>
      <w:tr>
        <w:trPr>
          <w:cantSplit/>
        </w:trPr>
        <w:tc>
          <w:tcPr>
            <w:tcW w:type="dxa" w:w="864"/>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M</w:t>
            </w:r>
          </w:p>
        </w:tc>
        <w:tc>
          <w:tcPr>
            <w:tcW w:type="dxa" w:w="201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Line Grand Total</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Line Total with VAT</w:t>
            </w:r>
          </w:p>
        </w:tc>
        <w:tc>
          <w:tcPr>
            <w:tcW w:type="dxa" w:w="1296"/>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Auto</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Formula: =K2+L2</w:t>
            </w:r>
          </w:p>
        </w:tc>
      </w:tr>
    </w:tbl>
    <w:p>
      <w:pPr>
        <w:spacing w:after="80"/>
      </w:pPr>
    </w:p>
    <w:p>
      <w:pPr>
        <w:keepNext/>
        <w:spacing w:before="240" w:after="60"/>
      </w:pPr>
      <w:r>
        <w:rPr>
          <w:rFonts w:ascii="Calibri" w:hAnsi="Calibri"/>
          <w:b/>
          <w:color w:val="0D9488"/>
          <w:sz w:val="24"/>
        </w:rPr>
        <w:t>4.3 Built-In Excel Template Safeguards</w:t>
      </w:r>
    </w:p>
    <w:p>
      <w:pPr>
        <w:pStyle w:val="ListBullet"/>
        <w:spacing w:after="60"/>
        <w:ind w:left="360"/>
      </w:pPr>
      <w:r>
        <w:rPr>
          <w:b/>
          <w:color w:val="1F2937"/>
        </w:rPr>
        <w:t xml:space="preserve">TRN 15-Digit Enforcement: </w:t>
      </w:r>
      <w:r>
        <w:rPr>
          <w:color w:val="1F2937"/>
        </w:rPr>
        <w:t>Select Columns G &amp; I -&gt; Data Validation -&gt; Custom Formula: =AND(ISNUMBER(VALUE(G2)), LEN(G2)=15, LEFT(G2,1)="1")</w:t>
      </w:r>
    </w:p>
    <w:p>
      <w:pPr>
        <w:pStyle w:val="ListBullet"/>
        <w:spacing w:after="60"/>
        <w:ind w:left="360"/>
      </w:pPr>
      <w:r>
        <w:rPr>
          <w:b/>
          <w:color w:val="1F2937"/>
        </w:rPr>
        <w:t xml:space="preserve">Automated VAT Lookup: </w:t>
      </w:r>
      <w:r>
        <w:rPr>
          <w:color w:val="1F2937"/>
        </w:rPr>
        <w:t>Formula =IF(I2="S", 5.00, 0.00) prevents manual percentage keying errors.</w:t>
      </w:r>
    </w:p>
    <w:p>
      <w:pPr>
        <w:pStyle w:val="ListBullet"/>
        <w:spacing w:after="60"/>
        <w:ind w:left="360"/>
      </w:pPr>
      <w:r>
        <w:rPr>
          <w:b/>
          <w:color w:val="1F2937"/>
        </w:rPr>
        <w:t xml:space="preserve">Locked Calculation Columns: </w:t>
      </w:r>
      <w:r>
        <w:rPr>
          <w:color w:val="1F2937"/>
        </w:rPr>
        <w:t>Calculated Net, VAT, and Grand Total columns are locked to prevent rounding discrepancies.</w:t>
      </w:r>
    </w:p>
    <w:p>
      <w:pPr>
        <w:keepNext/>
        <w:spacing w:before="320" w:after="80"/>
      </w:pPr>
      <w:r>
        <w:rPr>
          <w:rFonts w:ascii="Calibri" w:hAnsi="Calibri"/>
          <w:b/>
          <w:color w:val="1E3A8A"/>
          <w:sz w:val="30"/>
        </w:rPr>
        <w:t>5. Interactive Web Staging Data Grid UI/UX Specification</w:t>
      </w:r>
    </w:p>
    <w:p>
      <w:pPr>
        <w:spacing w:after="100"/>
      </w:pPr>
      <w:r>
        <w:rPr>
          <w:i w:val="0"/>
          <w:color w:val="1F2937"/>
        </w:rPr>
        <w:t>For Excel/CSV manual uploads, the portal presents an interactive browser-based grid allowing users to spot validation errors, edit cells inline, and re-validate before submitting.</w:t>
      </w:r>
    </w:p>
    <w:p>
      <w:pPr>
        <w:keepNext/>
        <w:spacing w:before="240" w:after="60"/>
      </w:pPr>
      <w:r>
        <w:rPr>
          <w:rFonts w:ascii="Calibri" w:hAnsi="Calibri"/>
          <w:b/>
          <w:color w:val="0D9488"/>
          <w:sz w:val="24"/>
        </w:rPr>
        <w:t>5.1 Layout &amp; Component Architecture</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w:t>
            </w:r>
          </w:p>
          <w:p>
            <w:pPr>
              <w:spacing w:after="0"/>
            </w:pPr>
            <w:r>
              <w:rPr>
                <w:rFonts w:ascii="Consolas" w:hAnsi="Consolas"/>
                <w:color w:val="1E293B"/>
                <w:sz w:val="16"/>
              </w:rPr>
              <w:t>│  [Logo] UAE Middleware | Batch Upload: BATCH-2026-0809-004 (Emirates_Invoices_Aug.xlsx)           │</w:t>
            </w:r>
          </w:p>
          <w:p>
            <w:pPr>
              <w:spacing w:after="0"/>
            </w:pPr>
            <w:r>
              <w:rPr>
                <w:rFonts w:ascii="Consolas" w:hAnsi="Consolas"/>
                <w:color w:val="1E293B"/>
                <w:sz w:val="16"/>
              </w:rPr>
              <w:t>├──────────────────────────────────────────────────────────────────────────────────────────────────┤</w:t>
            </w:r>
          </w:p>
          <w:p>
            <w:pPr>
              <w:spacing w:after="0"/>
            </w:pPr>
            <w:r>
              <w:rPr>
                <w:rFonts w:ascii="Consolas" w:hAnsi="Consolas"/>
                <w:color w:val="1E293B"/>
                <w:sz w:val="16"/>
              </w:rPr>
              <w:t>│  BATCH SUMMARY                                                                                   │</w:t>
            </w:r>
          </w:p>
          <w:p>
            <w:pPr>
              <w:spacing w:after="0"/>
            </w:pPr>
            <w:r>
              <w:rPr>
                <w:rFonts w:ascii="Consolas" w:hAnsi="Consolas"/>
                <w:color w:val="1E293B"/>
                <w:sz w:val="16"/>
              </w:rPr>
              <w:t>│  Status: [ Needs Attention ]   Total: 150 Invoices   Valid: 142 [Green]   Invalid: 8 [Red]      │</w:t>
            </w:r>
          </w:p>
          <w:p>
            <w:pPr>
              <w:spacing w:after="0"/>
            </w:pPr>
            <w:r>
              <w:rPr>
                <w:rFonts w:ascii="Consolas" w:hAnsi="Consolas"/>
                <w:color w:val="1E293B"/>
                <w:sz w:val="16"/>
              </w:rPr>
              <w:t>│  [ Filter: Errors Only (8) ]  [ Auto-Fix Common Defaults ]  [ Re-Validate Batch ]  [ Submit (142) ] │</w:t>
            </w:r>
          </w:p>
          <w:p>
            <w:pPr>
              <w:spacing w:after="0"/>
            </w:pPr>
            <w:r>
              <w:rPr>
                <w:rFonts w:ascii="Consolas" w:hAnsi="Consolas"/>
                <w:color w:val="1E293B"/>
                <w:sz w:val="16"/>
              </w:rPr>
              <w:t>├────────────────────────────────────────────────────────────────────────┬─────────────────────────┤</w:t>
            </w:r>
          </w:p>
          <w:p>
            <w:pPr>
              <w:spacing w:after="0"/>
            </w:pPr>
            <w:r>
              <w:rPr>
                <w:rFonts w:ascii="Consolas" w:hAnsi="Consolas"/>
                <w:color w:val="1E293B"/>
                <w:sz w:val="16"/>
              </w:rPr>
              <w:t>│  INTERACTIVE STAGING DATA GRID                                         │ ERROR AUDIT SIDEBAR     │</w:t>
            </w:r>
          </w:p>
          <w:p>
            <w:pPr>
              <w:spacing w:after="0"/>
            </w:pPr>
            <w:r>
              <w:rPr>
                <w:rFonts w:ascii="Consolas" w:hAnsi="Consolas"/>
                <w:color w:val="1E293B"/>
                <w:sz w:val="16"/>
              </w:rPr>
              <w:t>│  ┌───┬──────────────┬────────────┬──────────────────┬────────────────┐ │ ┌─────────────────────┐ │</w:t>
            </w:r>
          </w:p>
          <w:p>
            <w:pPr>
              <w:spacing w:after="0"/>
            </w:pPr>
            <w:r>
              <w:rPr>
                <w:rFonts w:ascii="Consolas" w:hAnsi="Consolas"/>
                <w:color w:val="1E293B"/>
                <w:sz w:val="16"/>
              </w:rPr>
              <w:t>│  │ # │ Inv Number   │ Issue Date │ Buyer TRN        │ Amount (AED)   │ │ │ 8 Errors Detected   │ │</w:t>
            </w:r>
          </w:p>
          <w:p>
            <w:pPr>
              <w:spacing w:after="0"/>
            </w:pPr>
            <w:r>
              <w:rPr>
                <w:rFonts w:ascii="Consolas" w:hAnsi="Consolas"/>
                <w:color w:val="1E293B"/>
                <w:sz w:val="16"/>
              </w:rPr>
              <w:t>│  ├───┼──────────────┼────────────┼──────────────────┼────────────────┤ │ ├─────────────────────┤ │</w:t>
            </w:r>
          </w:p>
          <w:p>
            <w:pPr>
              <w:spacing w:after="0"/>
            </w:pPr>
            <w:r>
              <w:rPr>
                <w:rFonts w:ascii="Consolas" w:hAnsi="Consolas"/>
                <w:color w:val="1E293B"/>
                <w:sz w:val="16"/>
              </w:rPr>
              <w:t>│  │ 1 │ INV-2026-001 │ 2026-08-01 │ 100384759200003  │ 1,250.00       │ │ │ 🔴 Cell D14 (Inv 12) │ │</w:t>
            </w:r>
          </w:p>
          <w:p>
            <w:pPr>
              <w:spacing w:after="0"/>
            </w:pPr>
            <w:r>
              <w:rPr>
                <w:rFonts w:ascii="Consolas" w:hAnsi="Consolas"/>
                <w:color w:val="1E293B"/>
                <w:sz w:val="16"/>
              </w:rPr>
              <w:t>│  │ 2 │ INV-2026-002 │ 2026-08-01 │ 1002938475       │ 5,400.00       │ │ │ [BR-UAE-08]           │ │</w:t>
            </w:r>
          </w:p>
          <w:p>
            <w:pPr>
              <w:spacing w:after="0"/>
            </w:pPr>
            <w:r>
              <w:rPr>
                <w:rFonts w:ascii="Consolas" w:hAnsi="Consolas"/>
                <w:color w:val="1E293B"/>
                <w:sz w:val="16"/>
              </w:rPr>
              <w:t>│  │   │              │            │ ⚠️ [Invalid TRN] │                │ │ │ TRN must be 15 digits │ │</w:t>
            </w:r>
          </w:p>
          <w:p>
            <w:pPr>
              <w:spacing w:after="0"/>
            </w:pPr>
            <w:r>
              <w:rPr>
                <w:rFonts w:ascii="Consolas" w:hAnsi="Consolas"/>
                <w:color w:val="1E293B"/>
                <w:sz w:val="16"/>
              </w:rPr>
              <w:t>│  │ 3 │ INV-2026-003 │ 2026-08-02 │ 100492817400003  │ 800.00         │ │ │                       │ │</w:t>
            </w:r>
          </w:p>
          <w:p>
            <w:pPr>
              <w:spacing w:after="0"/>
            </w:pPr>
            <w:r>
              <w:rPr>
                <w:rFonts w:ascii="Consolas" w:hAnsi="Consolas"/>
                <w:color w:val="1E293B"/>
                <w:sz w:val="16"/>
              </w:rPr>
              <w:t>│  └───┴──────────────┴────────────┴──────────────────┴────────────────┘ │ │ 🔴 Cell F22 (Inv 18) │ │</w:t>
            </w:r>
          </w:p>
          <w:p>
            <w:pPr>
              <w:spacing w:after="0"/>
            </w:pPr>
            <w:r>
              <w:rPr>
                <w:rFonts w:ascii="Consolas" w:hAnsi="Consolas"/>
                <w:color w:val="1E293B"/>
                <w:sz w:val="16"/>
              </w:rPr>
              <w:t>│  [► Expand Row 2 for Line Items]                                       │ │ │ [BR-UAE-05]           │ │</w:t>
            </w:r>
          </w:p>
          <w:p>
            <w:pPr>
              <w:spacing w:after="0"/>
            </w:pPr>
            <w:r>
              <w:rPr>
                <w:rFonts w:ascii="Consolas" w:hAnsi="Consolas"/>
                <w:color w:val="1E293B"/>
                <w:sz w:val="16"/>
              </w:rPr>
              <w:t>│  ┌───┬──────────────┬────────────┬──────────┬────────┬───────────────┐ │ │ Net + VAT != Grand    │ │</w:t>
            </w:r>
          </w:p>
          <w:p>
            <w:pPr>
              <w:spacing w:after="0"/>
            </w:pPr>
            <w:r>
              <w:rPr>
                <w:rFonts w:ascii="Consolas" w:hAnsi="Consolas"/>
                <w:color w:val="1E293B"/>
                <w:sz w:val="16"/>
              </w:rPr>
              <w:t>│  │   │ Line Item    │ Qty        │ Unit Price│ VAT %  │ Line Total    │ │ └─────────────────────┘ │</w:t>
            </w:r>
          </w:p>
          <w:p>
            <w:pPr>
              <w:spacing w:after="0"/>
            </w:pPr>
            <w:r>
              <w:rPr>
                <w:rFonts w:ascii="Consolas" w:hAnsi="Consolas"/>
                <w:color w:val="1E293B"/>
                <w:sz w:val="16"/>
              </w:rPr>
              <w:t>│  ├───┼──────────────┼────────────┼──────────┼────────┼───────────────┤ │ [ Auto-Scroll ]       │ │</w:t>
            </w:r>
          </w:p>
          <w:p>
            <w:pPr>
              <w:spacing w:after="0"/>
            </w:pPr>
            <w:r>
              <w:rPr>
                <w:rFonts w:ascii="Consolas" w:hAnsi="Consolas"/>
                <w:color w:val="1E293B"/>
                <w:sz w:val="16"/>
              </w:rPr>
              <w:t>│  │2a │ Cloud Hosting│ 1.0        │ 5,000.00 │ 5.00%  │ 5,250.00      │ │                         │</w:t>
            </w:r>
          </w:p>
          <w:p>
            <w:pPr>
              <w:spacing w:after="0"/>
            </w:pPr>
            <w:r>
              <w:rPr>
                <w:rFonts w:ascii="Consolas" w:hAnsi="Consolas"/>
                <w:color w:val="1E293B"/>
                <w:sz w:val="16"/>
              </w:rPr>
              <w:t>│  └───┴──────────────┴────────────┴──────────┴────────┴───────────────┘ │                         │</w:t>
            </w:r>
          </w:p>
          <w:p>
            <w:pPr>
              <w:spacing w:after="0"/>
            </w:pPr>
            <w:r>
              <w:rPr>
                <w:rFonts w:ascii="Consolas" w:hAnsi="Consolas"/>
                <w:color w:val="1E293B"/>
                <w:sz w:val="16"/>
              </w:rPr>
              <w:t>└────────────────────────────────────────────────────────────────────────┴─────────────────────────┘</w:t>
            </w:r>
          </w:p>
        </w:tc>
      </w:tr>
    </w:tbl>
    <w:p>
      <w:pPr>
        <w:spacing w:after="80"/>
      </w:pPr>
    </w:p>
    <w:p>
      <w:pPr>
        <w:keepNext/>
        <w:spacing w:before="240" w:after="60"/>
      </w:pPr>
      <w:r>
        <w:rPr>
          <w:rFonts w:ascii="Calibri" w:hAnsi="Calibri"/>
          <w:b/>
          <w:color w:val="0D9488"/>
          <w:sz w:val="24"/>
        </w:rPr>
        <w:t>5.2 Visual Error Formatting &amp; Hover Tooltips</w:t>
      </w:r>
    </w:p>
    <w:tbl>
      <w:tblPr>
        <w:tblW w:type="auto" w:w="0"/>
        <w:jc w:val="center"/>
        <w:tblLook w:firstColumn="1" w:firstRow="1" w:lastColumn="0" w:lastRow="0" w:noHBand="0" w:noVBand="1" w:val="04A0"/>
      </w:tblPr>
      <w:tblGrid>
        <w:gridCol w:w="2340"/>
        <w:gridCol w:w="2340"/>
        <w:gridCol w:w="2340"/>
        <w:gridCol w:w="2340"/>
      </w:tblGrid>
      <w:tr>
        <w:trPr>
          <w:tblHeader/>
          <w:cantSplit/>
        </w:trPr>
        <w:tc>
          <w:tcPr>
            <w:tcW w:type="dxa" w:w="216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Visual Indicator</w:t>
            </w:r>
          </w:p>
        </w:tc>
        <w:tc>
          <w:tcPr>
            <w:tcW w:type="dxa" w:w="1728"/>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Status</w:t>
            </w:r>
          </w:p>
        </w:tc>
        <w:tc>
          <w:tcPr>
            <w:tcW w:type="dxa" w:w="2592"/>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Grid Cell Behavior</w:t>
            </w:r>
          </w:p>
        </w:tc>
        <w:tc>
          <w:tcPr>
            <w:tcW w:type="dxa" w:w="28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Tooltip Action on Hover</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Solid Red (#FEE2E2)</w:t>
            </w:r>
          </w:p>
        </w:tc>
        <w:tc>
          <w:tcPr>
            <w:tcW w:type="dxa" w:w="17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Fatal Error</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Red border, warning icon, locked submission state.</w:t>
            </w:r>
          </w:p>
        </w:tc>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[BR-UAE-08] Buyer TRN '1002938475' must be 15 digits starting with '1'.</w:t>
            </w:r>
          </w:p>
        </w:tc>
      </w:tr>
      <w:tr>
        <w:trPr>
          <w:cantSplit/>
        </w:trPr>
        <w:tc>
          <w:tcPr>
            <w:tcW w:type="dxa" w:w="216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Yellow (#FEF3C7)</w:t>
            </w:r>
          </w:p>
        </w:tc>
        <w:tc>
          <w:tcPr>
            <w:tcW w:type="dxa" w:w="1728"/>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Warning</w:t>
            </w:r>
          </w:p>
        </w:tc>
        <w:tc>
          <w:tcPr>
            <w:tcW w:type="dxa" w:w="259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Amber border. Submission allowed with flag.</w:t>
            </w:r>
          </w:p>
        </w:tc>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[WRN-UAE-02] Buyer TRN missing. Will process as B2C Simplified Invoice.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Green Flash (#DCFCE7)</w:t>
            </w:r>
          </w:p>
        </w:tc>
        <w:tc>
          <w:tcPr>
            <w:tcW w:type="dxa" w:w="17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Corrected</w:t>
            </w:r>
          </w:p>
        </w:tc>
        <w:tc>
          <w:tcPr>
            <w:tcW w:type="dxa" w:w="259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Flashes green briefly upon successful re-validation.</w:t>
            </w:r>
          </w:p>
        </w:tc>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Re-validated successfully. Previous value: '1002938475'.</w:t>
            </w:r>
          </w:p>
        </w:tc>
      </w:tr>
    </w:tbl>
    <w:p>
      <w:pPr>
        <w:spacing w:after="80"/>
      </w:pPr>
    </w:p>
    <w:p>
      <w:pPr>
        <w:keepNext/>
        <w:spacing w:before="240" w:after="60"/>
      </w:pPr>
      <w:r>
        <w:rPr>
          <w:rFonts w:ascii="Calibri" w:hAnsi="Calibri"/>
          <w:b/>
          <w:color w:val="0D9488"/>
          <w:sz w:val="24"/>
        </w:rPr>
        <w:t>5.3 Inline Editing &amp; Real-Time Recalculation</w:t>
      </w:r>
    </w:p>
    <w:p>
      <w:pPr>
        <w:pStyle w:val="ListBullet"/>
        <w:spacing w:after="60"/>
        <w:ind w:left="360"/>
      </w:pPr>
      <w:r>
        <w:rPr>
          <w:b/>
          <w:color w:val="1F2937"/>
        </w:rPr>
        <w:t xml:space="preserve">Direct Cell Editing: </w:t>
      </w:r>
      <w:r>
        <w:rPr>
          <w:color w:val="1F2937"/>
        </w:rPr>
        <w:t>Double-clicking any cell converts it into an active text input box or picklist.</w:t>
      </w:r>
    </w:p>
    <w:p>
      <w:pPr>
        <w:pStyle w:val="ListBullet"/>
        <w:spacing w:after="60"/>
        <w:ind w:left="360"/>
      </w:pPr>
      <w:r>
        <w:rPr>
          <w:b/>
          <w:color w:val="1F2937"/>
        </w:rPr>
        <w:t xml:space="preserve">Embedded Pickers: </w:t>
      </w:r>
      <w:r>
        <w:rPr>
          <w:color w:val="1F2937"/>
        </w:rPr>
        <w:t>Dropdown pickers embedded for VAT Category (S, Z, E, O), Invoice Type (380, 388, 381, 383), and Emirate.</w:t>
      </w:r>
    </w:p>
    <w:p>
      <w:pPr>
        <w:pStyle w:val="ListBullet"/>
        <w:spacing w:after="60"/>
        <w:ind w:left="360"/>
      </w:pPr>
      <w:r>
        <w:rPr>
          <w:b/>
          <w:color w:val="1F2937"/>
        </w:rPr>
        <w:t xml:space="preserve">Real-Time Recalculation: </w:t>
      </w:r>
      <w:r>
        <w:rPr>
          <w:color w:val="1F2937"/>
        </w:rPr>
        <w:t>Modifying Quantity or Unit Price instantly updates Line Net Amount, Line VAT Amount, and Invoice Grand Total across both detail and master header grids.</w:t>
      </w:r>
    </w:p>
    <w:p>
      <w:pPr>
        <w:keepNext/>
        <w:spacing w:before="240" w:after="60"/>
      </w:pPr>
      <w:r>
        <w:rPr>
          <w:rFonts w:ascii="Calibri" w:hAnsi="Calibri"/>
          <w:b/>
          <w:color w:val="0D9488"/>
          <w:sz w:val="24"/>
        </w:rPr>
        <w:t>5.4 Error Audit Sidebar &amp; State Preservation</w:t>
      </w:r>
    </w:p>
    <w:p>
      <w:pPr>
        <w:pStyle w:val="ListBullet"/>
        <w:spacing w:after="60"/>
        <w:ind w:left="360"/>
      </w:pPr>
      <w:r>
        <w:rPr>
          <w:b/>
          <w:color w:val="1F2937"/>
        </w:rPr>
        <w:t xml:space="preserve">Click-to-Focus Navigation: </w:t>
      </w:r>
      <w:r>
        <w:rPr>
          <w:color w:val="1F2937"/>
        </w:rPr>
        <w:t>Clicking any error item in the sidebar automatically scrolls the grid to the target row/cell and opens edit mode.</w:t>
      </w:r>
    </w:p>
    <w:p>
      <w:pPr>
        <w:pStyle w:val="ListBullet"/>
        <w:spacing w:after="60"/>
        <w:ind w:left="360"/>
      </w:pPr>
      <w:r>
        <w:rPr>
          <w:b/>
          <w:color w:val="1F2937"/>
        </w:rPr>
        <w:t xml:space="preserve">Excel Coordinates Mapping: </w:t>
      </w:r>
      <w:r>
        <w:rPr>
          <w:color w:val="1F2937"/>
        </w:rPr>
        <w:t>Displays exact Excel sheet name and cell reference (e.g., Sheet: Line_Items | Cell: E12) matching the source upload.</w:t>
      </w:r>
    </w:p>
    <w:p>
      <w:pPr>
        <w:pStyle w:val="ListBullet"/>
        <w:spacing w:after="60"/>
        <w:ind w:left="360"/>
      </w:pPr>
      <w:r>
        <w:rPr>
          <w:b/>
          <w:color w:val="1F2937"/>
        </w:rPr>
        <w:t xml:space="preserve">Audit Trail Logging: </w:t>
      </w:r>
      <w:r>
        <w:rPr>
          <w:color w:val="1F2937"/>
        </w:rPr>
        <w:t>Original Excel uploaded file remains untouched in WORM S3, while every inline cell modification generates an entry in audit_trails table.</w:t>
      </w:r>
    </w:p>
    <w:p>
      <w:pPr>
        <w:keepNext/>
        <w:spacing w:before="320" w:after="80"/>
      </w:pPr>
      <w:r>
        <w:rPr>
          <w:rFonts w:ascii="Calibri" w:hAnsi="Calibri"/>
          <w:b/>
          <w:color w:val="1E3A8A"/>
          <w:sz w:val="30"/>
        </w:rPr>
        <w:t>6. Interface &amp; System Data Specifications</w:t>
      </w:r>
    </w:p>
    <w:p>
      <w:pPr>
        <w:keepNext/>
        <w:spacing w:before="240" w:after="60"/>
      </w:pPr>
      <w:r>
        <w:rPr>
          <w:rFonts w:ascii="Calibri" w:hAnsi="Calibri"/>
          <w:b/>
          <w:color w:val="0D9488"/>
          <w:sz w:val="24"/>
        </w:rPr>
        <w:t>6.1 Inbound ERP API Example (JSON Payload)</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w:t>
            </w:r>
          </w:p>
          <w:p>
            <w:pPr>
              <w:spacing w:after="0"/>
            </w:pPr>
            <w:r>
              <w:rPr>
                <w:rFonts w:ascii="Consolas" w:hAnsi="Consolas"/>
                <w:color w:val="1E293B"/>
                <w:sz w:val="16"/>
              </w:rPr>
              <w:t xml:space="preserve">  "tenant_id": "tnt_uae_98765",</w:t>
            </w:r>
          </w:p>
          <w:p>
            <w:pPr>
              <w:spacing w:after="0"/>
            </w:pPr>
            <w:r>
              <w:rPr>
                <w:rFonts w:ascii="Consolas" w:hAnsi="Consolas"/>
                <w:color w:val="1E293B"/>
                <w:sz w:val="16"/>
              </w:rPr>
              <w:t xml:space="preserve">  "invoice_number": "INV-2026-00891",</w:t>
            </w:r>
          </w:p>
          <w:p>
            <w:pPr>
              <w:spacing w:after="0"/>
            </w:pPr>
            <w:r>
              <w:rPr>
                <w:rFonts w:ascii="Consolas" w:hAnsi="Consolas"/>
                <w:color w:val="1E293B"/>
                <w:sz w:val="16"/>
              </w:rPr>
              <w:t xml:space="preserve">  "issue_date": "2026-08-09",</w:t>
            </w:r>
          </w:p>
          <w:p>
            <w:pPr>
              <w:spacing w:after="0"/>
            </w:pPr>
            <w:r>
              <w:rPr>
                <w:rFonts w:ascii="Consolas" w:hAnsi="Consolas"/>
                <w:color w:val="1E293B"/>
                <w:sz w:val="16"/>
              </w:rPr>
              <w:t xml:space="preserve">  "issue_time": "14:30:00",</w:t>
            </w:r>
          </w:p>
          <w:p>
            <w:pPr>
              <w:spacing w:after="0"/>
            </w:pPr>
            <w:r>
              <w:rPr>
                <w:rFonts w:ascii="Consolas" w:hAnsi="Consolas"/>
                <w:color w:val="1E293B"/>
                <w:sz w:val="16"/>
              </w:rPr>
              <w:t xml:space="preserve">  "currency": "AED",</w:t>
            </w:r>
          </w:p>
          <w:p>
            <w:pPr>
              <w:spacing w:after="0"/>
            </w:pPr>
            <w:r>
              <w:rPr>
                <w:rFonts w:ascii="Consolas" w:hAnsi="Consolas"/>
                <w:color w:val="1E293B"/>
                <w:sz w:val="16"/>
              </w:rPr>
              <w:t xml:space="preserve">  "seller": { "name": "Al-Bahar Enterprises LLC", "trn": "100293847500003" },</w:t>
            </w:r>
          </w:p>
          <w:p>
            <w:pPr>
              <w:spacing w:after="0"/>
            </w:pPr>
            <w:r>
              <w:rPr>
                <w:rFonts w:ascii="Consolas" w:hAnsi="Consolas"/>
                <w:color w:val="1E293B"/>
                <w:sz w:val="16"/>
              </w:rPr>
              <w:t xml:space="preserve">  "buyer": { "name": "Emirates Trading Co", "trn": "100384759200003" },</w:t>
            </w:r>
          </w:p>
          <w:p>
            <w:pPr>
              <w:spacing w:after="0"/>
            </w:pPr>
            <w:r>
              <w:rPr>
                <w:rFonts w:ascii="Consolas" w:hAnsi="Consolas"/>
                <w:color w:val="1E293B"/>
                <w:sz w:val="16"/>
              </w:rPr>
              <w:t xml:space="preserve">  "line_items": [</w:t>
            </w:r>
          </w:p>
          <w:p>
            <w:pPr>
              <w:spacing w:after="0"/>
            </w:pPr>
            <w:r>
              <w:rPr>
                <w:rFonts w:ascii="Consolas" w:hAnsi="Consolas"/>
                <w:color w:val="1E293B"/>
                <w:sz w:val="16"/>
              </w:rPr>
              <w:t xml:space="preserve">    {</w:t>
            </w:r>
          </w:p>
          <w:p>
            <w:pPr>
              <w:spacing w:after="0"/>
            </w:pPr>
            <w:r>
              <w:rPr>
                <w:rFonts w:ascii="Consolas" w:hAnsi="Consolas"/>
                <w:color w:val="1E293B"/>
                <w:sz w:val="16"/>
              </w:rPr>
              <w:t xml:space="preserve">      "description": "IT Consulting Services",</w:t>
            </w:r>
          </w:p>
          <w:p>
            <w:pPr>
              <w:spacing w:after="0"/>
            </w:pPr>
            <w:r>
              <w:rPr>
                <w:rFonts w:ascii="Consolas" w:hAnsi="Consolas"/>
                <w:color w:val="1E293B"/>
                <w:sz w:val="16"/>
              </w:rPr>
              <w:t xml:space="preserve">      "quantity": 10,</w:t>
            </w:r>
          </w:p>
          <w:p>
            <w:pPr>
              <w:spacing w:after="0"/>
            </w:pPr>
            <w:r>
              <w:rPr>
                <w:rFonts w:ascii="Consolas" w:hAnsi="Consolas"/>
                <w:color w:val="1E293B"/>
                <w:sz w:val="16"/>
              </w:rPr>
              <w:t xml:space="preserve">      "unit_price": 500.00,</w:t>
            </w:r>
          </w:p>
          <w:p>
            <w:pPr>
              <w:spacing w:after="0"/>
            </w:pPr>
            <w:r>
              <w:rPr>
                <w:rFonts w:ascii="Consolas" w:hAnsi="Consolas"/>
                <w:color w:val="1E293B"/>
                <w:sz w:val="16"/>
              </w:rPr>
              <w:t xml:space="preserve">      "vat_rate": 5.0,</w:t>
            </w:r>
          </w:p>
          <w:p>
            <w:pPr>
              <w:spacing w:after="0"/>
            </w:pPr>
            <w:r>
              <w:rPr>
                <w:rFonts w:ascii="Consolas" w:hAnsi="Consolas"/>
                <w:color w:val="1E293B"/>
                <w:sz w:val="16"/>
              </w:rPr>
              <w:t xml:space="preserve">      "vat_amount": 250.00,</w:t>
            </w:r>
          </w:p>
          <w:p>
            <w:pPr>
              <w:spacing w:after="0"/>
            </w:pPr>
            <w:r>
              <w:rPr>
                <w:rFonts w:ascii="Consolas" w:hAnsi="Consolas"/>
                <w:color w:val="1E293B"/>
                <w:sz w:val="16"/>
              </w:rPr>
              <w:t xml:space="preserve">      "line_total": 5250.00</w:t>
            </w:r>
          </w:p>
          <w:p>
            <w:pPr>
              <w:spacing w:after="0"/>
            </w:pPr>
            <w:r>
              <w:rPr>
                <w:rFonts w:ascii="Consolas" w:hAnsi="Consolas"/>
                <w:color w:val="1E293B"/>
                <w:sz w:val="16"/>
              </w:rPr>
              <w:t xml:space="preserve">    }</w:t>
            </w:r>
          </w:p>
          <w:p>
            <w:pPr>
              <w:spacing w:after="0"/>
            </w:pPr>
            <w:r>
              <w:rPr>
                <w:rFonts w:ascii="Consolas" w:hAnsi="Consolas"/>
                <w:color w:val="1E293B"/>
                <w:sz w:val="16"/>
              </w:rPr>
              <w:t xml:space="preserve">  ]</w:t>
            </w:r>
          </w:p>
          <w:p>
            <w:pPr>
              <w:spacing w:after="0"/>
            </w:pPr>
            <w:r>
              <w:rPr>
                <w:rFonts w:ascii="Consolas" w:hAnsi="Consolas"/>
                <w:color w:val="1E293B"/>
                <w:sz w:val="16"/>
              </w:rPr>
              <w:t>}</w:t>
            </w:r>
          </w:p>
        </w:tc>
      </w:tr>
    </w:tbl>
    <w:p>
      <w:pPr>
        <w:spacing w:after="80"/>
      </w:pPr>
    </w:p>
    <w:p>
      <w:pPr>
        <w:keepNext/>
        <w:spacing w:before="240" w:after="60"/>
      </w:pPr>
      <w:r>
        <w:rPr>
          <w:rFonts w:ascii="Calibri" w:hAnsi="Calibri"/>
          <w:b/>
          <w:color w:val="0D9488"/>
          <w:sz w:val="24"/>
        </w:rPr>
        <w:t>6.2 Phase Transition Architecture (Adapter Pattern)</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export interface IASPService {</w:t>
            </w:r>
          </w:p>
          <w:p>
            <w:pPr>
              <w:spacing w:after="0"/>
            </w:pPr>
            <w:r>
              <w:rPr>
                <w:rFonts w:ascii="Consolas" w:hAnsi="Consolas"/>
                <w:color w:val="1E293B"/>
                <w:sz w:val="16"/>
              </w:rPr>
              <w:t xml:space="preserve">  submitInvoice(invoiceXml: string, tenantConfig: TenantConfig): Promise&lt;ASPResponse&gt;;</w:t>
            </w:r>
          </w:p>
          <w:p>
            <w:pPr>
              <w:spacing w:after="0"/>
            </w:pPr>
            <w:r>
              <w:rPr>
                <w:rFonts w:ascii="Consolas" w:hAnsi="Consolas"/>
                <w:color w:val="1E293B"/>
                <w:sz w:val="16"/>
              </w:rPr>
              <w:t xml:space="preserve">  getInvoiceStatus(transmissionId: string): Promise&lt;ASPStatus&gt;;</w:t>
            </w:r>
          </w:p>
          <w:p>
            <w:pPr>
              <w:spacing w:after="0"/>
            </w:pPr>
            <w:r>
              <w:rPr>
                <w:rFonts w:ascii="Consolas" w:hAnsi="Consolas"/>
                <w:color w:val="1E293B"/>
                <w:sz w:val="16"/>
              </w:rPr>
              <w:t>}</w:t>
            </w:r>
          </w:p>
          <w:p>
            <w:pPr>
              <w:spacing w:after="0"/>
            </w:pPr>
            <w:r>
              <w:rPr>
                <w:rFonts w:ascii="Consolas" w:hAnsi="Consolas"/>
                <w:color w:val="1E293B"/>
                <w:sz w:val="16"/>
              </w:rPr>
            </w:r>
          </w:p>
          <w:p>
            <w:pPr>
              <w:spacing w:after="0"/>
            </w:pPr>
            <w:r>
              <w:rPr>
                <w:rFonts w:ascii="Consolas" w:hAnsi="Consolas"/>
                <w:color w:val="1E293B"/>
                <w:sz w:val="16"/>
              </w:rPr>
              <w:t>export class ThirdPartyASPAdapter implements IASPService {</w:t>
            </w:r>
          </w:p>
          <w:p>
            <w:pPr>
              <w:spacing w:after="0"/>
            </w:pPr>
            <w:r>
              <w:rPr>
                <w:rFonts w:ascii="Consolas" w:hAnsi="Consolas"/>
                <w:color w:val="1E293B"/>
                <w:sz w:val="16"/>
              </w:rPr>
              <w:t xml:space="preserve">  async submitInvoice(invoiceXml: string, tenantConfig: TenantConfig): Promise&lt;ASPResponse&gt; {</w:t>
            </w:r>
          </w:p>
          <w:p>
            <w:pPr>
              <w:spacing w:after="0"/>
            </w:pPr>
            <w:r>
              <w:rPr>
                <w:rFonts w:ascii="Consolas" w:hAnsi="Consolas"/>
                <w:color w:val="1E293B"/>
                <w:sz w:val="16"/>
              </w:rPr>
              <w:t xml:space="preserve">    return await http.post(tenantConfig.aspEndpoint, { xml: invoiceXml });</w:t>
            </w:r>
          </w:p>
          <w:p>
            <w:pPr>
              <w:spacing w:after="0"/>
            </w:pPr>
            <w:r>
              <w:rPr>
                <w:rFonts w:ascii="Consolas" w:hAnsi="Consolas"/>
                <w:color w:val="1E293B"/>
                <w:sz w:val="16"/>
              </w:rPr>
              <w:t xml:space="preserve">  }</w:t>
            </w:r>
          </w:p>
          <w:p>
            <w:pPr>
              <w:spacing w:after="0"/>
            </w:pPr>
            <w:r>
              <w:rPr>
                <w:rFonts w:ascii="Consolas" w:hAnsi="Consolas"/>
                <w:color w:val="1E293B"/>
                <w:sz w:val="16"/>
              </w:rPr>
              <w:t>}</w:t>
            </w:r>
          </w:p>
          <w:p>
            <w:pPr>
              <w:spacing w:after="0"/>
            </w:pPr>
            <w:r>
              <w:rPr>
                <w:rFonts w:ascii="Consolas" w:hAnsi="Consolas"/>
                <w:color w:val="1E293B"/>
                <w:sz w:val="16"/>
              </w:rPr>
            </w:r>
          </w:p>
          <w:p>
            <w:pPr>
              <w:spacing w:after="0"/>
            </w:pPr>
            <w:r>
              <w:rPr>
                <w:rFonts w:ascii="Consolas" w:hAnsi="Consolas"/>
                <w:color w:val="1E293B"/>
                <w:sz w:val="16"/>
              </w:rPr>
              <w:t>export class NativeASPAdapter implements IASPService {</w:t>
            </w:r>
          </w:p>
          <w:p>
            <w:pPr>
              <w:spacing w:after="0"/>
            </w:pPr>
            <w:r>
              <w:rPr>
                <w:rFonts w:ascii="Consolas" w:hAnsi="Consolas"/>
                <w:color w:val="1E293B"/>
                <w:sz w:val="16"/>
              </w:rPr>
              <w:t xml:space="preserve">  async submitInvoice(invoiceXml: string, tenantConfig: TenantConfig): Promise&lt;ASPResponse&gt; {</w:t>
            </w:r>
          </w:p>
          <w:p>
            <w:pPr>
              <w:spacing w:after="0"/>
            </w:pPr>
            <w:r>
              <w:rPr>
                <w:rFonts w:ascii="Consolas" w:hAnsi="Consolas"/>
                <w:color w:val="1E293B"/>
                <w:sz w:val="16"/>
              </w:rPr>
              <w:t xml:space="preserve">    return await as4Engine.sendPeppolMessage(invoiceXml, tenantConfig);</w:t>
            </w:r>
          </w:p>
          <w:p>
            <w:pPr>
              <w:spacing w:after="0"/>
            </w:pPr>
            <w:r>
              <w:rPr>
                <w:rFonts w:ascii="Consolas" w:hAnsi="Consolas"/>
                <w:color w:val="1E293B"/>
                <w:sz w:val="16"/>
              </w:rPr>
              <w:t xml:space="preserve">  }</w:t>
            </w:r>
          </w:p>
          <w:p>
            <w:pPr>
              <w:spacing w:after="0"/>
            </w:pPr>
            <w:r>
              <w:rPr>
                <w:rFonts w:ascii="Consolas" w:hAnsi="Consolas"/>
                <w:color w:val="1E293B"/>
                <w:sz w:val="16"/>
              </w:rPr>
              <w:t>}</w:t>
            </w:r>
          </w:p>
        </w:tc>
      </w:tr>
    </w:tbl>
    <w:p>
      <w:pPr>
        <w:spacing w:after="80"/>
      </w:pPr>
    </w:p>
    <w:p>
      <w:pPr>
        <w:keepNext/>
        <w:spacing w:before="320" w:after="80"/>
      </w:pPr>
      <w:r>
        <w:rPr>
          <w:rFonts w:ascii="Calibri" w:hAnsi="Calibri"/>
          <w:b/>
          <w:color w:val="1E3A8A"/>
          <w:sz w:val="30"/>
        </w:rPr>
        <w:t>7. Database Schema Specification (SQL DDL)</w:t>
      </w:r>
    </w:p>
    <w:p>
      <w:pPr>
        <w:spacing w:after="100"/>
      </w:pPr>
      <w:r>
        <w:rPr>
          <w:i w:val="0"/>
          <w:color w:val="1F2937"/>
        </w:rPr>
        <w:t>PostgreSQL implementation with strict multi-tenant Row-Level Security (RLS), custom enums, and batch tracking tables.</w:t>
      </w:r>
    </w:p>
    <w:p>
      <w:pPr>
        <w:keepNext/>
        <w:spacing w:before="240" w:after="60"/>
      </w:pPr>
      <w:r>
        <w:rPr>
          <w:rFonts w:ascii="Calibri" w:hAnsi="Calibri"/>
          <w:b/>
          <w:color w:val="0D9488"/>
          <w:sz w:val="24"/>
        </w:rPr>
        <w:t>7.1 Extensions &amp; Custom Enums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CREATE EXTENSION IF NOT EXISTS "uuid-ossp";</w:t>
            </w:r>
          </w:p>
          <w:p>
            <w:pPr>
              <w:spacing w:after="0"/>
            </w:pPr>
            <w:r>
              <w:rPr>
                <w:rFonts w:ascii="Consolas" w:hAnsi="Consolas"/>
                <w:color w:val="1E293B"/>
                <w:sz w:val="16"/>
              </w:rPr>
              <w:t>CREATE EXTENSION IF NOT EXISTS "pgcrypto";</w:t>
            </w:r>
          </w:p>
          <w:p>
            <w:pPr>
              <w:spacing w:after="0"/>
            </w:pPr>
            <w:r>
              <w:rPr>
                <w:rFonts w:ascii="Consolas" w:hAnsi="Consolas"/>
                <w:color w:val="1E293B"/>
                <w:sz w:val="16"/>
              </w:rPr>
            </w:r>
          </w:p>
          <w:p>
            <w:pPr>
              <w:spacing w:after="0"/>
            </w:pPr>
            <w:r>
              <w:rPr>
                <w:rFonts w:ascii="Consolas" w:hAnsi="Consolas"/>
                <w:color w:val="1E293B"/>
                <w:sz w:val="16"/>
              </w:rPr>
              <w:t>CREATE TYPE tenant_status AS ENUM ('PENDING', 'ACTIVE', 'SUSPENDED', 'ARCHIVED');</w:t>
            </w:r>
          </w:p>
          <w:p>
            <w:pPr>
              <w:spacing w:after="0"/>
            </w:pPr>
            <w:r>
              <w:rPr>
                <w:rFonts w:ascii="Consolas" w:hAnsi="Consolas"/>
                <w:color w:val="1E293B"/>
                <w:sz w:val="16"/>
              </w:rPr>
              <w:t>CREATE TYPE ingestion_source AS ENUM ('REST_API', 'EXCEL_UPLOAD', 'CSV_UPLOAD', 'SFTP', 'POS_CONNECTOR');</w:t>
            </w:r>
          </w:p>
          <w:p>
            <w:pPr>
              <w:spacing w:after="0"/>
            </w:pPr>
            <w:r>
              <w:rPr>
                <w:rFonts w:ascii="Consolas" w:hAnsi="Consolas"/>
                <w:color w:val="1E293B"/>
                <w:sz w:val="16"/>
              </w:rPr>
              <w:t>CREATE TYPE batch_status AS ENUM ('UPLOADED', 'PARSING', 'STAGED_WITH_ERRORS', 'VALIDATED', 'PROCESSING', 'COMPLETED');</w:t>
            </w:r>
          </w:p>
          <w:p>
            <w:pPr>
              <w:spacing w:after="0"/>
            </w:pPr>
            <w:r>
              <w:rPr>
                <w:rFonts w:ascii="Consolas" w:hAnsi="Consolas"/>
                <w:color w:val="1E293B"/>
                <w:sz w:val="16"/>
              </w:rPr>
              <w:t>CREATE TYPE invoice_type AS ENUM ('TAX_INVOICE', 'SIMPLIFIED_TAX_INVOICE', 'CREDIT_NOTE', 'DEBIT_NOTE');</w:t>
            </w:r>
          </w:p>
          <w:p>
            <w:pPr>
              <w:spacing w:after="0"/>
            </w:pPr>
            <w:r>
              <w:rPr>
                <w:rFonts w:ascii="Consolas" w:hAnsi="Consolas"/>
                <w:color w:val="1E293B"/>
                <w:sz w:val="16"/>
              </w:rPr>
              <w:t>CREATE TYPE invoice_status AS ENUM (</w:t>
            </w:r>
          </w:p>
          <w:p>
            <w:pPr>
              <w:spacing w:after="0"/>
            </w:pPr>
            <w:r>
              <w:rPr>
                <w:rFonts w:ascii="Consolas" w:hAnsi="Consolas"/>
                <w:color w:val="1E293B"/>
                <w:sz w:val="16"/>
              </w:rPr>
              <w:t xml:space="preserve">    'INGESTED', 'VALIDATED', 'VALIDATION_FAILED', </w:t>
            </w:r>
          </w:p>
          <w:p>
            <w:pPr>
              <w:spacing w:after="0"/>
            </w:pPr>
            <w:r>
              <w:rPr>
                <w:rFonts w:ascii="Consolas" w:hAnsi="Consolas"/>
                <w:color w:val="1E293B"/>
                <w:sz w:val="16"/>
              </w:rPr>
              <w:t xml:space="preserve">    'SUBMITTED_TO_ASP', 'ACCEPTED_BY_FTA', 'REJECTED_BY_FTA', 'ARCHIVED'</w:t>
            </w:r>
          </w:p>
          <w:p>
            <w:pPr>
              <w:spacing w:after="0"/>
            </w:pPr>
            <w:r>
              <w:rPr>
                <w:rFonts w:ascii="Consolas" w:hAnsi="Consolas"/>
                <w:color w:val="1E293B"/>
                <w:sz w:val="16"/>
              </w:rPr>
              <w:t>);</w:t>
            </w:r>
          </w:p>
          <w:p>
            <w:pPr>
              <w:spacing w:after="0"/>
            </w:pPr>
            <w:r>
              <w:rPr>
                <w:rFonts w:ascii="Consolas" w:hAnsi="Consolas"/>
                <w:color w:val="1E293B"/>
                <w:sz w:val="16"/>
              </w:rPr>
              <w:t>CREATE TYPE validation_severity AS ENUM ('INFO', 'WARNING', 'ERROR', 'FATAL');</w:t>
            </w:r>
          </w:p>
          <w:p>
            <w:pPr>
              <w:spacing w:after="0"/>
            </w:pPr>
            <w:r>
              <w:rPr>
                <w:rFonts w:ascii="Consolas" w:hAnsi="Consolas"/>
                <w:color w:val="1E293B"/>
                <w:sz w:val="16"/>
              </w:rPr>
              <w:t>CREATE TYPE vat_category AS ENUM ('STANDARD', 'ZERO_RATED', 'EXEMPT', 'OUT_OF_SCOPE');</w:t>
            </w:r>
          </w:p>
        </w:tc>
      </w:tr>
    </w:tbl>
    <w:p>
      <w:pPr>
        <w:spacing w:after="80"/>
      </w:pPr>
    </w:p>
    <w:p>
      <w:pPr>
        <w:keepNext/>
        <w:spacing w:before="240" w:after="60"/>
      </w:pPr>
      <w:r>
        <w:rPr>
          <w:rFonts w:ascii="Calibri" w:hAnsi="Calibri"/>
          <w:b/>
          <w:color w:val="0D9488"/>
          <w:sz w:val="24"/>
        </w:rPr>
        <w:t>7.2 Batch Uploads &amp; Invoices Tables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CREATE TABLE batch_uploads (</w:t>
            </w:r>
          </w:p>
          <w:p>
            <w:pPr>
              <w:spacing w:after="0"/>
            </w:pPr>
            <w:r>
              <w:rPr>
                <w:rFonts w:ascii="Consolas" w:hAnsi="Consolas"/>
                <w:color w:val="1E293B"/>
                <w:sz w:val="16"/>
              </w:rPr>
              <w:t xml:space="preserve">    id UUID PRIMARY KEY DEFAULT uuid_generate_v4(),</w:t>
            </w:r>
          </w:p>
          <w:p>
            <w:pPr>
              <w:spacing w:after="0"/>
            </w:pPr>
            <w:r>
              <w:rPr>
                <w:rFonts w:ascii="Consolas" w:hAnsi="Consolas"/>
                <w:color w:val="1E293B"/>
                <w:sz w:val="16"/>
              </w:rPr>
              <w:t xml:space="preserve">    tenant_id UUID NOT NULL REFERENCES tenants(id) ON DELETE CASCADE,</w:t>
            </w:r>
          </w:p>
          <w:p>
            <w:pPr>
              <w:spacing w:after="0"/>
            </w:pPr>
            <w:r>
              <w:rPr>
                <w:rFonts w:ascii="Consolas" w:hAnsi="Consolas"/>
                <w:color w:val="1E293B"/>
                <w:sz w:val="16"/>
              </w:rPr>
              <w:t xml:space="preserve">    file_name VARCHAR(255) NOT NULL,</w:t>
            </w:r>
          </w:p>
          <w:p>
            <w:pPr>
              <w:spacing w:after="0"/>
            </w:pPr>
            <w:r>
              <w:rPr>
                <w:rFonts w:ascii="Consolas" w:hAnsi="Consolas"/>
                <w:color w:val="1E293B"/>
                <w:sz w:val="16"/>
              </w:rPr>
              <w:t xml:space="preserve">    file_s3_uri VARCHAR(512) NOT NULL,</w:t>
            </w:r>
          </w:p>
          <w:p>
            <w:pPr>
              <w:spacing w:after="0"/>
            </w:pPr>
            <w:r>
              <w:rPr>
                <w:rFonts w:ascii="Consolas" w:hAnsi="Consolas"/>
                <w:color w:val="1E293B"/>
                <w:sz w:val="16"/>
              </w:rPr>
              <w:t xml:space="preserve">    file_hash_sha256 CHAR(64) NOT NULL,</w:t>
            </w:r>
          </w:p>
          <w:p>
            <w:pPr>
              <w:spacing w:after="0"/>
            </w:pPr>
            <w:r>
              <w:rPr>
                <w:rFonts w:ascii="Consolas" w:hAnsi="Consolas"/>
                <w:color w:val="1E293B"/>
                <w:sz w:val="16"/>
              </w:rPr>
              <w:t xml:space="preserve">    total_records INT NOT NULL DEFAULT 0,</w:t>
            </w:r>
          </w:p>
          <w:p>
            <w:pPr>
              <w:spacing w:after="0"/>
            </w:pPr>
            <w:r>
              <w:rPr>
                <w:rFonts w:ascii="Consolas" w:hAnsi="Consolas"/>
                <w:color w:val="1E293B"/>
                <w:sz w:val="16"/>
              </w:rPr>
              <w:t xml:space="preserve">    valid_records INT NOT NULL DEFAULT 0,</w:t>
            </w:r>
          </w:p>
          <w:p>
            <w:pPr>
              <w:spacing w:after="0"/>
            </w:pPr>
            <w:r>
              <w:rPr>
                <w:rFonts w:ascii="Consolas" w:hAnsi="Consolas"/>
                <w:color w:val="1E293B"/>
                <w:sz w:val="16"/>
              </w:rPr>
              <w:t xml:space="preserve">    invalid_records INT NOT NULL DEFAULT 0,</w:t>
            </w:r>
          </w:p>
          <w:p>
            <w:pPr>
              <w:spacing w:after="0"/>
            </w:pPr>
            <w:r>
              <w:rPr>
                <w:rFonts w:ascii="Consolas" w:hAnsi="Consolas"/>
                <w:color w:val="1E293B"/>
                <w:sz w:val="16"/>
              </w:rPr>
              <w:t xml:space="preserve">    status batch_status NOT NULL DEFAULT 'UPLOADED',</w:t>
            </w:r>
          </w:p>
          <w:p>
            <w:pPr>
              <w:spacing w:after="0"/>
            </w:pPr>
            <w:r>
              <w:rPr>
                <w:rFonts w:ascii="Consolas" w:hAnsi="Consolas"/>
                <w:color w:val="1E293B"/>
                <w:sz w:val="16"/>
              </w:rPr>
              <w:t xml:space="preserve">    uploaded_by_user_id UUID,</w:t>
            </w:r>
          </w:p>
          <w:p>
            <w:pPr>
              <w:spacing w:after="0"/>
            </w:pPr>
            <w:r>
              <w:rPr>
                <w:rFonts w:ascii="Consolas" w:hAnsi="Consolas"/>
                <w:color w:val="1E293B"/>
                <w:sz w:val="16"/>
              </w:rPr>
              <w:t xml:space="preserve">    created_at TIMESTAMP WITH TIME ZONE DEFAULT CURRENT_TIMESTAMP,</w:t>
            </w:r>
          </w:p>
          <w:p>
            <w:pPr>
              <w:spacing w:after="0"/>
            </w:pPr>
            <w:r>
              <w:rPr>
                <w:rFonts w:ascii="Consolas" w:hAnsi="Consolas"/>
                <w:color w:val="1E293B"/>
                <w:sz w:val="16"/>
              </w:rPr>
              <w:t xml:space="preserve">    updated_at TIMESTAMP WITH TIME ZONE DEFAULT CURRENT_TIMESTAMP</w:t>
            </w:r>
          </w:p>
          <w:p>
            <w:pPr>
              <w:spacing w:after="0"/>
            </w:pPr>
            <w:r>
              <w:rPr>
                <w:rFonts w:ascii="Consolas" w:hAnsi="Consolas"/>
                <w:color w:val="1E293B"/>
                <w:sz w:val="16"/>
              </w:rPr>
              <w:t>);</w:t>
            </w:r>
          </w:p>
          <w:p>
            <w:pPr>
              <w:spacing w:after="0"/>
            </w:pPr>
            <w:r>
              <w:rPr>
                <w:rFonts w:ascii="Consolas" w:hAnsi="Consolas"/>
                <w:color w:val="1E293B"/>
                <w:sz w:val="16"/>
              </w:rPr>
            </w:r>
          </w:p>
          <w:p>
            <w:pPr>
              <w:spacing w:after="0"/>
            </w:pPr>
            <w:r>
              <w:rPr>
                <w:rFonts w:ascii="Consolas" w:hAnsi="Consolas"/>
                <w:color w:val="1E293B"/>
                <w:sz w:val="16"/>
              </w:rPr>
              <w:t>CREATE TABLE invoices (</w:t>
            </w:r>
          </w:p>
          <w:p>
            <w:pPr>
              <w:spacing w:after="0"/>
            </w:pPr>
            <w:r>
              <w:rPr>
                <w:rFonts w:ascii="Consolas" w:hAnsi="Consolas"/>
                <w:color w:val="1E293B"/>
                <w:sz w:val="16"/>
              </w:rPr>
              <w:t xml:space="preserve">    id UUID PRIMARY KEY DEFAULT uuid_generate_v4(),</w:t>
            </w:r>
          </w:p>
          <w:p>
            <w:pPr>
              <w:spacing w:after="0"/>
            </w:pPr>
            <w:r>
              <w:rPr>
                <w:rFonts w:ascii="Consolas" w:hAnsi="Consolas"/>
                <w:color w:val="1E293B"/>
                <w:sz w:val="16"/>
              </w:rPr>
              <w:t xml:space="preserve">    tenant_id UUID NOT NULL REFERENCES tenants(id) ON DELETE RESTRICT,</w:t>
            </w:r>
          </w:p>
          <w:p>
            <w:pPr>
              <w:spacing w:after="0"/>
            </w:pPr>
            <w:r>
              <w:rPr>
                <w:rFonts w:ascii="Consolas" w:hAnsi="Consolas"/>
                <w:color w:val="1E293B"/>
                <w:sz w:val="16"/>
              </w:rPr>
              <w:t xml:space="preserve">    batch_upload_id UUID REFERENCES batch_uploads(id) ON DELETE SET NULL,</w:t>
            </w:r>
          </w:p>
          <w:p>
            <w:pPr>
              <w:spacing w:after="0"/>
            </w:pPr>
            <w:r>
              <w:rPr>
                <w:rFonts w:ascii="Consolas" w:hAnsi="Consolas"/>
                <w:color w:val="1E293B"/>
                <w:sz w:val="16"/>
              </w:rPr>
              <w:t xml:space="preserve">    source_channel ingestion_source NOT NULL DEFAULT 'REST_API',</w:t>
            </w:r>
          </w:p>
          <w:p>
            <w:pPr>
              <w:spacing w:after="0"/>
            </w:pPr>
            <w:r>
              <w:rPr>
                <w:rFonts w:ascii="Consolas" w:hAnsi="Consolas"/>
                <w:color w:val="1E293B"/>
                <w:sz w:val="16"/>
              </w:rPr>
              <w:t xml:space="preserve">    excel_row_index INT,</w:t>
            </w:r>
          </w:p>
          <w:p>
            <w:pPr>
              <w:spacing w:after="0"/>
            </w:pPr>
            <w:r>
              <w:rPr>
                <w:rFonts w:ascii="Consolas" w:hAnsi="Consolas"/>
                <w:color w:val="1E293B"/>
                <w:sz w:val="16"/>
              </w:rPr>
              <w:t xml:space="preserve">    peppol_uuid UUID NOT NULL DEFAULT uuid_generate_v4(),</w:t>
            </w:r>
          </w:p>
          <w:p>
            <w:pPr>
              <w:spacing w:after="0"/>
            </w:pPr>
            <w:r>
              <w:rPr>
                <w:rFonts w:ascii="Consolas" w:hAnsi="Consolas"/>
                <w:color w:val="1E293B"/>
                <w:sz w:val="16"/>
              </w:rPr>
              <w:t xml:space="preserve">    invoice_number VARCHAR(100) NOT NULL,</w:t>
            </w:r>
          </w:p>
          <w:p>
            <w:pPr>
              <w:spacing w:after="0"/>
            </w:pPr>
            <w:r>
              <w:rPr>
                <w:rFonts w:ascii="Consolas" w:hAnsi="Consolas"/>
                <w:color w:val="1E293B"/>
                <w:sz w:val="16"/>
              </w:rPr>
              <w:t xml:space="preserve">    invoice_type invoice_type NOT NULL DEFAULT 'TAX_INVOICE',</w:t>
            </w:r>
          </w:p>
          <w:p>
            <w:pPr>
              <w:spacing w:after="0"/>
            </w:pPr>
            <w:r>
              <w:rPr>
                <w:rFonts w:ascii="Consolas" w:hAnsi="Consolas"/>
                <w:color w:val="1E293B"/>
                <w:sz w:val="16"/>
              </w:rPr>
              <w:t xml:space="preserve">    issue_date DATE NOT NULL,</w:t>
            </w:r>
          </w:p>
          <w:p>
            <w:pPr>
              <w:spacing w:after="0"/>
            </w:pPr>
            <w:r>
              <w:rPr>
                <w:rFonts w:ascii="Consolas" w:hAnsi="Consolas"/>
                <w:color w:val="1E293B"/>
                <w:sz w:val="16"/>
              </w:rPr>
              <w:t xml:space="preserve">    issue_time TIME NOT NULL,</w:t>
            </w:r>
          </w:p>
          <w:p>
            <w:pPr>
              <w:spacing w:after="0"/>
            </w:pPr>
            <w:r>
              <w:rPr>
                <w:rFonts w:ascii="Consolas" w:hAnsi="Consolas"/>
                <w:color w:val="1E293B"/>
                <w:sz w:val="16"/>
              </w:rPr>
              <w:t xml:space="preserve">    currency_code CHAR(3) NOT NULL DEFAULT 'AED',</w:t>
            </w:r>
          </w:p>
          <w:p>
            <w:pPr>
              <w:spacing w:after="0"/>
            </w:pPr>
            <w:r>
              <w:rPr>
                <w:rFonts w:ascii="Consolas" w:hAnsi="Consolas"/>
                <w:color w:val="1E293B"/>
                <w:sz w:val="16"/>
              </w:rPr>
              <w:t xml:space="preserve">    exchange_rate NUMERIC(12, 6) NOT NULL DEFAULT 1.000000,</w:t>
            </w:r>
          </w:p>
          <w:p>
            <w:pPr>
              <w:spacing w:after="0"/>
            </w:pPr>
            <w:r>
              <w:rPr>
                <w:rFonts w:ascii="Consolas" w:hAnsi="Consolas"/>
                <w:color w:val="1E293B"/>
                <w:sz w:val="16"/>
              </w:rPr>
              <w:t xml:space="preserve">    seller_trn VARCHAR(15) NOT NULL,</w:t>
            </w:r>
          </w:p>
          <w:p>
            <w:pPr>
              <w:spacing w:after="0"/>
            </w:pPr>
            <w:r>
              <w:rPr>
                <w:rFonts w:ascii="Consolas" w:hAnsi="Consolas"/>
                <w:color w:val="1E293B"/>
                <w:sz w:val="16"/>
              </w:rPr>
              <w:t xml:space="preserve">    seller_name VARCHAR(255) NOT NULL,</w:t>
            </w:r>
          </w:p>
          <w:p>
            <w:pPr>
              <w:spacing w:after="0"/>
            </w:pPr>
            <w:r>
              <w:rPr>
                <w:rFonts w:ascii="Consolas" w:hAnsi="Consolas"/>
                <w:color w:val="1E293B"/>
                <w:sz w:val="16"/>
              </w:rPr>
              <w:t xml:space="preserve">    buyer_trn VARCHAR(15),</w:t>
            </w:r>
          </w:p>
          <w:p>
            <w:pPr>
              <w:spacing w:after="0"/>
            </w:pPr>
            <w:r>
              <w:rPr>
                <w:rFonts w:ascii="Consolas" w:hAnsi="Consolas"/>
                <w:color w:val="1E293B"/>
                <w:sz w:val="16"/>
              </w:rPr>
              <w:t xml:space="preserve">    buyer_name VARCHAR(255) NOT NULL,</w:t>
            </w:r>
          </w:p>
          <w:p>
            <w:pPr>
              <w:spacing w:after="0"/>
            </w:pPr>
            <w:r>
              <w:rPr>
                <w:rFonts w:ascii="Consolas" w:hAnsi="Consolas"/>
                <w:color w:val="1E293B"/>
                <w:sz w:val="16"/>
              </w:rPr>
              <w:t xml:space="preserve">    line_extension_amount NUMERIC(15, 2) NOT NULL,</w:t>
            </w:r>
          </w:p>
          <w:p>
            <w:pPr>
              <w:spacing w:after="0"/>
            </w:pPr>
            <w:r>
              <w:rPr>
                <w:rFonts w:ascii="Consolas" w:hAnsi="Consolas"/>
                <w:color w:val="1E293B"/>
                <w:sz w:val="16"/>
              </w:rPr>
              <w:t xml:space="preserve">    tax_exclusive_amount NUMERIC(15, 2) NOT NULL,</w:t>
            </w:r>
          </w:p>
          <w:p>
            <w:pPr>
              <w:spacing w:after="0"/>
            </w:pPr>
            <w:r>
              <w:rPr>
                <w:rFonts w:ascii="Consolas" w:hAnsi="Consolas"/>
                <w:color w:val="1E293B"/>
                <w:sz w:val="16"/>
              </w:rPr>
              <w:t xml:space="preserve">    tax_inclusive_amount NUMERIC(15, 2) NOT NULL,</w:t>
            </w:r>
          </w:p>
          <w:p>
            <w:pPr>
              <w:spacing w:after="0"/>
            </w:pPr>
            <w:r>
              <w:rPr>
                <w:rFonts w:ascii="Consolas" w:hAnsi="Consolas"/>
                <w:color w:val="1E293B"/>
                <w:sz w:val="16"/>
              </w:rPr>
              <w:t xml:space="preserve">    vat_total_amount NUMERIC(15, 2) NOT NULL,</w:t>
            </w:r>
          </w:p>
          <w:p>
            <w:pPr>
              <w:spacing w:after="0"/>
            </w:pPr>
            <w:r>
              <w:rPr>
                <w:rFonts w:ascii="Consolas" w:hAnsi="Consolas"/>
                <w:color w:val="1E293B"/>
                <w:sz w:val="16"/>
              </w:rPr>
              <w:t xml:space="preserve">    payable_amount NUMERIC(15, 2) NOT NULL,</w:t>
            </w:r>
          </w:p>
          <w:p>
            <w:pPr>
              <w:spacing w:after="0"/>
            </w:pPr>
            <w:r>
              <w:rPr>
                <w:rFonts w:ascii="Consolas" w:hAnsi="Consolas"/>
                <w:color w:val="1E293B"/>
                <w:sz w:val="16"/>
              </w:rPr>
              <w:t xml:space="preserve">    payable_amount_aed NUMERIC(15, 2) NOT NULL,</w:t>
            </w:r>
          </w:p>
          <w:p>
            <w:pPr>
              <w:spacing w:after="0"/>
            </w:pPr>
            <w:r>
              <w:rPr>
                <w:rFonts w:ascii="Consolas" w:hAnsi="Consolas"/>
                <w:color w:val="1E293B"/>
                <w:sz w:val="16"/>
              </w:rPr>
              <w:t xml:space="preserve">    status invoice_status NOT NULL DEFAULT 'INGESTED',</w:t>
            </w:r>
          </w:p>
          <w:p>
            <w:pPr>
              <w:spacing w:after="0"/>
            </w:pPr>
            <w:r>
              <w:rPr>
                <w:rFonts w:ascii="Consolas" w:hAnsi="Consolas"/>
                <w:color w:val="1E293B"/>
                <w:sz w:val="16"/>
              </w:rPr>
              <w:t xml:space="preserve">    qr_code_data TEXT,</w:t>
            </w:r>
          </w:p>
          <w:p>
            <w:pPr>
              <w:spacing w:after="0"/>
            </w:pPr>
            <w:r>
              <w:rPr>
                <w:rFonts w:ascii="Consolas" w:hAnsi="Consolas"/>
                <w:color w:val="1E293B"/>
                <w:sz w:val="16"/>
              </w:rPr>
              <w:t xml:space="preserve">    ubl_xml_s3_uri VARCHAR(512),</w:t>
            </w:r>
          </w:p>
          <w:p>
            <w:pPr>
              <w:spacing w:after="0"/>
            </w:pPr>
            <w:r>
              <w:rPr>
                <w:rFonts w:ascii="Consolas" w:hAnsi="Consolas"/>
                <w:color w:val="1E293B"/>
                <w:sz w:val="16"/>
              </w:rPr>
              <w:t xml:space="preserve">    ubl_xml_sha256 CHAR(64),</w:t>
            </w:r>
          </w:p>
          <w:p>
            <w:pPr>
              <w:spacing w:after="0"/>
            </w:pPr>
            <w:r>
              <w:rPr>
                <w:rFonts w:ascii="Consolas" w:hAnsi="Consolas"/>
                <w:color w:val="1E293B"/>
                <w:sz w:val="16"/>
              </w:rPr>
              <w:t xml:space="preserve">    raw_payload_json JSONB,</w:t>
            </w:r>
          </w:p>
          <w:p>
            <w:pPr>
              <w:spacing w:after="0"/>
            </w:pPr>
            <w:r>
              <w:rPr>
                <w:rFonts w:ascii="Consolas" w:hAnsi="Consolas"/>
                <w:color w:val="1E293B"/>
                <w:sz w:val="16"/>
              </w:rPr>
              <w:t xml:space="preserve">    created_at TIMESTAMP WITH TIME ZONE DEFAULT CURRENT_TIMESTAMP,</w:t>
            </w:r>
          </w:p>
          <w:p>
            <w:pPr>
              <w:spacing w:after="0"/>
            </w:pPr>
            <w:r>
              <w:rPr>
                <w:rFonts w:ascii="Consolas" w:hAnsi="Consolas"/>
                <w:color w:val="1E293B"/>
                <w:sz w:val="16"/>
              </w:rPr>
              <w:t xml:space="preserve">    updated_at TIMESTAMP WITH TIME ZONE DEFAULT CURRENT_TIMESTAMP,</w:t>
            </w:r>
          </w:p>
          <w:p>
            <w:pPr>
              <w:spacing w:after="0"/>
            </w:pPr>
            <w:r>
              <w:rPr>
                <w:rFonts w:ascii="Consolas" w:hAnsi="Consolas"/>
                <w:color w:val="1E293B"/>
                <w:sz w:val="16"/>
              </w:rPr>
              <w:t xml:space="preserve">    CONSTRAINT uq_tenant_invoice_num UNIQUE (tenant_id, invoice_number)</w:t>
            </w:r>
          </w:p>
          <w:p>
            <w:pPr>
              <w:spacing w:after="0"/>
            </w:pPr>
            <w:r>
              <w:rPr>
                <w:rFonts w:ascii="Consolas" w:hAnsi="Consolas"/>
                <w:color w:val="1E293B"/>
                <w:sz w:val="16"/>
              </w:rPr>
              <w:t>);</w:t>
            </w:r>
          </w:p>
        </w:tc>
      </w:tr>
    </w:tbl>
    <w:p>
      <w:pPr>
        <w:spacing w:after="80"/>
      </w:pPr>
    </w:p>
    <w:p>
      <w:pPr>
        <w:keepNext/>
        <w:spacing w:before="240" w:after="60"/>
      </w:pPr>
      <w:r>
        <w:rPr>
          <w:rFonts w:ascii="Calibri" w:hAnsi="Calibri"/>
          <w:b/>
          <w:color w:val="0D9488"/>
          <w:sz w:val="24"/>
        </w:rPr>
        <w:t>7.3 Validation Logs (Cell Mapping) &amp; Audit Trails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CREATE TABLE validation_logs (</w:t>
            </w:r>
          </w:p>
          <w:p>
            <w:pPr>
              <w:spacing w:after="0"/>
            </w:pPr>
            <w:r>
              <w:rPr>
                <w:rFonts w:ascii="Consolas" w:hAnsi="Consolas"/>
                <w:color w:val="1E293B"/>
                <w:sz w:val="16"/>
              </w:rPr>
              <w:t xml:space="preserve">    id UUID PRIMARY KEY DEFAULT uuid_generate_v4(),</w:t>
            </w:r>
          </w:p>
          <w:p>
            <w:pPr>
              <w:spacing w:after="0"/>
            </w:pPr>
            <w:r>
              <w:rPr>
                <w:rFonts w:ascii="Consolas" w:hAnsi="Consolas"/>
                <w:color w:val="1E293B"/>
                <w:sz w:val="16"/>
              </w:rPr>
              <w:t xml:space="preserve">    tenant_id UUID NOT NULL REFERENCES tenants(id) ON DELETE CASCADE,</w:t>
            </w:r>
          </w:p>
          <w:p>
            <w:pPr>
              <w:spacing w:after="0"/>
            </w:pPr>
            <w:r>
              <w:rPr>
                <w:rFonts w:ascii="Consolas" w:hAnsi="Consolas"/>
                <w:color w:val="1E293B"/>
                <w:sz w:val="16"/>
              </w:rPr>
              <w:t xml:space="preserve">    invoice_id UUID NOT NULL REFERENCES invoices(id) ON DELETE CASCADE,</w:t>
            </w:r>
          </w:p>
          <w:p>
            <w:pPr>
              <w:spacing w:after="0"/>
            </w:pPr>
            <w:r>
              <w:rPr>
                <w:rFonts w:ascii="Consolas" w:hAnsi="Consolas"/>
                <w:color w:val="1E293B"/>
                <w:sz w:val="16"/>
              </w:rPr>
              <w:t xml:space="preserve">    rule_code VARCHAR(50) NOT NULL,</w:t>
            </w:r>
          </w:p>
          <w:p>
            <w:pPr>
              <w:spacing w:after="0"/>
            </w:pPr>
            <w:r>
              <w:rPr>
                <w:rFonts w:ascii="Consolas" w:hAnsi="Consolas"/>
                <w:color w:val="1E293B"/>
                <w:sz w:val="16"/>
              </w:rPr>
              <w:t xml:space="preserve">    severity validation_severity NOT NULL DEFAULT 'ERROR',</w:t>
            </w:r>
          </w:p>
          <w:p>
            <w:pPr>
              <w:spacing w:after="0"/>
            </w:pPr>
            <w:r>
              <w:rPr>
                <w:rFonts w:ascii="Consolas" w:hAnsi="Consolas"/>
                <w:color w:val="1E293B"/>
                <w:sz w:val="16"/>
              </w:rPr>
              <w:t xml:space="preserve">    json_path VARCHAR(255),</w:t>
            </w:r>
          </w:p>
          <w:p>
            <w:pPr>
              <w:spacing w:after="0"/>
            </w:pPr>
            <w:r>
              <w:rPr>
                <w:rFonts w:ascii="Consolas" w:hAnsi="Consolas"/>
                <w:color w:val="1E293B"/>
                <w:sz w:val="16"/>
              </w:rPr>
              <w:t xml:space="preserve">    excel_sheet_name VARCHAR(100),</w:t>
            </w:r>
          </w:p>
          <w:p>
            <w:pPr>
              <w:spacing w:after="0"/>
            </w:pPr>
            <w:r>
              <w:rPr>
                <w:rFonts w:ascii="Consolas" w:hAnsi="Consolas"/>
                <w:color w:val="1E293B"/>
                <w:sz w:val="16"/>
              </w:rPr>
              <w:t xml:space="preserve">    excel_cell_reference VARCHAR(10),</w:t>
            </w:r>
          </w:p>
          <w:p>
            <w:pPr>
              <w:spacing w:after="0"/>
            </w:pPr>
            <w:r>
              <w:rPr>
                <w:rFonts w:ascii="Consolas" w:hAnsi="Consolas"/>
                <w:color w:val="1E293B"/>
                <w:sz w:val="16"/>
              </w:rPr>
              <w:t xml:space="preserve">    error_message TEXT NOT NULL,</w:t>
            </w:r>
          </w:p>
          <w:p>
            <w:pPr>
              <w:spacing w:after="0"/>
            </w:pPr>
            <w:r>
              <w:rPr>
                <w:rFonts w:ascii="Consolas" w:hAnsi="Consolas"/>
                <w:color w:val="1E293B"/>
                <w:sz w:val="16"/>
              </w:rPr>
              <w:t xml:space="preserve">    created_at TIMESTAMP WITH TIME ZONE DEFAULT CURRENT_TIMESTAMP</w:t>
            </w:r>
          </w:p>
          <w:p>
            <w:pPr>
              <w:spacing w:after="0"/>
            </w:pPr>
            <w:r>
              <w:rPr>
                <w:rFonts w:ascii="Consolas" w:hAnsi="Consolas"/>
                <w:color w:val="1E293B"/>
                <w:sz w:val="16"/>
              </w:rPr>
              <w:t>);</w:t>
            </w:r>
          </w:p>
          <w:p>
            <w:pPr>
              <w:spacing w:after="0"/>
            </w:pPr>
            <w:r>
              <w:rPr>
                <w:rFonts w:ascii="Consolas" w:hAnsi="Consolas"/>
                <w:color w:val="1E293B"/>
                <w:sz w:val="16"/>
              </w:rPr>
            </w:r>
          </w:p>
          <w:p>
            <w:pPr>
              <w:spacing w:after="0"/>
            </w:pPr>
            <w:r>
              <w:rPr>
                <w:rFonts w:ascii="Consolas" w:hAnsi="Consolas"/>
                <w:color w:val="1E293B"/>
                <w:sz w:val="16"/>
              </w:rPr>
              <w:t>CREATE TABLE audit_trails (</w:t>
            </w:r>
          </w:p>
          <w:p>
            <w:pPr>
              <w:spacing w:after="0"/>
            </w:pPr>
            <w:r>
              <w:rPr>
                <w:rFonts w:ascii="Consolas" w:hAnsi="Consolas"/>
                <w:color w:val="1E293B"/>
                <w:sz w:val="16"/>
              </w:rPr>
              <w:t xml:space="preserve">    id BIGSERIAL PRIMARY KEY,</w:t>
            </w:r>
          </w:p>
          <w:p>
            <w:pPr>
              <w:spacing w:after="0"/>
            </w:pPr>
            <w:r>
              <w:rPr>
                <w:rFonts w:ascii="Consolas" w:hAnsi="Consolas"/>
                <w:color w:val="1E293B"/>
                <w:sz w:val="16"/>
              </w:rPr>
              <w:t xml:space="preserve">    tenant_id UUID REFERENCES tenants(id) ON DELETE SET NULL,</w:t>
            </w:r>
          </w:p>
          <w:p>
            <w:pPr>
              <w:spacing w:after="0"/>
            </w:pPr>
            <w:r>
              <w:rPr>
                <w:rFonts w:ascii="Consolas" w:hAnsi="Consolas"/>
                <w:color w:val="1E293B"/>
                <w:sz w:val="16"/>
              </w:rPr>
              <w:t xml:space="preserve">    actor_id UUID,</w:t>
            </w:r>
          </w:p>
          <w:p>
            <w:pPr>
              <w:spacing w:after="0"/>
            </w:pPr>
            <w:r>
              <w:rPr>
                <w:rFonts w:ascii="Consolas" w:hAnsi="Consolas"/>
                <w:color w:val="1E293B"/>
                <w:sz w:val="16"/>
              </w:rPr>
              <w:t xml:space="preserve">    actor_type VARCHAR(50) NOT NULL,</w:t>
            </w:r>
          </w:p>
          <w:p>
            <w:pPr>
              <w:spacing w:after="0"/>
            </w:pPr>
            <w:r>
              <w:rPr>
                <w:rFonts w:ascii="Consolas" w:hAnsi="Consolas"/>
                <w:color w:val="1E293B"/>
                <w:sz w:val="16"/>
              </w:rPr>
              <w:t xml:space="preserve">    action VARCHAR(100) NOT NULL,</w:t>
            </w:r>
          </w:p>
          <w:p>
            <w:pPr>
              <w:spacing w:after="0"/>
            </w:pPr>
            <w:r>
              <w:rPr>
                <w:rFonts w:ascii="Consolas" w:hAnsi="Consolas"/>
                <w:color w:val="1E293B"/>
                <w:sz w:val="16"/>
              </w:rPr>
              <w:t xml:space="preserve">    resource_type VARCHAR(50) NOT NULL,</w:t>
            </w:r>
          </w:p>
          <w:p>
            <w:pPr>
              <w:spacing w:after="0"/>
            </w:pPr>
            <w:r>
              <w:rPr>
                <w:rFonts w:ascii="Consolas" w:hAnsi="Consolas"/>
                <w:color w:val="1E293B"/>
                <w:sz w:val="16"/>
              </w:rPr>
              <w:t xml:space="preserve">    resource_id VARCHAR(255),</w:t>
            </w:r>
          </w:p>
          <w:p>
            <w:pPr>
              <w:spacing w:after="0"/>
            </w:pPr>
            <w:r>
              <w:rPr>
                <w:rFonts w:ascii="Consolas" w:hAnsi="Consolas"/>
                <w:color w:val="1E293B"/>
                <w:sz w:val="16"/>
              </w:rPr>
              <w:t xml:space="preserve">    ip_address INET,</w:t>
            </w:r>
          </w:p>
          <w:p>
            <w:pPr>
              <w:spacing w:after="0"/>
            </w:pPr>
            <w:r>
              <w:rPr>
                <w:rFonts w:ascii="Consolas" w:hAnsi="Consolas"/>
                <w:color w:val="1E293B"/>
                <w:sz w:val="16"/>
              </w:rPr>
              <w:t xml:space="preserve">    user_agent TEXT,</w:t>
            </w:r>
          </w:p>
          <w:p>
            <w:pPr>
              <w:spacing w:after="0"/>
            </w:pPr>
            <w:r>
              <w:rPr>
                <w:rFonts w:ascii="Consolas" w:hAnsi="Consolas"/>
                <w:color w:val="1E293B"/>
                <w:sz w:val="16"/>
              </w:rPr>
              <w:t xml:space="preserve">    changes JSONB,</w:t>
            </w:r>
          </w:p>
          <w:p>
            <w:pPr>
              <w:spacing w:after="0"/>
            </w:pPr>
            <w:r>
              <w:rPr>
                <w:rFonts w:ascii="Consolas" w:hAnsi="Consolas"/>
                <w:color w:val="1E293B"/>
                <w:sz w:val="16"/>
              </w:rPr>
              <w:t xml:space="preserve">    created_at TIMESTAMP WITH TIME ZONE DEFAULT CURRENT_TIMESTAMP</w:t>
            </w:r>
          </w:p>
          <w:p>
            <w:pPr>
              <w:spacing w:after="0"/>
            </w:pPr>
            <w:r>
              <w:rPr>
                <w:rFonts w:ascii="Consolas" w:hAnsi="Consolas"/>
                <w:color w:val="1E293B"/>
                <w:sz w:val="16"/>
              </w:rPr>
              <w:t>);</w:t>
            </w:r>
          </w:p>
        </w:tc>
      </w:tr>
    </w:tbl>
    <w:p>
      <w:pPr>
        <w:spacing w:after="80"/>
      </w:pPr>
    </w:p>
    <w:p>
      <w:pPr>
        <w:keepNext/>
        <w:spacing w:before="240" w:after="60"/>
      </w:pPr>
      <w:r>
        <w:rPr>
          <w:rFonts w:ascii="Calibri" w:hAnsi="Calibri"/>
          <w:b/>
          <w:color w:val="0D9488"/>
          <w:sz w:val="24"/>
        </w:rPr>
        <w:t>7.4 Row-Level Security (RLS)</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ALTER TABLE invoices ENABLE ROW LEVEL SECURITY;</w:t>
            </w:r>
          </w:p>
          <w:p>
            <w:pPr>
              <w:spacing w:after="0"/>
            </w:pPr>
            <w:r>
              <w:rPr>
                <w:rFonts w:ascii="Consolas" w:hAnsi="Consolas"/>
                <w:color w:val="1E293B"/>
                <w:sz w:val="16"/>
              </w:rPr>
              <w:t>ALTER TABLE invoice_line_items ENABLE ROW LEVEL SECURITY;</w:t>
            </w:r>
          </w:p>
          <w:p>
            <w:pPr>
              <w:spacing w:after="0"/>
            </w:pPr>
            <w:r>
              <w:rPr>
                <w:rFonts w:ascii="Consolas" w:hAnsi="Consolas"/>
                <w:color w:val="1E293B"/>
                <w:sz w:val="16"/>
              </w:rPr>
            </w:r>
          </w:p>
          <w:p>
            <w:pPr>
              <w:spacing w:after="0"/>
            </w:pPr>
            <w:r>
              <w:rPr>
                <w:rFonts w:ascii="Consolas" w:hAnsi="Consolas"/>
                <w:color w:val="1E293B"/>
                <w:sz w:val="16"/>
              </w:rPr>
              <w:t>CREATE POLICY tenant_isolation_invoices ON invoices</w:t>
            </w:r>
          </w:p>
          <w:p>
            <w:pPr>
              <w:spacing w:after="0"/>
            </w:pPr>
            <w:r>
              <w:rPr>
                <w:rFonts w:ascii="Consolas" w:hAnsi="Consolas"/>
                <w:color w:val="1E293B"/>
                <w:sz w:val="16"/>
              </w:rPr>
              <w:t xml:space="preserve">    AS RESTRICTIVE</w:t>
            </w:r>
          </w:p>
          <w:p>
            <w:pPr>
              <w:spacing w:after="0"/>
            </w:pPr>
            <w:r>
              <w:rPr>
                <w:rFonts w:ascii="Consolas" w:hAnsi="Consolas"/>
                <w:color w:val="1E293B"/>
                <w:sz w:val="16"/>
              </w:rPr>
              <w:t xml:space="preserve">    USING (tenant_id = NULLIF(current_setting('app.current_tenant_id', true), '')::UUID);</w:t>
            </w:r>
          </w:p>
        </w:tc>
      </w:tr>
    </w:tbl>
    <w:p>
      <w:pPr>
        <w:spacing w:after="80"/>
      </w:pPr>
    </w:p>
    <w:p>
      <w:pPr>
        <w:keepNext/>
        <w:spacing w:before="320" w:after="80"/>
      </w:pPr>
      <w:r>
        <w:rPr>
          <w:rFonts w:ascii="Calibri" w:hAnsi="Calibri"/>
          <w:b/>
          <w:color w:val="1E3A8A"/>
          <w:sz w:val="30"/>
        </w:rPr>
        <w:t>8. Phase 1 3rd-Party ASP Integration Specification</w:t>
      </w:r>
    </w:p>
    <w:tbl>
      <w:tblPr>
        <w:tblW w:type="auto" w:w="0"/>
        <w:jc w:val="center"/>
        <w:tblLook w:firstColumn="1" w:firstRow="1" w:lastColumn="0" w:lastRow="0" w:noHBand="0" w:noVBand="1" w:val="04A0"/>
      </w:tblPr>
      <w:tblGrid>
        <w:gridCol w:w="9360"/>
      </w:tblGrid>
      <w:tr>
        <w:tc>
          <w:tcPr>
            <w:tcW w:type="dxa" w:w="9360"/>
            <w:shd w:fill="F1F5F9"/>
            <w:tcBorders>
              <w:top w:val="single" w:sz="6" w:space="0" w:color="CBD5E1"/>
              <w:left w:val="single" w:sz="6" w:space="0" w:color="CBD5E1"/>
              <w:bottom w:val="single" w:sz="6" w:space="0" w:color="CBD5E1"/>
              <w:right w:val="single" w:sz="6" w:space="0" w:color="CBD5E1"/>
            </w:tcBorders>
            <w:tcMar>
              <w:top w:w="100" w:type="dxa"/>
              <w:bottom w:w="100" w:type="dxa"/>
              <w:left w:w="150" w:type="dxa"/>
              <w:right w:w="150" w:type="dxa"/>
            </w:tcMar>
          </w:tcPr>
          <w:p>
            <w:pPr>
              <w:spacing w:after="0"/>
            </w:pPr>
            <w:r>
              <w:rPr>
                <w:rFonts w:ascii="Consolas" w:hAnsi="Consolas"/>
                <w:color w:val="1E293B"/>
                <w:sz w:val="16"/>
              </w:rPr>
              <w:t>export interface IASPDriver {</w:t>
            </w:r>
          </w:p>
          <w:p>
            <w:pPr>
              <w:spacing w:after="0"/>
            </w:pPr>
            <w:r>
              <w:rPr>
                <w:rFonts w:ascii="Consolas" w:hAnsi="Consolas"/>
                <w:color w:val="1E293B"/>
                <w:sz w:val="16"/>
              </w:rPr>
              <w:t xml:space="preserve">  submitInvoice(request: ASPSubmissionRequest): Promise&lt;ASPSubmissionResponse&gt;;</w:t>
            </w:r>
          </w:p>
          <w:p>
            <w:pPr>
              <w:spacing w:after="0"/>
            </w:pPr>
            <w:r>
              <w:rPr>
                <w:rFonts w:ascii="Consolas" w:hAnsi="Consolas"/>
                <w:color w:val="1E293B"/>
                <w:sz w:val="16"/>
              </w:rPr>
              <w:t xml:space="preserve">  getStatus(transmissionId: string): Promise&lt;ASPStatusResponse&gt;;</w:t>
            </w:r>
          </w:p>
          <w:p>
            <w:pPr>
              <w:spacing w:after="0"/>
            </w:pPr>
            <w:r>
              <w:rPr>
                <w:rFonts w:ascii="Consolas" w:hAnsi="Consolas"/>
                <w:color w:val="1E293B"/>
                <w:sz w:val="16"/>
              </w:rPr>
              <w:t xml:space="preserve">  verifyWebhookSignature(headers: Record&lt;string, string&gt;, body: string): boolean;</w:t>
            </w:r>
          </w:p>
          <w:p>
            <w:pPr>
              <w:spacing w:after="0"/>
            </w:pPr>
            <w:r>
              <w:rPr>
                <w:rFonts w:ascii="Consolas" w:hAnsi="Consolas"/>
                <w:color w:val="1E293B"/>
                <w:sz w:val="16"/>
              </w:rPr>
              <w:t>}</w:t>
            </w:r>
          </w:p>
        </w:tc>
      </w:tr>
    </w:tbl>
    <w:p>
      <w:pPr>
        <w:spacing w:after="80"/>
      </w:pPr>
    </w:p>
    <w:p>
      <w:pPr>
        <w:keepNext/>
        <w:spacing w:before="320" w:after="80"/>
      </w:pPr>
      <w:r>
        <w:rPr>
          <w:rFonts w:ascii="Calibri" w:hAnsi="Calibri"/>
          <w:b/>
          <w:color w:val="1E3A8A"/>
          <w:sz w:val="30"/>
        </w:rPr>
        <w:t>9. Technical Security &amp; UAE Data Residency Framework</w:t>
      </w:r>
    </w:p>
    <w:p>
      <w:pPr>
        <w:spacing w:after="100"/>
      </w:pPr>
      <w:r>
        <w:rPr>
          <w:i w:val="0"/>
          <w:color w:val="1F2937"/>
        </w:rPr>
        <w:t>Mandates in-region hosting in AWS me-central-1 / Azure UAE North. Encrypted at rest via AES-256 KMS. WORM Compliance lock enforced for 5 to 15 years.</w:t>
      </w:r>
    </w:p>
    <w:p>
      <w:pPr>
        <w:keepNext/>
        <w:spacing w:before="320" w:after="80"/>
      </w:pPr>
      <w:r>
        <w:rPr>
          <w:rFonts w:ascii="Calibri" w:hAnsi="Calibri"/>
          <w:b/>
          <w:color w:val="1E3A8A"/>
          <w:sz w:val="30"/>
        </w:rPr>
        <w:t>10. Phase 2 Native ASP &amp; Peppol AS4 Gateway Architecture</w:t>
      </w:r>
    </w:p>
    <w:p>
      <w:pPr>
        <w:spacing w:after="100"/>
      </w:pPr>
      <w:r>
        <w:rPr>
          <w:i w:val="0"/>
          <w:color w:val="1F2937"/>
        </w:rPr>
        <w:t>Implements native ebMS3 / AS4 Profile v2.0 stack with SML/SMP dynamic discovery, SBDH header wrapping, and HSM RSA-SHA256 signing.</w:t>
      </w:r>
    </w:p>
    <w:p>
      <w:pPr>
        <w:keepNext/>
        <w:spacing w:before="320" w:after="80"/>
      </w:pPr>
      <w:r>
        <w:rPr>
          <w:rFonts w:ascii="Calibri" w:hAnsi="Calibri"/>
          <w:b/>
          <w:color w:val="1E3A8A"/>
          <w:sz w:val="30"/>
        </w:rPr>
        <w:t>11. Implementation Roadmap</w:t>
      </w:r>
    </w:p>
    <w:tbl>
      <w:tblPr>
        <w:tblW w:type="auto" w:w="0"/>
        <w:jc w:val="center"/>
        <w:tblLook w:firstColumn="1" w:firstRow="1" w:lastColumn="0" w:lastRow="0" w:noHBand="0" w:noVBand="1" w:val="04A0"/>
      </w:tblPr>
      <w:tblGrid>
        <w:gridCol w:w="3120"/>
        <w:gridCol w:w="3120"/>
        <w:gridCol w:w="3120"/>
      </w:tblGrid>
      <w:tr>
        <w:trPr>
          <w:tblHeader/>
          <w:cantSplit/>
        </w:trPr>
        <w:tc>
          <w:tcPr>
            <w:tcW w:type="dxa" w:w="1728"/>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Phase</w:t>
            </w:r>
          </w:p>
        </w:tc>
        <w:tc>
          <w:tcPr>
            <w:tcW w:type="dxa" w:w="2880"/>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Timeline</w:t>
            </w:r>
          </w:p>
        </w:tc>
        <w:tc>
          <w:tcPr>
            <w:tcW w:type="dxa" w:w="4752"/>
            <w:shd w:fill="1E3A8A"/>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jc w:val="left"/>
            </w:pPr>
            <w:r>
              <w:rPr>
                <w:b/>
                <w:color w:val="FFFFFF"/>
                <w:sz w:val="18"/>
              </w:rPr>
              <w:t>Key Deliverables &amp; Milestones</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1A</w:t>
            </w:r>
          </w:p>
        </w:tc>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Sprint 1 - 2</w:t>
            </w:r>
          </w:p>
        </w:tc>
        <w:tc>
          <w:tcPr>
            <w:tcW w:type="dxa" w:w="475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Core Multi-Tenant Engine, Auth (RBAC), KMS Integration, Tenant Onboarding APIs.</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1B</w:t>
            </w:r>
          </w:p>
        </w:tc>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Sprint 3 - 4</w:t>
            </w:r>
          </w:p>
        </w:tc>
        <w:tc>
          <w:tcPr>
            <w:tcW w:type="dxa" w:w="475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REST APIs + Excel/CSV Upload Engine &amp; Interactive Browser Staging Data Grid.</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1C</w:t>
            </w:r>
          </w:p>
        </w:tc>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Sprint 5 - 6</w:t>
            </w:r>
          </w:p>
        </w:tc>
        <w:tc>
          <w:tcPr>
            <w:tcW w:type="dxa" w:w="475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Validation Engine (XSD/Schematron), Excel Error Cell Mapping, 3rd-Party ASP Drivers.</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1D</w:t>
            </w:r>
          </w:p>
        </w:tc>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Sprint 7 - 8</w:t>
            </w:r>
          </w:p>
        </w:tc>
        <w:tc>
          <w:tcPr>
            <w:tcW w:type="dxa" w:w="475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WORM S3 Storage Engine (XMLs &amp; Source Excels), Audit Trails, Search Dashboard.</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2A</w:t>
            </w:r>
          </w:p>
        </w:tc>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Sprint 9 - 10</w:t>
            </w:r>
          </w:p>
        </w:tc>
        <w:tc>
          <w:tcPr>
            <w:tcW w:type="dxa" w:w="475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Native AS4 Protocol Engine (ebMS3), SML/SMP Dynamic Discovery Worker Pool.</w:t>
            </w:r>
          </w:p>
        </w:tc>
      </w:tr>
      <w:tr>
        <w:trPr>
          <w:cantSplit/>
        </w:trPr>
        <w:tc>
          <w:tcPr>
            <w:tcW w:type="dxa" w:w="1728"/>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2B</w:t>
            </w:r>
          </w:p>
        </w:tc>
        <w:tc>
          <w:tcPr>
            <w:tcW w:type="dxa" w:w="2880"/>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Sprint 11 - 12</w:t>
            </w:r>
          </w:p>
        </w:tc>
        <w:tc>
          <w:tcPr>
            <w:tcW w:type="dxa" w:w="4752"/>
            <w:shd w:fill="F1F5F9"/>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HSM PKI Integration, Direct OpenPEPPOL AP Onboarding &amp; FTA Accreditation.</w:t>
            </w:r>
          </w:p>
        </w:tc>
      </w:tr>
      <w:tr>
        <w:trPr>
          <w:cantSplit/>
        </w:trPr>
        <w:tc>
          <w:tcPr>
            <w:tcW w:type="dxa" w:w="1728"/>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Phase 2C</w:t>
            </w:r>
          </w:p>
        </w:tc>
        <w:tc>
          <w:tcPr>
            <w:tcW w:type="dxa" w:w="2880"/>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Sprint 13</w:t>
            </w:r>
          </w:p>
        </w:tc>
        <w:tc>
          <w:tcPr>
            <w:tcW w:type="dxa" w:w="4752"/>
            <w:shd w:fill="FFFFFF"/>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after="40" w:before="40"/>
            </w:pPr>
            <w:r>
              <w:rPr>
                <w:color w:val="1F2937"/>
                <w:sz w:val="17"/>
              </w:rPr>
              <w:t>Zero-downtime traffic migration from Phase 1 Adapters to Phase 2 Native AS4 Gateway.</w:t>
            </w:r>
          </w:p>
        </w:tc>
      </w:tr>
    </w:tbl>
    <w:p>
      <w:pPr>
        <w:spacing w:after="8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UAE FTA E-Invoicing Middleware SRS (v1.2 Comprehensive)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Calibri" w:hAnsi="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