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42749" w14:textId="6D94082A" w:rsidR="00A41529" w:rsidRPr="00A41529" w:rsidRDefault="00A41529" w:rsidP="00A41529">
      <w:pPr>
        <w:jc w:val="center"/>
        <w:rPr>
          <w:b/>
          <w:bCs/>
          <w:sz w:val="40"/>
          <w:szCs w:val="40"/>
          <w:u w:val="single"/>
          <w:lang w:val="en-US"/>
        </w:rPr>
      </w:pPr>
      <w:r>
        <w:rPr>
          <w:b/>
          <w:bCs/>
          <w:sz w:val="40"/>
          <w:szCs w:val="40"/>
          <w:u w:val="single"/>
          <w:lang w:val="en-US"/>
        </w:rPr>
        <w:t>Project Summary</w:t>
      </w:r>
    </w:p>
    <w:p w14:paraId="6FE63AAD" w14:textId="3F1E9609" w:rsidR="00145A35" w:rsidRDefault="00A41529" w:rsidP="00A41529">
      <w:pPr>
        <w:jc w:val="center"/>
        <w:rPr>
          <w:b/>
          <w:bCs/>
          <w:sz w:val="32"/>
          <w:szCs w:val="32"/>
          <w:u w:val="single"/>
          <w:lang w:val="en-US"/>
        </w:rPr>
      </w:pPr>
      <w:r w:rsidRPr="00A41529">
        <w:rPr>
          <w:b/>
          <w:bCs/>
          <w:sz w:val="32"/>
          <w:szCs w:val="32"/>
          <w:u w:val="single"/>
          <w:lang w:val="en-US"/>
        </w:rPr>
        <w:t xml:space="preserve">End to End Business Intelligence </w:t>
      </w:r>
      <w:proofErr w:type="gramStart"/>
      <w:r w:rsidRPr="00A41529">
        <w:rPr>
          <w:b/>
          <w:bCs/>
          <w:sz w:val="32"/>
          <w:szCs w:val="32"/>
          <w:u w:val="single"/>
          <w:lang w:val="en-US"/>
        </w:rPr>
        <w:t>And</w:t>
      </w:r>
      <w:proofErr w:type="gramEnd"/>
      <w:r w:rsidRPr="00A41529">
        <w:rPr>
          <w:b/>
          <w:bCs/>
          <w:sz w:val="32"/>
          <w:szCs w:val="32"/>
          <w:u w:val="single"/>
          <w:lang w:val="en-US"/>
        </w:rPr>
        <w:t xml:space="preserve"> Advanced Analytics</w:t>
      </w:r>
    </w:p>
    <w:p w14:paraId="1717A1A9" w14:textId="77777777" w:rsidR="00A41529" w:rsidRDefault="00A41529" w:rsidP="00A41529">
      <w:pPr>
        <w:jc w:val="center"/>
        <w:rPr>
          <w:b/>
          <w:bCs/>
          <w:sz w:val="32"/>
          <w:szCs w:val="32"/>
          <w:u w:val="single"/>
          <w:lang w:val="en-US"/>
        </w:rPr>
      </w:pPr>
    </w:p>
    <w:p w14:paraId="7B4327DD" w14:textId="77777777" w:rsidR="00A41529" w:rsidRDefault="00A41529" w:rsidP="00A41529">
      <w:pPr>
        <w:pStyle w:val="Heading2"/>
      </w:pPr>
      <w:r>
        <w:rPr>
          <w:rFonts w:ascii="Arial" w:eastAsia="Arial" w:hAnsi="Arial" w:cs="Arial"/>
          <w:b/>
          <w:bCs/>
          <w:color w:val="2E86C1"/>
          <w:sz w:val="28"/>
          <w:szCs w:val="28"/>
        </w:rPr>
        <w:t>Overview: The Key Numbers at a Glance</w:t>
      </w:r>
    </w:p>
    <w:p w14:paraId="5A5D4DE8" w14:textId="77777777" w:rsidR="00A41529" w:rsidRDefault="00A41529" w:rsidP="00A415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41529" w14:paraId="1D5B4525" w14:textId="77777777" w:rsidTr="00E41F1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shd w:val="clear" w:color="auto" w:fill="EAF6FB"/>
            <w:tcMar>
              <w:top w:w="120" w:type="dxa"/>
              <w:left w:w="120" w:type="dxa"/>
              <w:bottom w:w="120" w:type="dxa"/>
              <w:right w:w="120" w:type="dxa"/>
            </w:tcMar>
            <w:vAlign w:val="center"/>
          </w:tcPr>
          <w:p w14:paraId="4882AA9A" w14:textId="77777777" w:rsidR="00A41529" w:rsidRDefault="00A41529" w:rsidP="00E41F17">
            <w:pPr>
              <w:jc w:val="center"/>
            </w:pPr>
            <w:r>
              <w:rPr>
                <w:rFonts w:ascii="Arial" w:eastAsia="Arial" w:hAnsi="Arial" w:cs="Arial"/>
                <w:b/>
                <w:bCs/>
                <w:color w:val="00B0A0"/>
                <w:sz w:val="32"/>
                <w:szCs w:val="32"/>
              </w:rPr>
              <w:t>$24.9M</w:t>
            </w:r>
          </w:p>
          <w:p w14:paraId="57D7B04F" w14:textId="77777777" w:rsidR="00A41529" w:rsidRDefault="00A41529" w:rsidP="00E41F17">
            <w:pPr>
              <w:jc w:val="center"/>
            </w:pPr>
            <w:r>
              <w:rPr>
                <w:rFonts w:ascii="Arial" w:eastAsia="Arial" w:hAnsi="Arial" w:cs="Arial"/>
                <w:color w:val="555555"/>
                <w:sz w:val="18"/>
                <w:szCs w:val="18"/>
              </w:rPr>
              <w:t>Total Revenue</w:t>
            </w:r>
          </w:p>
        </w:tc>
        <w:tc>
          <w:tcPr>
            <w:tcW w:w="2340" w:type="dxa"/>
            <w:tcBorders>
              <w:top w:val="single" w:sz="1" w:space="0" w:color="D0D0D0"/>
              <w:left w:val="single" w:sz="1" w:space="0" w:color="D0D0D0"/>
              <w:bottom w:val="single" w:sz="1" w:space="0" w:color="D0D0D0"/>
              <w:right w:val="single" w:sz="1" w:space="0" w:color="D0D0D0"/>
            </w:tcBorders>
            <w:shd w:val="clear" w:color="auto" w:fill="EAF6FB"/>
            <w:tcMar>
              <w:top w:w="120" w:type="dxa"/>
              <w:left w:w="120" w:type="dxa"/>
              <w:bottom w:w="120" w:type="dxa"/>
              <w:right w:w="120" w:type="dxa"/>
            </w:tcMar>
            <w:vAlign w:val="center"/>
          </w:tcPr>
          <w:p w14:paraId="0893A2CA" w14:textId="77777777" w:rsidR="00A41529" w:rsidRDefault="00A41529" w:rsidP="00E41F17">
            <w:pPr>
              <w:jc w:val="center"/>
            </w:pPr>
            <w:r>
              <w:rPr>
                <w:rFonts w:ascii="Arial" w:eastAsia="Arial" w:hAnsi="Arial" w:cs="Arial"/>
                <w:b/>
                <w:bCs/>
                <w:color w:val="00B0A0"/>
                <w:sz w:val="32"/>
                <w:szCs w:val="32"/>
              </w:rPr>
              <w:t>$10.5M</w:t>
            </w:r>
          </w:p>
          <w:p w14:paraId="22D8DBED" w14:textId="77777777" w:rsidR="00A41529" w:rsidRDefault="00A41529" w:rsidP="00E41F17">
            <w:pPr>
              <w:jc w:val="center"/>
            </w:pPr>
            <w:r>
              <w:rPr>
                <w:rFonts w:ascii="Arial" w:eastAsia="Arial" w:hAnsi="Arial" w:cs="Arial"/>
                <w:color w:val="555555"/>
                <w:sz w:val="18"/>
                <w:szCs w:val="18"/>
              </w:rPr>
              <w:t>Total Profit</w:t>
            </w:r>
          </w:p>
        </w:tc>
        <w:tc>
          <w:tcPr>
            <w:tcW w:w="2340" w:type="dxa"/>
            <w:tcBorders>
              <w:top w:val="single" w:sz="1" w:space="0" w:color="D0D0D0"/>
              <w:left w:val="single" w:sz="1" w:space="0" w:color="D0D0D0"/>
              <w:bottom w:val="single" w:sz="1" w:space="0" w:color="D0D0D0"/>
              <w:right w:val="single" w:sz="1" w:space="0" w:color="D0D0D0"/>
            </w:tcBorders>
            <w:shd w:val="clear" w:color="auto" w:fill="EAF6FB"/>
            <w:tcMar>
              <w:top w:w="120" w:type="dxa"/>
              <w:left w:w="120" w:type="dxa"/>
              <w:bottom w:w="120" w:type="dxa"/>
              <w:right w:w="120" w:type="dxa"/>
            </w:tcMar>
            <w:vAlign w:val="center"/>
          </w:tcPr>
          <w:p w14:paraId="7479E3F1" w14:textId="77777777" w:rsidR="00A41529" w:rsidRDefault="00A41529" w:rsidP="00E41F17">
            <w:pPr>
              <w:jc w:val="center"/>
            </w:pPr>
            <w:r>
              <w:rPr>
                <w:rFonts w:ascii="Arial" w:eastAsia="Arial" w:hAnsi="Arial" w:cs="Arial"/>
                <w:b/>
                <w:bCs/>
                <w:color w:val="00B0A0"/>
                <w:sz w:val="32"/>
                <w:szCs w:val="32"/>
              </w:rPr>
              <w:t>25.2K</w:t>
            </w:r>
          </w:p>
          <w:p w14:paraId="032A9462" w14:textId="77777777" w:rsidR="00A41529" w:rsidRDefault="00A41529" w:rsidP="00E41F17">
            <w:pPr>
              <w:jc w:val="center"/>
            </w:pPr>
            <w:r>
              <w:rPr>
                <w:rFonts w:ascii="Arial" w:eastAsia="Arial" w:hAnsi="Arial" w:cs="Arial"/>
                <w:color w:val="555555"/>
                <w:sz w:val="18"/>
                <w:szCs w:val="18"/>
              </w:rPr>
              <w:t>Total Orders</w:t>
            </w:r>
          </w:p>
        </w:tc>
        <w:tc>
          <w:tcPr>
            <w:tcW w:w="2340" w:type="dxa"/>
            <w:tcBorders>
              <w:top w:val="single" w:sz="1" w:space="0" w:color="D0D0D0"/>
              <w:left w:val="single" w:sz="1" w:space="0" w:color="D0D0D0"/>
              <w:bottom w:val="single" w:sz="1" w:space="0" w:color="D0D0D0"/>
              <w:right w:val="single" w:sz="1" w:space="0" w:color="D0D0D0"/>
            </w:tcBorders>
            <w:shd w:val="clear" w:color="auto" w:fill="EAF6FB"/>
            <w:tcMar>
              <w:top w:w="120" w:type="dxa"/>
              <w:left w:w="120" w:type="dxa"/>
              <w:bottom w:w="120" w:type="dxa"/>
              <w:right w:w="120" w:type="dxa"/>
            </w:tcMar>
            <w:vAlign w:val="center"/>
          </w:tcPr>
          <w:p w14:paraId="138B2296" w14:textId="77777777" w:rsidR="00A41529" w:rsidRDefault="00A41529" w:rsidP="00E41F17">
            <w:pPr>
              <w:jc w:val="center"/>
            </w:pPr>
            <w:r>
              <w:rPr>
                <w:rFonts w:ascii="Arial" w:eastAsia="Arial" w:hAnsi="Arial" w:cs="Arial"/>
                <w:b/>
                <w:bCs/>
                <w:color w:val="00B0A0"/>
                <w:sz w:val="32"/>
                <w:szCs w:val="32"/>
              </w:rPr>
              <w:t>2.2%</w:t>
            </w:r>
          </w:p>
          <w:p w14:paraId="5BBA83B3" w14:textId="77777777" w:rsidR="00A41529" w:rsidRDefault="00A41529" w:rsidP="00E41F17">
            <w:pPr>
              <w:jc w:val="center"/>
            </w:pPr>
            <w:r>
              <w:rPr>
                <w:rFonts w:ascii="Arial" w:eastAsia="Arial" w:hAnsi="Arial" w:cs="Arial"/>
                <w:color w:val="555555"/>
                <w:sz w:val="18"/>
                <w:szCs w:val="18"/>
              </w:rPr>
              <w:t>Return Rate</w:t>
            </w:r>
          </w:p>
        </w:tc>
      </w:tr>
    </w:tbl>
    <w:p w14:paraId="51784B1F" w14:textId="77777777" w:rsidR="00A41529" w:rsidRDefault="00A41529" w:rsidP="00A41529">
      <w:pPr>
        <w:spacing w:before="120"/>
      </w:pPr>
    </w:p>
    <w:p w14:paraId="0EE6C453" w14:textId="77777777" w:rsidR="00A41529" w:rsidRDefault="00A41529" w:rsidP="00A41529">
      <w:pPr>
        <w:spacing w:before="80" w:after="80"/>
      </w:pPr>
      <w:r>
        <w:rPr>
          <w:rFonts w:ascii="Arial" w:eastAsia="Arial" w:hAnsi="Arial" w:cs="Arial"/>
        </w:rPr>
        <w:t>These four headline numbers are displayed at the very top of the Executive Dashboard — the first page. They give anyone who opens the report an immediate sense of business scale and profitability.</w:t>
      </w:r>
    </w:p>
    <w:p w14:paraId="5E008D8D" w14:textId="77777777" w:rsidR="00A41529" w:rsidRDefault="00A41529" w:rsidP="00A41529">
      <w:pPr>
        <w:rPr>
          <w:b/>
          <w:bCs/>
          <w:sz w:val="32"/>
          <w:szCs w:val="32"/>
          <w:u w:val="single"/>
          <w:lang w:val="en-US"/>
        </w:rPr>
      </w:pPr>
    </w:p>
    <w:p w14:paraId="27579B5E" w14:textId="77777777" w:rsidR="00A41529" w:rsidRDefault="00A41529" w:rsidP="00A41529">
      <w:pPr>
        <w:rPr>
          <w:b/>
          <w:bCs/>
          <w:sz w:val="32"/>
          <w:szCs w:val="32"/>
          <w:u w:val="single"/>
          <w:lang w:val="en-US"/>
        </w:rPr>
      </w:pPr>
    </w:p>
    <w:p w14:paraId="310B819F" w14:textId="77777777" w:rsidR="00A41529" w:rsidRDefault="00A41529" w:rsidP="00A41529">
      <w:pPr>
        <w:pStyle w:val="Heading2"/>
      </w:pPr>
      <w:r>
        <w:rPr>
          <w:rFonts w:ascii="Arial" w:eastAsia="Arial" w:hAnsi="Arial" w:cs="Arial"/>
          <w:b/>
          <w:bCs/>
          <w:color w:val="2E86C1"/>
          <w:sz w:val="28"/>
          <w:szCs w:val="28"/>
        </w:rPr>
        <w:t>Page-by-Page Breakdown</w:t>
      </w:r>
    </w:p>
    <w:p w14:paraId="21788223" w14:textId="77777777" w:rsidR="00A41529" w:rsidRDefault="00A41529" w:rsidP="00A415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41529" w14:paraId="2A0ED9B2" w14:textId="77777777" w:rsidTr="00E41F1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00B0A0"/>
            <w:tcMar>
              <w:top w:w="100" w:type="dxa"/>
              <w:left w:w="150" w:type="dxa"/>
              <w:bottom w:w="100" w:type="dxa"/>
              <w:right w:w="150" w:type="dxa"/>
            </w:tcMar>
          </w:tcPr>
          <w:p w14:paraId="2725363C" w14:textId="77777777" w:rsidR="00A41529" w:rsidRDefault="00A41529" w:rsidP="00E41F17">
            <w:r>
              <w:rPr>
                <w:rFonts w:ascii="Arial" w:eastAsia="Arial" w:hAnsi="Arial" w:cs="Arial"/>
                <w:b/>
                <w:bCs/>
                <w:color w:val="FFFFFF"/>
                <w:sz w:val="20"/>
                <w:szCs w:val="20"/>
              </w:rPr>
              <w:t>Page 1 — Exec Dashboard</w:t>
            </w:r>
          </w:p>
        </w:tc>
        <w:tc>
          <w:tcPr>
            <w:tcW w:w="6860" w:type="dxa"/>
            <w:tcBorders>
              <w:top w:val="single" w:sz="1" w:space="0" w:color="D0D0D0"/>
              <w:left w:val="single" w:sz="1" w:space="0" w:color="D0D0D0"/>
              <w:bottom w:val="single" w:sz="1" w:space="0" w:color="D0D0D0"/>
              <w:right w:val="single" w:sz="1" w:space="0" w:color="D0D0D0"/>
            </w:tcBorders>
            <w:shd w:val="clear" w:color="auto" w:fill="EAF6FB"/>
            <w:tcMar>
              <w:top w:w="100" w:type="dxa"/>
              <w:left w:w="150" w:type="dxa"/>
              <w:bottom w:w="100" w:type="dxa"/>
              <w:right w:w="150" w:type="dxa"/>
            </w:tcMar>
          </w:tcPr>
          <w:p w14:paraId="599E5424" w14:textId="77777777" w:rsidR="00A41529" w:rsidRDefault="00A41529" w:rsidP="00E41F17">
            <w:r>
              <w:rPr>
                <w:rFonts w:ascii="Arial" w:eastAsia="Arial" w:hAnsi="Arial" w:cs="Arial"/>
                <w:color w:val="1A1A2E"/>
                <w:sz w:val="20"/>
                <w:szCs w:val="20"/>
              </w:rPr>
              <w:t>The main homepage of the report. It shows total revenue, profit, orders, and return rate at the top. Below that is a line chart showing how revenue has trended month by month, a bar chart showing orders by product category (Accessories, Bikes, Clothing), a Top 10 Products table with revenue and return rates highlighted, and KPI cards comparing this month vs. last month.</w:t>
            </w:r>
          </w:p>
        </w:tc>
      </w:tr>
    </w:tbl>
    <w:p w14:paraId="16C25BBB" w14:textId="77777777" w:rsidR="00A41529" w:rsidRDefault="00A41529" w:rsidP="00A415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41529" w14:paraId="20ADBDBB" w14:textId="77777777" w:rsidTr="00E41F1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00B0A0"/>
            <w:tcMar>
              <w:top w:w="100" w:type="dxa"/>
              <w:left w:w="150" w:type="dxa"/>
              <w:bottom w:w="100" w:type="dxa"/>
              <w:right w:w="150" w:type="dxa"/>
            </w:tcMar>
          </w:tcPr>
          <w:p w14:paraId="3945D526" w14:textId="77777777" w:rsidR="00A41529" w:rsidRDefault="00A41529" w:rsidP="00E41F17">
            <w:r>
              <w:rPr>
                <w:rFonts w:ascii="Arial" w:eastAsia="Arial" w:hAnsi="Arial" w:cs="Arial"/>
                <w:b/>
                <w:bCs/>
                <w:color w:val="FFFFFF"/>
                <w:sz w:val="20"/>
                <w:szCs w:val="20"/>
              </w:rPr>
              <w:t>Page 2 — Map</w:t>
            </w:r>
          </w:p>
        </w:tc>
        <w:tc>
          <w:tcPr>
            <w:tcW w:w="6860" w:type="dxa"/>
            <w:tcBorders>
              <w:top w:val="single" w:sz="1" w:space="0" w:color="D0D0D0"/>
              <w:left w:val="single" w:sz="1" w:space="0" w:color="D0D0D0"/>
              <w:bottom w:val="single" w:sz="1" w:space="0" w:color="D0D0D0"/>
              <w:right w:val="single" w:sz="1" w:space="0" w:color="D0D0D0"/>
            </w:tcBorders>
            <w:shd w:val="clear" w:color="auto" w:fill="EAF6FB"/>
            <w:tcMar>
              <w:top w:w="100" w:type="dxa"/>
              <w:left w:w="150" w:type="dxa"/>
              <w:bottom w:w="100" w:type="dxa"/>
              <w:right w:w="150" w:type="dxa"/>
            </w:tcMar>
          </w:tcPr>
          <w:p w14:paraId="470EDFD5" w14:textId="77777777" w:rsidR="00A41529" w:rsidRDefault="00A41529" w:rsidP="00E41F17">
            <w:r>
              <w:rPr>
                <w:rFonts w:ascii="Arial" w:eastAsia="Arial" w:hAnsi="Arial" w:cs="Arial"/>
                <w:color w:val="1A1A2E"/>
                <w:sz w:val="20"/>
                <w:szCs w:val="20"/>
              </w:rPr>
              <w:t>A geographical map that plots where orders are coming from across the world. Users can hover over countries to see regional sales data. This helps the business understand which markets are strongest.</w:t>
            </w:r>
          </w:p>
        </w:tc>
      </w:tr>
    </w:tbl>
    <w:p w14:paraId="4454701F" w14:textId="77777777" w:rsidR="00A41529" w:rsidRDefault="00A41529" w:rsidP="00A415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41529" w14:paraId="7CCD84C1" w14:textId="77777777" w:rsidTr="00E41F1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00B0A0"/>
            <w:tcMar>
              <w:top w:w="100" w:type="dxa"/>
              <w:left w:w="150" w:type="dxa"/>
              <w:bottom w:w="100" w:type="dxa"/>
              <w:right w:w="150" w:type="dxa"/>
            </w:tcMar>
          </w:tcPr>
          <w:p w14:paraId="765E3026" w14:textId="77777777" w:rsidR="00A41529" w:rsidRDefault="00A41529" w:rsidP="00E41F17">
            <w:r>
              <w:rPr>
                <w:rFonts w:ascii="Arial" w:eastAsia="Arial" w:hAnsi="Arial" w:cs="Arial"/>
                <w:b/>
                <w:bCs/>
                <w:color w:val="FFFFFF"/>
                <w:sz w:val="20"/>
                <w:szCs w:val="20"/>
              </w:rPr>
              <w:t>Page 3 — Product Details</w:t>
            </w:r>
          </w:p>
        </w:tc>
        <w:tc>
          <w:tcPr>
            <w:tcW w:w="6860" w:type="dxa"/>
            <w:tcBorders>
              <w:top w:val="single" w:sz="1" w:space="0" w:color="D0D0D0"/>
              <w:left w:val="single" w:sz="1" w:space="0" w:color="D0D0D0"/>
              <w:bottom w:val="single" w:sz="1" w:space="0" w:color="D0D0D0"/>
              <w:right w:val="single" w:sz="1" w:space="0" w:color="D0D0D0"/>
            </w:tcBorders>
            <w:shd w:val="clear" w:color="auto" w:fill="EAF6FB"/>
            <w:tcMar>
              <w:top w:w="100" w:type="dxa"/>
              <w:left w:w="150" w:type="dxa"/>
              <w:bottom w:w="100" w:type="dxa"/>
              <w:right w:w="150" w:type="dxa"/>
            </w:tcMar>
          </w:tcPr>
          <w:p w14:paraId="166A084F" w14:textId="77777777" w:rsidR="00A41529" w:rsidRDefault="00A41529" w:rsidP="00E41F17">
            <w:r>
              <w:rPr>
                <w:rFonts w:ascii="Arial" w:eastAsia="Arial" w:hAnsi="Arial" w:cs="Arial"/>
                <w:color w:val="1A1A2E"/>
                <w:sz w:val="20"/>
                <w:szCs w:val="20"/>
              </w:rPr>
              <w:t>A deep-dive page for any individual product. It shows monthly orders, revenue, and profit compared against a set target using gauge/dial charts. There's also a price adjustment slider to simulate how changing the price affects profitability — a what-if analysis tool.</w:t>
            </w:r>
          </w:p>
        </w:tc>
      </w:tr>
    </w:tbl>
    <w:p w14:paraId="736AD9F2" w14:textId="77777777" w:rsidR="00A41529" w:rsidRDefault="00A41529" w:rsidP="00A415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41529" w14:paraId="097EF79A" w14:textId="77777777" w:rsidTr="00E41F1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00B0A0"/>
            <w:tcMar>
              <w:top w:w="100" w:type="dxa"/>
              <w:left w:w="150" w:type="dxa"/>
              <w:bottom w:w="100" w:type="dxa"/>
              <w:right w:w="150" w:type="dxa"/>
            </w:tcMar>
          </w:tcPr>
          <w:p w14:paraId="6538003D" w14:textId="77777777" w:rsidR="00A41529" w:rsidRDefault="00A41529" w:rsidP="00E41F17">
            <w:r>
              <w:rPr>
                <w:rFonts w:ascii="Arial" w:eastAsia="Arial" w:hAnsi="Arial" w:cs="Arial"/>
                <w:b/>
                <w:bCs/>
                <w:color w:val="FFFFFF"/>
                <w:sz w:val="20"/>
                <w:szCs w:val="20"/>
              </w:rPr>
              <w:lastRenderedPageBreak/>
              <w:t>Page 4 — Customer Details</w:t>
            </w:r>
          </w:p>
        </w:tc>
        <w:tc>
          <w:tcPr>
            <w:tcW w:w="6860" w:type="dxa"/>
            <w:tcBorders>
              <w:top w:val="single" w:sz="1" w:space="0" w:color="D0D0D0"/>
              <w:left w:val="single" w:sz="1" w:space="0" w:color="D0D0D0"/>
              <w:bottom w:val="single" w:sz="1" w:space="0" w:color="D0D0D0"/>
              <w:right w:val="single" w:sz="1" w:space="0" w:color="D0D0D0"/>
            </w:tcBorders>
            <w:shd w:val="clear" w:color="auto" w:fill="EAF6FB"/>
            <w:tcMar>
              <w:top w:w="100" w:type="dxa"/>
              <w:left w:w="150" w:type="dxa"/>
              <w:bottom w:w="100" w:type="dxa"/>
              <w:right w:w="150" w:type="dxa"/>
            </w:tcMar>
          </w:tcPr>
          <w:p w14:paraId="306E1095" w14:textId="77777777" w:rsidR="00A41529" w:rsidRDefault="00A41529" w:rsidP="00E41F17">
            <w:r>
              <w:rPr>
                <w:rFonts w:ascii="Arial" w:eastAsia="Arial" w:hAnsi="Arial" w:cs="Arial"/>
                <w:color w:val="1A1A2E"/>
                <w:sz w:val="20"/>
                <w:szCs w:val="20"/>
              </w:rPr>
              <w:t>Focuses on the customer side. It shows 9,133 unique customers, average revenue of $1,021 per customer, and a breakdown of orders by income level and occupation. A Top 100 Customers table highlights the highest-value clients, and a tooltip shows who the top revenue customer is.</w:t>
            </w:r>
          </w:p>
        </w:tc>
      </w:tr>
    </w:tbl>
    <w:p w14:paraId="66ED8FC2" w14:textId="77777777" w:rsidR="00A41529" w:rsidRDefault="00A41529" w:rsidP="00A415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41529" w14:paraId="40C8EBCD" w14:textId="77777777" w:rsidTr="00E41F1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00B0A0"/>
            <w:tcMar>
              <w:top w:w="100" w:type="dxa"/>
              <w:left w:w="150" w:type="dxa"/>
              <w:bottom w:w="100" w:type="dxa"/>
              <w:right w:w="150" w:type="dxa"/>
            </w:tcMar>
          </w:tcPr>
          <w:p w14:paraId="42B0E3E3" w14:textId="77777777" w:rsidR="00A41529" w:rsidRDefault="00A41529" w:rsidP="00E41F17">
            <w:r>
              <w:rPr>
                <w:rFonts w:ascii="Arial" w:eastAsia="Arial" w:hAnsi="Arial" w:cs="Arial"/>
                <w:b/>
                <w:bCs/>
                <w:color w:val="FFFFFF"/>
                <w:sz w:val="20"/>
                <w:szCs w:val="20"/>
              </w:rPr>
              <w:t>Page 5 — Category Tooltip</w:t>
            </w:r>
          </w:p>
        </w:tc>
        <w:tc>
          <w:tcPr>
            <w:tcW w:w="6860" w:type="dxa"/>
            <w:tcBorders>
              <w:top w:val="single" w:sz="1" w:space="0" w:color="D0D0D0"/>
              <w:left w:val="single" w:sz="1" w:space="0" w:color="D0D0D0"/>
              <w:bottom w:val="single" w:sz="1" w:space="0" w:color="D0D0D0"/>
              <w:right w:val="single" w:sz="1" w:space="0" w:color="D0D0D0"/>
            </w:tcBorders>
            <w:shd w:val="clear" w:color="auto" w:fill="EAF6FB"/>
            <w:tcMar>
              <w:top w:w="100" w:type="dxa"/>
              <w:left w:w="150" w:type="dxa"/>
              <w:bottom w:w="100" w:type="dxa"/>
              <w:right w:w="150" w:type="dxa"/>
            </w:tcMar>
          </w:tcPr>
          <w:p w14:paraId="17235036" w14:textId="77777777" w:rsidR="00A41529" w:rsidRDefault="00A41529" w:rsidP="00E41F17">
            <w:r>
              <w:rPr>
                <w:rFonts w:ascii="Arial" w:eastAsia="Arial" w:hAnsi="Arial" w:cs="Arial"/>
                <w:color w:val="1A1A2E"/>
                <w:sz w:val="20"/>
                <w:szCs w:val="20"/>
              </w:rPr>
              <w:t>A mini pop-up visual (tooltip page) that appears when hovering over product categories in charts. It shows contextual details without needing to navigate away.</w:t>
            </w:r>
          </w:p>
        </w:tc>
      </w:tr>
    </w:tbl>
    <w:p w14:paraId="770AFC8C" w14:textId="77777777" w:rsidR="00A41529" w:rsidRDefault="00A41529" w:rsidP="00A415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41529" w14:paraId="499170A7" w14:textId="77777777" w:rsidTr="00E41F1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00B0A0"/>
            <w:tcMar>
              <w:top w:w="100" w:type="dxa"/>
              <w:left w:w="150" w:type="dxa"/>
              <w:bottom w:w="100" w:type="dxa"/>
              <w:right w:w="150" w:type="dxa"/>
            </w:tcMar>
          </w:tcPr>
          <w:p w14:paraId="7B878855" w14:textId="77777777" w:rsidR="00A41529" w:rsidRDefault="00A41529" w:rsidP="00E41F17">
            <w:r>
              <w:rPr>
                <w:rFonts w:ascii="Arial" w:eastAsia="Arial" w:hAnsi="Arial" w:cs="Arial"/>
                <w:b/>
                <w:bCs/>
                <w:color w:val="FFFFFF"/>
                <w:sz w:val="20"/>
                <w:szCs w:val="20"/>
              </w:rPr>
              <w:t>Page 6 — Decomposition Trees</w:t>
            </w:r>
          </w:p>
        </w:tc>
        <w:tc>
          <w:tcPr>
            <w:tcW w:w="6860" w:type="dxa"/>
            <w:tcBorders>
              <w:top w:val="single" w:sz="1" w:space="0" w:color="D0D0D0"/>
              <w:left w:val="single" w:sz="1" w:space="0" w:color="D0D0D0"/>
              <w:bottom w:val="single" w:sz="1" w:space="0" w:color="D0D0D0"/>
              <w:right w:val="single" w:sz="1" w:space="0" w:color="D0D0D0"/>
            </w:tcBorders>
            <w:shd w:val="clear" w:color="auto" w:fill="EAF6FB"/>
            <w:tcMar>
              <w:top w:w="100" w:type="dxa"/>
              <w:left w:w="150" w:type="dxa"/>
              <w:bottom w:w="100" w:type="dxa"/>
              <w:right w:w="150" w:type="dxa"/>
            </w:tcMar>
          </w:tcPr>
          <w:p w14:paraId="1986204A" w14:textId="77777777" w:rsidR="00A41529" w:rsidRDefault="00A41529" w:rsidP="00E41F17">
            <w:r>
              <w:rPr>
                <w:rFonts w:ascii="Arial" w:eastAsia="Arial" w:hAnsi="Arial" w:cs="Arial"/>
                <w:color w:val="1A1A2E"/>
                <w:sz w:val="20"/>
                <w:szCs w:val="20"/>
              </w:rPr>
              <w:t xml:space="preserve">Two advanced analytical visuals: (1) A Manual Root Cause Tree — used to break down why the return rate is high, tracing it through Category &gt; </w:t>
            </w:r>
            <w:proofErr w:type="spellStart"/>
            <w:r>
              <w:rPr>
                <w:rFonts w:ascii="Arial" w:eastAsia="Arial" w:hAnsi="Arial" w:cs="Arial"/>
                <w:color w:val="1A1A2E"/>
                <w:sz w:val="20"/>
                <w:szCs w:val="20"/>
              </w:rPr>
              <w:t>SubCategory</w:t>
            </w:r>
            <w:proofErr w:type="spellEnd"/>
            <w:r>
              <w:rPr>
                <w:rFonts w:ascii="Arial" w:eastAsia="Arial" w:hAnsi="Arial" w:cs="Arial"/>
                <w:color w:val="1A1A2E"/>
                <w:sz w:val="20"/>
                <w:szCs w:val="20"/>
              </w:rPr>
              <w:t xml:space="preserve"> &gt; Product. (2) An AI Split Tree — Power BI's AI visual that automatically segments total orders by product name to find patterns.</w:t>
            </w:r>
          </w:p>
        </w:tc>
      </w:tr>
    </w:tbl>
    <w:p w14:paraId="6B9B923A" w14:textId="77777777" w:rsidR="00A41529" w:rsidRDefault="00A41529" w:rsidP="00A415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41529" w14:paraId="7820B2AC" w14:textId="77777777" w:rsidTr="00E41F1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00B0A0"/>
            <w:tcMar>
              <w:top w:w="100" w:type="dxa"/>
              <w:left w:w="150" w:type="dxa"/>
              <w:bottom w:w="100" w:type="dxa"/>
              <w:right w:w="150" w:type="dxa"/>
            </w:tcMar>
          </w:tcPr>
          <w:p w14:paraId="4A45B9EC" w14:textId="77777777" w:rsidR="00A41529" w:rsidRDefault="00A41529" w:rsidP="00E41F17">
            <w:r>
              <w:rPr>
                <w:rFonts w:ascii="Arial" w:eastAsia="Arial" w:hAnsi="Arial" w:cs="Arial"/>
                <w:b/>
                <w:bCs/>
                <w:color w:val="FFFFFF"/>
                <w:sz w:val="20"/>
                <w:szCs w:val="20"/>
              </w:rPr>
              <w:t>Page 7 — Key Influencers</w:t>
            </w:r>
          </w:p>
        </w:tc>
        <w:tc>
          <w:tcPr>
            <w:tcW w:w="6860" w:type="dxa"/>
            <w:tcBorders>
              <w:top w:val="single" w:sz="1" w:space="0" w:color="D0D0D0"/>
              <w:left w:val="single" w:sz="1" w:space="0" w:color="D0D0D0"/>
              <w:bottom w:val="single" w:sz="1" w:space="0" w:color="D0D0D0"/>
              <w:right w:val="single" w:sz="1" w:space="0" w:color="D0D0D0"/>
            </w:tcBorders>
            <w:shd w:val="clear" w:color="auto" w:fill="EAF6FB"/>
            <w:tcMar>
              <w:top w:w="100" w:type="dxa"/>
              <w:left w:w="150" w:type="dxa"/>
              <w:bottom w:w="100" w:type="dxa"/>
              <w:right w:w="150" w:type="dxa"/>
            </w:tcMar>
          </w:tcPr>
          <w:p w14:paraId="6FFA8080" w14:textId="77777777" w:rsidR="00A41529" w:rsidRDefault="00A41529" w:rsidP="00E41F17">
            <w:r>
              <w:rPr>
                <w:rFonts w:ascii="Arial" w:eastAsia="Arial" w:hAnsi="Arial" w:cs="Arial"/>
                <w:color w:val="1A1A2E"/>
                <w:sz w:val="20"/>
                <w:szCs w:val="20"/>
              </w:rPr>
              <w:t>An AI-powered visual that answers the question: 'What makes a product's price go high?' It identified that when the sum of product cost is greater than $1,481, the price is likely to be $3,270 — pointing to premium product segments.</w:t>
            </w:r>
          </w:p>
        </w:tc>
      </w:tr>
    </w:tbl>
    <w:p w14:paraId="25E48D2B" w14:textId="77777777" w:rsidR="00A41529" w:rsidRDefault="00A41529" w:rsidP="00A41529">
      <w:pPr>
        <w:rPr>
          <w:b/>
          <w:bCs/>
          <w:sz w:val="32"/>
          <w:szCs w:val="32"/>
          <w:u w:val="single"/>
          <w:lang w:val="en-US"/>
        </w:rPr>
      </w:pPr>
    </w:p>
    <w:p w14:paraId="37605C40" w14:textId="77777777" w:rsidR="00A41529" w:rsidRDefault="00A41529" w:rsidP="00A41529">
      <w:pPr>
        <w:rPr>
          <w:b/>
          <w:bCs/>
          <w:sz w:val="32"/>
          <w:szCs w:val="32"/>
          <w:u w:val="single"/>
          <w:lang w:val="en-US"/>
        </w:rPr>
      </w:pPr>
    </w:p>
    <w:p w14:paraId="7A803B7B" w14:textId="77777777" w:rsidR="00A41529" w:rsidRDefault="00A41529" w:rsidP="00A41529">
      <w:pPr>
        <w:pStyle w:val="Heading2"/>
      </w:pPr>
      <w:r>
        <w:rPr>
          <w:rFonts w:ascii="Arial" w:eastAsia="Arial" w:hAnsi="Arial" w:cs="Arial"/>
          <w:b/>
          <w:bCs/>
          <w:color w:val="2E86C1"/>
          <w:sz w:val="28"/>
          <w:szCs w:val="28"/>
        </w:rPr>
        <w:t>What makes this dashboard special?</w:t>
      </w:r>
    </w:p>
    <w:p w14:paraId="2476D45F" w14:textId="77777777" w:rsidR="00A41529" w:rsidRDefault="00A41529" w:rsidP="00A41529">
      <w:pPr>
        <w:pStyle w:val="ListParagraph"/>
        <w:numPr>
          <w:ilvl w:val="0"/>
          <w:numId w:val="1"/>
        </w:numPr>
        <w:spacing w:before="60" w:after="60" w:line="240" w:lineRule="auto"/>
        <w:contextualSpacing w:val="0"/>
      </w:pPr>
      <w:r>
        <w:rPr>
          <w:rFonts w:ascii="Arial" w:eastAsia="Arial" w:hAnsi="Arial" w:cs="Arial"/>
        </w:rPr>
        <w:t>It uses AI visuals (Key Influencers, Decomposition Trees) — not just standard charts</w:t>
      </w:r>
    </w:p>
    <w:p w14:paraId="7DBE0F8F" w14:textId="77777777" w:rsidR="00A41529" w:rsidRDefault="00A41529" w:rsidP="00A41529">
      <w:pPr>
        <w:pStyle w:val="ListParagraph"/>
        <w:numPr>
          <w:ilvl w:val="0"/>
          <w:numId w:val="1"/>
        </w:numPr>
        <w:spacing w:before="60" w:after="60" w:line="240" w:lineRule="auto"/>
        <w:contextualSpacing w:val="0"/>
      </w:pPr>
      <w:r>
        <w:rPr>
          <w:rFonts w:ascii="Arial" w:eastAsia="Arial" w:hAnsi="Arial" w:cs="Arial"/>
        </w:rPr>
        <w:t>It has anomaly detection built in — it automatically flagged July 2021 revenue ($19,039) as unusually low (expected: $61,615–$71,736)</w:t>
      </w:r>
    </w:p>
    <w:p w14:paraId="7F67D2FD" w14:textId="77777777" w:rsidR="00A41529" w:rsidRDefault="00A41529" w:rsidP="00A41529">
      <w:pPr>
        <w:pStyle w:val="ListParagraph"/>
        <w:numPr>
          <w:ilvl w:val="0"/>
          <w:numId w:val="1"/>
        </w:numPr>
        <w:spacing w:before="60" w:after="60" w:line="240" w:lineRule="auto"/>
        <w:contextualSpacing w:val="0"/>
      </w:pPr>
      <w:r>
        <w:rPr>
          <w:rFonts w:ascii="Arial" w:eastAsia="Arial" w:hAnsi="Arial" w:cs="Arial"/>
        </w:rPr>
        <w:t>It has interactive filters — every chart responds to clicks and selections</w:t>
      </w:r>
    </w:p>
    <w:p w14:paraId="4D161F6F" w14:textId="77777777" w:rsidR="00A41529" w:rsidRDefault="00A41529" w:rsidP="00A41529">
      <w:pPr>
        <w:pStyle w:val="ListParagraph"/>
        <w:numPr>
          <w:ilvl w:val="0"/>
          <w:numId w:val="1"/>
        </w:numPr>
        <w:spacing w:before="60" w:after="60" w:line="240" w:lineRule="auto"/>
        <w:contextualSpacing w:val="0"/>
      </w:pPr>
      <w:r>
        <w:rPr>
          <w:rFonts w:ascii="Arial" w:eastAsia="Arial" w:hAnsi="Arial" w:cs="Arial"/>
        </w:rPr>
        <w:t>It spans 9 pages covering executive, geographic, product, and customer perspectives</w:t>
      </w:r>
    </w:p>
    <w:p w14:paraId="64C0B1F9" w14:textId="77777777" w:rsidR="00A41529" w:rsidRDefault="00A41529" w:rsidP="00A41529">
      <w:pPr>
        <w:pStyle w:val="ListParagraph"/>
        <w:numPr>
          <w:ilvl w:val="0"/>
          <w:numId w:val="1"/>
        </w:numPr>
        <w:spacing w:before="60" w:after="60" w:line="240" w:lineRule="auto"/>
        <w:contextualSpacing w:val="0"/>
      </w:pPr>
      <w:r>
        <w:rPr>
          <w:rFonts w:ascii="Arial" w:eastAsia="Arial" w:hAnsi="Arial" w:cs="Arial"/>
        </w:rPr>
        <w:t>It includes a What-If scenario tool for pricing strategy simulation</w:t>
      </w:r>
    </w:p>
    <w:p w14:paraId="06F3CB2A" w14:textId="77777777" w:rsidR="00A41529" w:rsidRDefault="00A41529" w:rsidP="00A41529">
      <w:pPr>
        <w:rPr>
          <w:b/>
          <w:bCs/>
          <w:sz w:val="32"/>
          <w:szCs w:val="32"/>
          <w:u w:val="single"/>
          <w:lang w:val="en-US"/>
        </w:rPr>
      </w:pPr>
    </w:p>
    <w:p w14:paraId="4E51CE7B" w14:textId="77777777" w:rsidR="00A41529" w:rsidRDefault="00A41529" w:rsidP="00A41529">
      <w:pPr>
        <w:rPr>
          <w:b/>
          <w:bCs/>
          <w:sz w:val="32"/>
          <w:szCs w:val="32"/>
          <w:u w:val="single"/>
          <w:lang w:val="en-US"/>
        </w:rPr>
      </w:pPr>
    </w:p>
    <w:p w14:paraId="30594286" w14:textId="77777777" w:rsidR="00A41529" w:rsidRPr="00A41529" w:rsidRDefault="00A41529" w:rsidP="00A41529">
      <w:pPr>
        <w:rPr>
          <w:b/>
          <w:bCs/>
          <w:sz w:val="32"/>
          <w:szCs w:val="32"/>
          <w:u w:val="single"/>
          <w:lang w:val="en-US"/>
        </w:rPr>
      </w:pPr>
    </w:p>
    <w:sectPr w:rsidR="00A41529" w:rsidRPr="00A415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A67D3"/>
    <w:multiLevelType w:val="hybridMultilevel"/>
    <w:tmpl w:val="CC1A7C4A"/>
    <w:lvl w:ilvl="0" w:tplc="B07E79E8">
      <w:start w:val="1"/>
      <w:numFmt w:val="bullet"/>
      <w:lvlText w:val="•"/>
      <w:lvlJc w:val="left"/>
      <w:pPr>
        <w:ind w:left="720" w:hanging="360"/>
      </w:pPr>
    </w:lvl>
    <w:lvl w:ilvl="1" w:tplc="49744A0C">
      <w:numFmt w:val="decimal"/>
      <w:lvlText w:val=""/>
      <w:lvlJc w:val="left"/>
    </w:lvl>
    <w:lvl w:ilvl="2" w:tplc="FFAE75D0">
      <w:numFmt w:val="decimal"/>
      <w:lvlText w:val=""/>
      <w:lvlJc w:val="left"/>
    </w:lvl>
    <w:lvl w:ilvl="3" w:tplc="14B0E15E">
      <w:numFmt w:val="decimal"/>
      <w:lvlText w:val=""/>
      <w:lvlJc w:val="left"/>
    </w:lvl>
    <w:lvl w:ilvl="4" w:tplc="4E4AD8C4">
      <w:numFmt w:val="decimal"/>
      <w:lvlText w:val=""/>
      <w:lvlJc w:val="left"/>
    </w:lvl>
    <w:lvl w:ilvl="5" w:tplc="82E071F6">
      <w:numFmt w:val="decimal"/>
      <w:lvlText w:val=""/>
      <w:lvlJc w:val="left"/>
    </w:lvl>
    <w:lvl w:ilvl="6" w:tplc="434AECC6">
      <w:numFmt w:val="decimal"/>
      <w:lvlText w:val=""/>
      <w:lvlJc w:val="left"/>
    </w:lvl>
    <w:lvl w:ilvl="7" w:tplc="2B20F460">
      <w:numFmt w:val="decimal"/>
      <w:lvlText w:val=""/>
      <w:lvlJc w:val="left"/>
    </w:lvl>
    <w:lvl w:ilvl="8" w:tplc="BA12CC7C">
      <w:numFmt w:val="decimal"/>
      <w:lvlText w:val=""/>
      <w:lvlJc w:val="left"/>
    </w:lvl>
  </w:abstractNum>
  <w:num w:numId="1" w16cid:durableId="1170561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529"/>
    <w:rsid w:val="00145A35"/>
    <w:rsid w:val="00A41529"/>
    <w:rsid w:val="00B00E50"/>
    <w:rsid w:val="00FE6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D273"/>
  <w15:chartTrackingRefBased/>
  <w15:docId w15:val="{7348B232-7273-44A9-A3C4-1519D7BAD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529"/>
    <w:rPr>
      <w:rFonts w:eastAsiaTheme="majorEastAsia" w:cstheme="majorBidi"/>
      <w:color w:val="272727" w:themeColor="text1" w:themeTint="D8"/>
    </w:rPr>
  </w:style>
  <w:style w:type="paragraph" w:styleId="Title">
    <w:name w:val="Title"/>
    <w:basedOn w:val="Normal"/>
    <w:next w:val="Normal"/>
    <w:link w:val="TitleChar"/>
    <w:uiPriority w:val="10"/>
    <w:qFormat/>
    <w:rsid w:val="00A41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529"/>
    <w:pPr>
      <w:spacing w:before="160"/>
      <w:jc w:val="center"/>
    </w:pPr>
    <w:rPr>
      <w:i/>
      <w:iCs/>
      <w:color w:val="404040" w:themeColor="text1" w:themeTint="BF"/>
    </w:rPr>
  </w:style>
  <w:style w:type="character" w:customStyle="1" w:styleId="QuoteChar">
    <w:name w:val="Quote Char"/>
    <w:basedOn w:val="DefaultParagraphFont"/>
    <w:link w:val="Quote"/>
    <w:uiPriority w:val="29"/>
    <w:rsid w:val="00A41529"/>
    <w:rPr>
      <w:i/>
      <w:iCs/>
      <w:color w:val="404040" w:themeColor="text1" w:themeTint="BF"/>
    </w:rPr>
  </w:style>
  <w:style w:type="paragraph" w:styleId="ListParagraph">
    <w:name w:val="List Paragraph"/>
    <w:basedOn w:val="Normal"/>
    <w:qFormat/>
    <w:rsid w:val="00A41529"/>
    <w:pPr>
      <w:ind w:left="720"/>
      <w:contextualSpacing/>
    </w:pPr>
  </w:style>
  <w:style w:type="character" w:styleId="IntenseEmphasis">
    <w:name w:val="Intense Emphasis"/>
    <w:basedOn w:val="DefaultParagraphFont"/>
    <w:uiPriority w:val="21"/>
    <w:qFormat/>
    <w:rsid w:val="00A41529"/>
    <w:rPr>
      <w:i/>
      <w:iCs/>
      <w:color w:val="0F4761" w:themeColor="accent1" w:themeShade="BF"/>
    </w:rPr>
  </w:style>
  <w:style w:type="paragraph" w:styleId="IntenseQuote">
    <w:name w:val="Intense Quote"/>
    <w:basedOn w:val="Normal"/>
    <w:next w:val="Normal"/>
    <w:link w:val="IntenseQuoteChar"/>
    <w:uiPriority w:val="30"/>
    <w:qFormat/>
    <w:rsid w:val="00A41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529"/>
    <w:rPr>
      <w:i/>
      <w:iCs/>
      <w:color w:val="0F4761" w:themeColor="accent1" w:themeShade="BF"/>
    </w:rPr>
  </w:style>
  <w:style w:type="character" w:styleId="IntenseReference">
    <w:name w:val="Intense Reference"/>
    <w:basedOn w:val="DefaultParagraphFont"/>
    <w:uiPriority w:val="32"/>
    <w:qFormat/>
    <w:rsid w:val="00A415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Lande</dc:creator>
  <cp:keywords/>
  <dc:description/>
  <cp:lastModifiedBy>Arjun Lande</cp:lastModifiedBy>
  <cp:revision>1</cp:revision>
  <dcterms:created xsi:type="dcterms:W3CDTF">2026-05-08T20:59:00Z</dcterms:created>
  <dcterms:modified xsi:type="dcterms:W3CDTF">2026-05-08T21:04:00Z</dcterms:modified>
</cp:coreProperties>
</file>