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BostonHousing.ipynb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dimension of the data frame and assign them to two variable nrows and ncols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columns (variables in the dataset)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the first 5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the last 5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the first 10 rows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summary statistics for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breakup of data as per the categorical variable ‘CHAS’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breakup of houses according to the categorical variable ‘CAT.MEDV’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mean of MEDV grouped-by ‘CHAS’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median of MEDV grouped-by ‘CHAS’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Scatterplot of LSTAT vs MEDV with x and y labels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Histogram of MEDV with labels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Boxplot of MEDV vs CHAS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Boxplot of LSTAT vs CAT.MEDV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Scatterplot Matrix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Scatterplot of CRIM vs MEDV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Scatterplot of CRIM vs MEDV (Log Transformed)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3E30C9"/>
    <w:pPr>
      <w:spacing w:after="0" w:line="240" w:lineRule="auto"/>
    </w:pPr>
  </w:style>
  <w:style w:type="paragraph" w:styleId="ListParagraph">
    <w:name w:val="List Paragraph"/>
    <w:basedOn w:val="Normal"/>
    <w:uiPriority w:val="34"/>
    <w:qFormat w:val="1"/>
    <w:rsid w:val="003E30C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2019-06-22T16:47:00Z</dcterms:created>
  <dc:creator>VM</dc:creator>
</cp:coreProperties>
</file>