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357" w:rsidRDefault="00AC4357" w:rsidP="00AC4357">
      <w:pPr>
        <w:pStyle w:val="Heading1"/>
      </w:pPr>
      <w:r>
        <w:t>Problem Definition</w:t>
      </w:r>
    </w:p>
    <w:p w:rsidR="00AC4357" w:rsidRDefault="00AC4357" w:rsidP="00AC4357">
      <w:pPr>
        <w:pStyle w:val="NormalWeb"/>
        <w:shd w:val="clear" w:color="auto" w:fill="FFFFFF"/>
        <w:spacing w:before="0" w:beforeAutospacing="0" w:after="0" w:afterAutospacing="0"/>
        <w:ind w:left="450"/>
        <w:jc w:val="both"/>
        <w:rPr>
          <w:rFonts w:ascii="Arial" w:hAnsi="Arial" w:cs="Arial"/>
          <w:color w:val="393C3D"/>
          <w:sz w:val="21"/>
          <w:szCs w:val="21"/>
        </w:rPr>
      </w:pPr>
    </w:p>
    <w:p w:rsidR="00AC4357" w:rsidRDefault="00AC4357" w:rsidP="00AC4357">
      <w:pPr>
        <w:pStyle w:val="NormalWeb"/>
        <w:shd w:val="clear" w:color="auto" w:fill="FFFFFF"/>
        <w:spacing w:before="0" w:beforeAutospacing="0" w:after="0" w:afterAutospacing="0"/>
        <w:ind w:left="450"/>
        <w:jc w:val="both"/>
        <w:rPr>
          <w:rFonts w:ascii="Arial" w:hAnsi="Arial" w:cs="Arial"/>
          <w:color w:val="393C3D"/>
          <w:sz w:val="21"/>
          <w:szCs w:val="21"/>
        </w:rPr>
      </w:pPr>
      <w:r>
        <w:rPr>
          <w:rFonts w:ascii="Arial" w:hAnsi="Arial" w:cs="Arial"/>
          <w:color w:val="393C3D"/>
          <w:sz w:val="21"/>
          <w:szCs w:val="21"/>
        </w:rPr>
        <w:t>The 401K portfolio is an investment that any investor needs to be continuously monitoring to ensure that his/her hard earned money is being put to good use. Unfortunately, in many cases a lack of understanding on how to analyze fund data along with schedule constraints makes the management of this task cumbersome which results in missed opportunities and loss of money. In addition, the 401K management interface, does not have a robust suggestion feature that users can avail to make investment decisions. Investors are presented with one of two options:</w:t>
      </w:r>
    </w:p>
    <w:p w:rsidR="00AC4357" w:rsidRDefault="00AC4357" w:rsidP="00AC4357">
      <w:pPr>
        <w:pStyle w:val="NormalWeb"/>
        <w:shd w:val="clear" w:color="auto" w:fill="FFFFFF"/>
        <w:spacing w:before="0" w:beforeAutospacing="0" w:after="0" w:afterAutospacing="0"/>
        <w:ind w:left="450"/>
        <w:jc w:val="both"/>
        <w:rPr>
          <w:rFonts w:ascii="Arial" w:hAnsi="Arial" w:cs="Arial"/>
          <w:color w:val="393C3D"/>
          <w:sz w:val="21"/>
          <w:szCs w:val="21"/>
        </w:rPr>
      </w:pPr>
    </w:p>
    <w:p w:rsidR="00AC4357" w:rsidRDefault="00AC4357" w:rsidP="00AC4357">
      <w:pPr>
        <w:pStyle w:val="NormalWeb"/>
        <w:numPr>
          <w:ilvl w:val="0"/>
          <w:numId w:val="2"/>
        </w:numPr>
        <w:shd w:val="clear" w:color="auto" w:fill="FFFFFF"/>
        <w:spacing w:before="0" w:beforeAutospacing="0" w:after="0" w:afterAutospacing="0"/>
        <w:jc w:val="both"/>
        <w:rPr>
          <w:rFonts w:ascii="Arial" w:hAnsi="Arial" w:cs="Arial"/>
          <w:color w:val="393C3D"/>
          <w:sz w:val="21"/>
          <w:szCs w:val="21"/>
        </w:rPr>
      </w:pPr>
      <w:r>
        <w:rPr>
          <w:rFonts w:ascii="Arial" w:hAnsi="Arial" w:cs="Arial"/>
          <w:color w:val="393C3D"/>
          <w:sz w:val="21"/>
          <w:szCs w:val="21"/>
        </w:rPr>
        <w:t>Make their own investment decisions using the fund information feature</w:t>
      </w:r>
    </w:p>
    <w:p w:rsidR="00AC4357" w:rsidRDefault="00AC4357" w:rsidP="00AC4357">
      <w:pPr>
        <w:pStyle w:val="NormalWeb"/>
        <w:shd w:val="clear" w:color="auto" w:fill="FFFFFF"/>
        <w:spacing w:before="0" w:beforeAutospacing="0" w:after="0" w:afterAutospacing="0"/>
        <w:ind w:left="1170"/>
        <w:jc w:val="both"/>
        <w:rPr>
          <w:rFonts w:ascii="Arial" w:hAnsi="Arial" w:cs="Arial"/>
          <w:color w:val="393C3D"/>
          <w:sz w:val="21"/>
          <w:szCs w:val="21"/>
        </w:rPr>
      </w:pPr>
      <w:r>
        <w:rPr>
          <w:noProof/>
        </w:rPr>
        <w:drawing>
          <wp:inline distT="0" distB="0" distL="0" distR="0" wp14:anchorId="594BF10E" wp14:editId="516B9534">
            <wp:extent cx="2930035" cy="12465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416" cy="1261143"/>
                    </a:xfrm>
                    <a:prstGeom prst="rect">
                      <a:avLst/>
                    </a:prstGeom>
                  </pic:spPr>
                </pic:pic>
              </a:graphicData>
            </a:graphic>
          </wp:inline>
        </w:drawing>
      </w:r>
    </w:p>
    <w:p w:rsidR="00AC4357" w:rsidRDefault="00AC4357" w:rsidP="00AC4357">
      <w:pPr>
        <w:pStyle w:val="NormalWeb"/>
        <w:numPr>
          <w:ilvl w:val="0"/>
          <w:numId w:val="2"/>
        </w:numPr>
        <w:shd w:val="clear" w:color="auto" w:fill="FFFFFF"/>
        <w:spacing w:before="0" w:beforeAutospacing="0" w:after="0" w:afterAutospacing="0"/>
        <w:jc w:val="both"/>
        <w:rPr>
          <w:rFonts w:ascii="Arial" w:hAnsi="Arial" w:cs="Arial"/>
          <w:color w:val="393C3D"/>
          <w:sz w:val="21"/>
          <w:szCs w:val="21"/>
        </w:rPr>
      </w:pPr>
      <w:r>
        <w:rPr>
          <w:rFonts w:ascii="Arial" w:hAnsi="Arial" w:cs="Arial"/>
          <w:color w:val="393C3D"/>
          <w:sz w:val="21"/>
          <w:szCs w:val="21"/>
        </w:rPr>
        <w:t>Use the model portfolio feature that looks like below to allocate funds by default</w:t>
      </w:r>
    </w:p>
    <w:p w:rsidR="00AC4357" w:rsidRDefault="00AC4357" w:rsidP="00AC4357">
      <w:pPr>
        <w:pStyle w:val="NormalWeb"/>
        <w:shd w:val="clear" w:color="auto" w:fill="FFFFFF"/>
        <w:spacing w:before="0" w:beforeAutospacing="0" w:after="0" w:afterAutospacing="0"/>
        <w:ind w:left="1170"/>
        <w:jc w:val="both"/>
        <w:rPr>
          <w:rFonts w:ascii="Arial" w:hAnsi="Arial" w:cs="Arial"/>
          <w:color w:val="393C3D"/>
          <w:sz w:val="21"/>
          <w:szCs w:val="21"/>
        </w:rPr>
      </w:pPr>
      <w:r>
        <w:rPr>
          <w:noProof/>
        </w:rPr>
        <w:drawing>
          <wp:inline distT="0" distB="0" distL="0" distR="0" wp14:anchorId="2747D40B" wp14:editId="099E6FE8">
            <wp:extent cx="2915728" cy="171267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581" cy="1719054"/>
                    </a:xfrm>
                    <a:prstGeom prst="rect">
                      <a:avLst/>
                    </a:prstGeom>
                  </pic:spPr>
                </pic:pic>
              </a:graphicData>
            </a:graphic>
          </wp:inline>
        </w:drawing>
      </w:r>
    </w:p>
    <w:p w:rsidR="00AC4357" w:rsidRDefault="00AC4357" w:rsidP="00AC4357">
      <w:pPr>
        <w:pStyle w:val="NormalWeb"/>
        <w:shd w:val="clear" w:color="auto" w:fill="FFFFFF"/>
        <w:spacing w:before="0" w:beforeAutospacing="0" w:after="0" w:afterAutospacing="0"/>
        <w:jc w:val="both"/>
        <w:rPr>
          <w:rFonts w:ascii="Arial" w:hAnsi="Arial" w:cs="Arial"/>
          <w:color w:val="393C3D"/>
          <w:sz w:val="21"/>
          <w:szCs w:val="21"/>
        </w:rPr>
      </w:pPr>
    </w:p>
    <w:p w:rsidR="00AC4357" w:rsidRDefault="00AC4357" w:rsidP="00AC4357">
      <w:pPr>
        <w:pStyle w:val="NormalWeb"/>
        <w:shd w:val="clear" w:color="auto" w:fill="FFFFFF"/>
        <w:spacing w:before="0" w:beforeAutospacing="0" w:after="0" w:afterAutospacing="0"/>
        <w:rPr>
          <w:rFonts w:ascii="Arial" w:hAnsi="Arial" w:cs="Arial"/>
          <w:color w:val="393C3D"/>
          <w:sz w:val="21"/>
          <w:szCs w:val="21"/>
        </w:rPr>
      </w:pPr>
      <w:r>
        <w:rPr>
          <w:rFonts w:ascii="Arial" w:hAnsi="Arial" w:cs="Arial"/>
          <w:color w:val="393C3D"/>
          <w:sz w:val="21"/>
          <w:szCs w:val="21"/>
        </w:rPr>
        <w:t>In both cases above, the crucial element missing is factoring in the actual performance of funds in the economy which is not ideal. The problem that this project is attempting to solve is to provide this information to an investor in a timely fashion, so that he/she can continuously visit their portfolio and make informed investment decisions.</w:t>
      </w:r>
    </w:p>
    <w:p w:rsidR="00AC4357" w:rsidRDefault="00AC4357" w:rsidP="00AC4357">
      <w:pPr>
        <w:pStyle w:val="NormalWeb"/>
        <w:shd w:val="clear" w:color="auto" w:fill="FFFFFF"/>
        <w:spacing w:before="0" w:beforeAutospacing="0" w:after="0" w:afterAutospacing="0"/>
        <w:rPr>
          <w:rFonts w:ascii="Arial" w:hAnsi="Arial" w:cs="Arial"/>
          <w:color w:val="393C3D"/>
          <w:sz w:val="21"/>
          <w:szCs w:val="21"/>
        </w:rPr>
      </w:pPr>
    </w:p>
    <w:p w:rsidR="00AC4357" w:rsidRDefault="00AC4357" w:rsidP="00AC4357">
      <w:pPr>
        <w:pStyle w:val="Heading1"/>
      </w:pPr>
      <w:r>
        <w:t>Data Set</w:t>
      </w:r>
    </w:p>
    <w:p w:rsidR="00FC3215" w:rsidRDefault="00AC4357" w:rsidP="00FC3215">
      <w:pPr>
        <w:pStyle w:val="NormalWeb"/>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 xml:space="preserve">The day end prices for all funds can be obtained from Quandl. </w:t>
      </w:r>
      <w:r w:rsidR="00FC3215">
        <w:rPr>
          <w:rFonts w:ascii="Helvetica" w:hAnsi="Helvetica" w:cs="Helvetica"/>
          <w:color w:val="48485E"/>
          <w:sz w:val="21"/>
          <w:szCs w:val="21"/>
        </w:rPr>
        <w:t xml:space="preserve">The data elements available through the API </w:t>
      </w:r>
      <w:r w:rsidR="003E461C">
        <w:rPr>
          <w:rFonts w:ascii="Helvetica" w:hAnsi="Helvetica" w:cs="Helvetica"/>
          <w:color w:val="48485E"/>
          <w:sz w:val="21"/>
          <w:szCs w:val="21"/>
        </w:rPr>
        <w:t>were recorded</w:t>
      </w:r>
      <w:r w:rsidR="005B7D22">
        <w:rPr>
          <w:rFonts w:ascii="Helvetica" w:hAnsi="Helvetica" w:cs="Helvetica"/>
          <w:color w:val="48485E"/>
          <w:sz w:val="21"/>
          <w:szCs w:val="21"/>
        </w:rPr>
        <w:t xml:space="preserve"> into</w:t>
      </w:r>
      <w:r w:rsidR="003E461C">
        <w:rPr>
          <w:rFonts w:ascii="Helvetica" w:hAnsi="Helvetica" w:cs="Helvetica"/>
          <w:color w:val="48485E"/>
          <w:sz w:val="21"/>
          <w:szCs w:val="21"/>
        </w:rPr>
        <w:t xml:space="preserve"> data frames</w:t>
      </w:r>
      <w:r w:rsidR="005B7D22">
        <w:rPr>
          <w:rFonts w:ascii="Helvetica" w:hAnsi="Helvetica" w:cs="Helvetica"/>
          <w:color w:val="48485E"/>
          <w:sz w:val="21"/>
          <w:szCs w:val="21"/>
        </w:rPr>
        <w:t xml:space="preserve"> with following information.</w:t>
      </w:r>
    </w:p>
    <w:p w:rsidR="00AC4357" w:rsidRDefault="00AC4357" w:rsidP="00FC3215">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Date</w:t>
      </w:r>
      <w:r w:rsidR="005B5468">
        <w:rPr>
          <w:rFonts w:ascii="Helvetica" w:hAnsi="Helvetica" w:cs="Helvetica"/>
          <w:color w:val="48485E"/>
          <w:sz w:val="21"/>
          <w:szCs w:val="21"/>
        </w:rPr>
        <w:t xml:space="preserve"> – Date of record</w:t>
      </w:r>
    </w:p>
    <w:p w:rsidR="00AC4357" w:rsidRDefault="00AC4357" w:rsidP="00AC4357">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Adjusted Close</w:t>
      </w:r>
      <w:r w:rsidR="005B5468">
        <w:rPr>
          <w:rFonts w:ascii="Helvetica" w:hAnsi="Helvetica" w:cs="Helvetica"/>
          <w:color w:val="48485E"/>
          <w:sz w:val="21"/>
          <w:szCs w:val="21"/>
        </w:rPr>
        <w:t xml:space="preserve"> – Day end price of the 401K fund</w:t>
      </w:r>
    </w:p>
    <w:p w:rsidR="00AC4357" w:rsidRDefault="00AC4357" w:rsidP="00AC4357">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Ticker</w:t>
      </w:r>
      <w:r w:rsidR="005B5468">
        <w:rPr>
          <w:rFonts w:ascii="Helvetica" w:hAnsi="Helvetica" w:cs="Helvetica"/>
          <w:color w:val="48485E"/>
          <w:sz w:val="21"/>
          <w:szCs w:val="21"/>
        </w:rPr>
        <w:t xml:space="preserve"> – Ticker symbol</w:t>
      </w:r>
    </w:p>
    <w:p w:rsidR="005B7D22" w:rsidRDefault="005B7D22" w:rsidP="005B7D22">
      <w:pPr>
        <w:pStyle w:val="NormalWeb"/>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 xml:space="preserve">Additionally, a few derived variables have been added to add more meaning to the dataset. The approach is to create subsets for each ticker. </w:t>
      </w:r>
    </w:p>
    <w:p w:rsidR="00AC4357" w:rsidRDefault="005B5468" w:rsidP="003E461C">
      <w:pPr>
        <w:pStyle w:val="NormalWeb"/>
        <w:numPr>
          <w:ilvl w:val="0"/>
          <w:numId w:val="5"/>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Index – Increase/decrease from previous day</w:t>
      </w:r>
    </w:p>
    <w:p w:rsidR="005B5468" w:rsidRDefault="005B5468" w:rsidP="00AC4357">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Indicator – 1 if increase; 0 if decrease</w:t>
      </w:r>
    </w:p>
    <w:p w:rsidR="00A954EA" w:rsidRDefault="00A954EA" w:rsidP="005B5468">
      <w:pPr>
        <w:pStyle w:val="NormalWeb"/>
        <w:shd w:val="clear" w:color="auto" w:fill="FFFFFF"/>
        <w:spacing w:before="0" w:beforeAutospacing="0" w:after="0" w:afterAutospacing="0"/>
        <w:rPr>
          <w:rFonts w:ascii="Helvetica" w:hAnsi="Helvetica" w:cs="Helvetica"/>
          <w:color w:val="48485E"/>
          <w:sz w:val="21"/>
          <w:szCs w:val="21"/>
        </w:rPr>
      </w:pPr>
    </w:p>
    <w:p w:rsidR="00A954EA" w:rsidRDefault="00A954EA" w:rsidP="005B5468">
      <w:pPr>
        <w:pStyle w:val="NormalWeb"/>
        <w:shd w:val="clear" w:color="auto" w:fill="FFFFFF"/>
        <w:spacing w:before="0" w:beforeAutospacing="0" w:after="0" w:afterAutospacing="0"/>
        <w:rPr>
          <w:rFonts w:ascii="Helvetica" w:hAnsi="Helvetica" w:cs="Helvetica"/>
          <w:color w:val="48485E"/>
          <w:sz w:val="21"/>
          <w:szCs w:val="21"/>
        </w:rPr>
      </w:pPr>
    </w:p>
    <w:p w:rsidR="005B5468" w:rsidRDefault="005B5468" w:rsidP="005B5468">
      <w:pPr>
        <w:pStyle w:val="NormalWeb"/>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lastRenderedPageBreak/>
        <w:t xml:space="preserve">Once above subsets have been created, they are summarized/aggregated together into </w:t>
      </w:r>
      <w:r w:rsidR="00C816C0">
        <w:rPr>
          <w:rFonts w:ascii="Helvetica" w:hAnsi="Helvetica" w:cs="Helvetica"/>
          <w:color w:val="48485E"/>
          <w:sz w:val="21"/>
          <w:szCs w:val="21"/>
        </w:rPr>
        <w:t>a single</w:t>
      </w:r>
      <w:r>
        <w:rPr>
          <w:rFonts w:ascii="Helvetica" w:hAnsi="Helvetica" w:cs="Helvetica"/>
          <w:color w:val="48485E"/>
          <w:sz w:val="21"/>
          <w:szCs w:val="21"/>
        </w:rPr>
        <w:t xml:space="preserve"> data frame based on which the </w:t>
      </w:r>
      <w:r w:rsidR="00C816C0">
        <w:rPr>
          <w:rFonts w:ascii="Helvetica" w:hAnsi="Helvetica" w:cs="Helvetica"/>
          <w:color w:val="48485E"/>
          <w:sz w:val="21"/>
          <w:szCs w:val="21"/>
        </w:rPr>
        <w:t xml:space="preserve">final </w:t>
      </w:r>
      <w:r>
        <w:rPr>
          <w:rFonts w:ascii="Helvetica" w:hAnsi="Helvetica" w:cs="Helvetica"/>
          <w:color w:val="48485E"/>
          <w:sz w:val="21"/>
          <w:szCs w:val="21"/>
        </w:rPr>
        <w:t>model will be created. The fields in the new data frame are:</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Ticker</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Year</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Quarter</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Month</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No_Growth_Days</w:t>
      </w:r>
      <w:r w:rsidR="00A954EA">
        <w:rPr>
          <w:rFonts w:ascii="Helvetica" w:hAnsi="Helvetica" w:cs="Helvetica"/>
          <w:color w:val="48485E"/>
          <w:sz w:val="21"/>
          <w:szCs w:val="21"/>
        </w:rPr>
        <w:t xml:space="preserve"> – Count of days with positive growth</w:t>
      </w:r>
    </w:p>
    <w:p w:rsidR="00A954EA" w:rsidRDefault="005B5468" w:rsidP="00A33EE3">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sidRPr="00A954EA">
        <w:rPr>
          <w:rFonts w:ascii="Helvetica" w:hAnsi="Helvetica" w:cs="Helvetica"/>
          <w:color w:val="48485E"/>
          <w:sz w:val="21"/>
          <w:szCs w:val="21"/>
        </w:rPr>
        <w:t>No_No_Growth_Days</w:t>
      </w:r>
      <w:r w:rsidR="00A954EA" w:rsidRPr="00A954EA">
        <w:rPr>
          <w:rFonts w:ascii="Helvetica" w:hAnsi="Helvetica" w:cs="Helvetica"/>
          <w:color w:val="48485E"/>
          <w:sz w:val="21"/>
          <w:szCs w:val="21"/>
        </w:rPr>
        <w:t xml:space="preserve"> – Count of days with negative growth</w:t>
      </w:r>
    </w:p>
    <w:p w:rsidR="005B5468" w:rsidRPr="00A954EA" w:rsidRDefault="005B5468" w:rsidP="00A33EE3">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sidRPr="00A954EA">
        <w:rPr>
          <w:rFonts w:ascii="Helvetica" w:hAnsi="Helvetica" w:cs="Helvetica"/>
          <w:color w:val="48485E"/>
          <w:sz w:val="21"/>
          <w:szCs w:val="21"/>
        </w:rPr>
        <w:t>No_Positive_Runs</w:t>
      </w:r>
      <w:r w:rsidR="00A954EA" w:rsidRPr="00A954EA">
        <w:rPr>
          <w:rFonts w:ascii="Helvetica" w:hAnsi="Helvetica" w:cs="Helvetica"/>
          <w:color w:val="48485E"/>
          <w:sz w:val="21"/>
          <w:szCs w:val="21"/>
        </w:rPr>
        <w:t xml:space="preserve"> </w:t>
      </w:r>
      <w:r w:rsidR="00A954EA">
        <w:rPr>
          <w:rFonts w:ascii="Helvetica" w:hAnsi="Helvetica" w:cs="Helvetica"/>
          <w:color w:val="48485E"/>
          <w:sz w:val="21"/>
          <w:szCs w:val="21"/>
        </w:rPr>
        <w:t>–</w:t>
      </w:r>
      <w:r w:rsidR="00A954EA" w:rsidRPr="00A954EA">
        <w:rPr>
          <w:rFonts w:ascii="Helvetica" w:hAnsi="Helvetica" w:cs="Helvetica"/>
          <w:color w:val="48485E"/>
          <w:sz w:val="21"/>
          <w:szCs w:val="21"/>
        </w:rPr>
        <w:t xml:space="preserve"> </w:t>
      </w:r>
      <w:r w:rsidR="00A954EA">
        <w:rPr>
          <w:rFonts w:ascii="Helvetica" w:hAnsi="Helvetica" w:cs="Helvetica"/>
          <w:color w:val="48485E"/>
          <w:sz w:val="21"/>
          <w:szCs w:val="21"/>
        </w:rPr>
        <w:t>Highest continuous streak of positive growth</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No_Negative_Runs</w:t>
      </w:r>
      <w:r w:rsidR="00A954EA">
        <w:rPr>
          <w:rFonts w:ascii="Helvetica" w:hAnsi="Helvetica" w:cs="Helvetica"/>
          <w:color w:val="48485E"/>
          <w:sz w:val="21"/>
          <w:szCs w:val="21"/>
        </w:rPr>
        <w:t xml:space="preserve"> – Highest continuous streak of negative growth</w:t>
      </w:r>
    </w:p>
    <w:p w:rsidR="005B5468" w:rsidRPr="00A954EA" w:rsidRDefault="005B5468" w:rsidP="00A954EA">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Month_Begin_Price</w:t>
      </w:r>
      <w:r w:rsidR="00A954EA">
        <w:rPr>
          <w:rFonts w:ascii="Helvetica" w:hAnsi="Helvetica" w:cs="Helvetica"/>
          <w:color w:val="48485E"/>
          <w:sz w:val="21"/>
          <w:szCs w:val="21"/>
        </w:rPr>
        <w:t xml:space="preserve"> – Ticker price at the beginning of the month</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Month_End_Price</w:t>
      </w:r>
      <w:r w:rsidR="00A954EA">
        <w:rPr>
          <w:rFonts w:ascii="Helvetica" w:hAnsi="Helvetica" w:cs="Helvetica"/>
          <w:color w:val="48485E"/>
          <w:sz w:val="21"/>
          <w:szCs w:val="21"/>
        </w:rPr>
        <w:t xml:space="preserve"> – Ticker price at the end of the month</w:t>
      </w:r>
    </w:p>
    <w:p w:rsidR="00A954EA" w:rsidRDefault="00A954EA"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Range – Month end price – Month begin price</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Growth_Ratio</w:t>
      </w:r>
      <w:r w:rsidR="00A954EA">
        <w:rPr>
          <w:rFonts w:ascii="Helvetica" w:hAnsi="Helvetica" w:cs="Helvetica"/>
          <w:color w:val="48485E"/>
          <w:sz w:val="21"/>
          <w:szCs w:val="21"/>
        </w:rPr>
        <w:t xml:space="preserve"> – Percentage of growth that was continuous</w:t>
      </w:r>
    </w:p>
    <w:p w:rsidR="005B5468" w:rsidRDefault="005B5468" w:rsidP="005B5468">
      <w:pPr>
        <w:pStyle w:val="NormalWeb"/>
        <w:numPr>
          <w:ilvl w:val="0"/>
          <w:numId w:val="4"/>
        </w:numPr>
        <w:shd w:val="clear" w:color="auto" w:fill="FFFFFF"/>
        <w:spacing w:before="0" w:beforeAutospacing="0" w:after="0" w:afterAutospacing="0"/>
        <w:ind w:left="1170"/>
        <w:rPr>
          <w:rFonts w:ascii="Helvetica" w:hAnsi="Helvetica" w:cs="Helvetica"/>
          <w:color w:val="48485E"/>
          <w:sz w:val="21"/>
          <w:szCs w:val="21"/>
        </w:rPr>
      </w:pPr>
      <w:r>
        <w:rPr>
          <w:rFonts w:ascii="Helvetica" w:hAnsi="Helvetica" w:cs="Helvetica"/>
          <w:color w:val="48485E"/>
          <w:sz w:val="21"/>
          <w:szCs w:val="21"/>
        </w:rPr>
        <w:t>No_Growth_Ratio</w:t>
      </w:r>
      <w:r w:rsidR="00A954EA">
        <w:rPr>
          <w:rFonts w:ascii="Helvetica" w:hAnsi="Helvetica" w:cs="Helvetica"/>
          <w:color w:val="48485E"/>
          <w:sz w:val="21"/>
          <w:szCs w:val="21"/>
        </w:rPr>
        <w:t xml:space="preserve"> – Percentage of negative growth that was continuous</w:t>
      </w:r>
    </w:p>
    <w:p w:rsidR="005B5468" w:rsidRDefault="005B5468" w:rsidP="005B5468">
      <w:pPr>
        <w:pStyle w:val="NormalWeb"/>
        <w:shd w:val="clear" w:color="auto" w:fill="FFFFFF"/>
        <w:spacing w:before="0" w:beforeAutospacing="0" w:after="0" w:afterAutospacing="0"/>
        <w:rPr>
          <w:rFonts w:ascii="Helvetica" w:hAnsi="Helvetica" w:cs="Helvetica"/>
          <w:color w:val="48485E"/>
          <w:sz w:val="21"/>
          <w:szCs w:val="21"/>
        </w:rPr>
      </w:pPr>
    </w:p>
    <w:p w:rsidR="0006666B" w:rsidRDefault="0006666B" w:rsidP="0006666B">
      <w:pPr>
        <w:pStyle w:val="Heading1"/>
      </w:pPr>
      <w:r>
        <w:t>Analysis</w:t>
      </w:r>
    </w:p>
    <w:p w:rsidR="005B5468" w:rsidRDefault="00B53902" w:rsidP="005B5468">
      <w:pPr>
        <w:pStyle w:val="NormalWeb"/>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A summary table with the findings are as below with information on the recommended portfolio strategies and percentage allocations.</w:t>
      </w:r>
      <w:r w:rsidR="00EB5304">
        <w:rPr>
          <w:rFonts w:ascii="Helvetica" w:hAnsi="Helvetica" w:cs="Helvetica"/>
          <w:color w:val="48485E"/>
          <w:sz w:val="21"/>
          <w:szCs w:val="21"/>
        </w:rPr>
        <w:t xml:space="preserve"> Data range from 2013 </w:t>
      </w:r>
      <w:r w:rsidR="00A22005">
        <w:rPr>
          <w:rFonts w:ascii="Helvetica" w:hAnsi="Helvetica" w:cs="Helvetica"/>
          <w:color w:val="48485E"/>
          <w:sz w:val="21"/>
          <w:szCs w:val="21"/>
        </w:rPr>
        <w:t>–</w:t>
      </w:r>
      <w:r w:rsidR="00EB5304">
        <w:rPr>
          <w:rFonts w:ascii="Helvetica" w:hAnsi="Helvetica" w:cs="Helvetica"/>
          <w:color w:val="48485E"/>
          <w:sz w:val="21"/>
          <w:szCs w:val="21"/>
        </w:rPr>
        <w:t xml:space="preserve"> 2016</w:t>
      </w:r>
      <w:r w:rsidR="00A22005">
        <w:rPr>
          <w:rFonts w:ascii="Helvetica" w:hAnsi="Helvetica" w:cs="Helvetica"/>
          <w:color w:val="48485E"/>
          <w:sz w:val="21"/>
          <w:szCs w:val="21"/>
        </w:rPr>
        <w:t>. It is reliable to assume after the analysis that the suggested portfolios do result in good returns if invested over a longer duration.</w:t>
      </w:r>
      <w:r w:rsidR="00D4674D">
        <w:rPr>
          <w:rFonts w:ascii="Helvetica" w:hAnsi="Helvetica" w:cs="Helvetica"/>
          <w:color w:val="48485E"/>
          <w:sz w:val="21"/>
          <w:szCs w:val="21"/>
        </w:rPr>
        <w:t xml:space="preserve"> But the analysis was required to validate the data. </w:t>
      </w:r>
    </w:p>
    <w:p w:rsidR="00B53902" w:rsidRDefault="00B53902" w:rsidP="005B5468">
      <w:pPr>
        <w:pStyle w:val="NormalWeb"/>
        <w:shd w:val="clear" w:color="auto" w:fill="FFFFFF"/>
        <w:spacing w:before="0" w:beforeAutospacing="0" w:after="0" w:afterAutospacing="0"/>
        <w:rPr>
          <w:rFonts w:ascii="Helvetica" w:hAnsi="Helvetica" w:cs="Helvetica"/>
          <w:color w:val="48485E"/>
          <w:sz w:val="21"/>
          <w:szCs w:val="21"/>
        </w:rPr>
      </w:pPr>
    </w:p>
    <w:tbl>
      <w:tblPr>
        <w:tblW w:w="10798" w:type="dxa"/>
        <w:tblInd w:w="-635" w:type="dxa"/>
        <w:tblLook w:val="04A0" w:firstRow="1" w:lastRow="0" w:firstColumn="1" w:lastColumn="0" w:noHBand="0" w:noVBand="1"/>
      </w:tblPr>
      <w:tblGrid>
        <w:gridCol w:w="1522"/>
        <w:gridCol w:w="1448"/>
        <w:gridCol w:w="1440"/>
        <w:gridCol w:w="1375"/>
        <w:gridCol w:w="1375"/>
        <w:gridCol w:w="1111"/>
        <w:gridCol w:w="1359"/>
        <w:gridCol w:w="1168"/>
      </w:tblGrid>
      <w:tr w:rsidR="00B53902" w:rsidRPr="00B53902" w:rsidTr="00B53902">
        <w:trPr>
          <w:trHeight w:val="288"/>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Months Positive Growth</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Ticker Price Improvement</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Conservative</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Moderately Conservative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Moderate</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Moderately Aggressive</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Aggressive</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RFNGX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68.75</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19.35</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VSCIX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64.58</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25.02</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VSGIX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64.58</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13.00</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SWPPX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62.50</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12.44</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VASVX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60.42</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10.23</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VIGIX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58.33</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19.38</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CSRIX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58.33</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7.50</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VBTIX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56.25</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0.66</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40%</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SWISX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54.17</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1.90</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LSBDX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54.17</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1.32</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RERGX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50.00</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6.00</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VIPSX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50.00</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-0.52</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DFEMX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45.83</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-2.31</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DEMSX</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41.67</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-1.02</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r>
      <w:tr w:rsidR="00B53902" w:rsidRPr="00B53902" w:rsidTr="00B53902">
        <w:trPr>
          <w:trHeight w:val="288"/>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Morley_Stable</w:t>
            </w:r>
          </w:p>
        </w:tc>
        <w:tc>
          <w:tcPr>
            <w:tcW w:w="144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w:t>
            </w:r>
          </w:p>
        </w:tc>
        <w:tc>
          <w:tcPr>
            <w:tcW w:w="1375"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40%</w:t>
            </w:r>
          </w:p>
        </w:tc>
        <w:tc>
          <w:tcPr>
            <w:tcW w:w="1111"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p>
        </w:tc>
        <w:tc>
          <w:tcPr>
            <w:tcW w:w="1359" w:type="dxa"/>
            <w:tcBorders>
              <w:top w:val="nil"/>
              <w:left w:val="nil"/>
              <w:bottom w:val="single" w:sz="4" w:space="0" w:color="auto"/>
              <w:right w:val="single" w:sz="4" w:space="0" w:color="auto"/>
            </w:tcBorders>
            <w:shd w:val="clear" w:color="auto" w:fill="auto"/>
            <w:noWrap/>
            <w:vAlign w:val="bottom"/>
            <w:hideMark/>
          </w:tcPr>
          <w:p w:rsidR="00B53902" w:rsidRPr="00B53902" w:rsidRDefault="0043272E" w:rsidP="00B5390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168" w:type="dxa"/>
            <w:tcBorders>
              <w:top w:val="nil"/>
              <w:left w:val="nil"/>
              <w:bottom w:val="single" w:sz="4" w:space="0" w:color="auto"/>
              <w:right w:val="single" w:sz="4" w:space="0" w:color="auto"/>
            </w:tcBorders>
            <w:shd w:val="clear" w:color="auto" w:fill="auto"/>
            <w:noWrap/>
            <w:vAlign w:val="bottom"/>
            <w:hideMark/>
          </w:tcPr>
          <w:p w:rsidR="00B53902" w:rsidRPr="00B53902" w:rsidRDefault="00B53902" w:rsidP="00B53902">
            <w:pPr>
              <w:spacing w:after="0" w:line="240" w:lineRule="auto"/>
              <w:jc w:val="center"/>
              <w:rPr>
                <w:rFonts w:ascii="Calibri" w:eastAsia="Times New Roman" w:hAnsi="Calibri" w:cs="Times New Roman"/>
                <w:color w:val="000000"/>
              </w:rPr>
            </w:pPr>
            <w:r w:rsidRPr="00B53902">
              <w:rPr>
                <w:rFonts w:ascii="Calibri" w:eastAsia="Times New Roman" w:hAnsi="Calibri" w:cs="Times New Roman"/>
                <w:color w:val="000000"/>
              </w:rPr>
              <w:t> </w:t>
            </w:r>
          </w:p>
        </w:tc>
      </w:tr>
    </w:tbl>
    <w:p w:rsidR="00D4674D" w:rsidRDefault="00D4674D" w:rsidP="00D4674D">
      <w:pPr>
        <w:pStyle w:val="NormalWeb"/>
        <w:shd w:val="clear" w:color="auto" w:fill="FFFFFF"/>
        <w:spacing w:before="0" w:beforeAutospacing="0" w:after="0" w:afterAutospacing="0"/>
        <w:rPr>
          <w:noProof/>
        </w:rPr>
      </w:pPr>
    </w:p>
    <w:p w:rsidR="00D4674D" w:rsidRPr="00D4674D" w:rsidRDefault="00D4674D" w:rsidP="00D4674D">
      <w:pPr>
        <w:pStyle w:val="NormalWeb"/>
        <w:shd w:val="clear" w:color="auto" w:fill="FFFFFF"/>
        <w:spacing w:before="0" w:beforeAutospacing="0" w:after="0" w:afterAutospacing="0"/>
        <w:rPr>
          <w:rFonts w:asciiTheme="minorHAnsi" w:hAnsiTheme="minorHAnsi" w:cs="Helvetica"/>
          <w:noProof/>
          <w:sz w:val="22"/>
          <w:szCs w:val="22"/>
        </w:rPr>
      </w:pPr>
      <w:r w:rsidRPr="00D4674D">
        <w:rPr>
          <w:rFonts w:asciiTheme="minorHAnsi" w:hAnsiTheme="minorHAnsi" w:cs="Helvetica"/>
          <w:noProof/>
          <w:sz w:val="22"/>
          <w:szCs w:val="22"/>
        </w:rPr>
        <w:t xml:space="preserve">The generic trend </w:t>
      </w:r>
      <w:r>
        <w:rPr>
          <w:rFonts w:asciiTheme="minorHAnsi" w:hAnsiTheme="minorHAnsi" w:cs="Helvetica"/>
          <w:noProof/>
          <w:sz w:val="22"/>
          <w:szCs w:val="22"/>
        </w:rPr>
        <w:t>on most funds has been an upward movement in the ticker price as shown below.</w:t>
      </w:r>
    </w:p>
    <w:p w:rsidR="005B5468" w:rsidRDefault="0043768E" w:rsidP="005B5468">
      <w:pPr>
        <w:pStyle w:val="NormalWeb"/>
        <w:shd w:val="clear" w:color="auto" w:fill="FFFFFF"/>
        <w:spacing w:before="0" w:beforeAutospacing="0" w:after="0" w:afterAutospacing="0"/>
        <w:ind w:left="1170"/>
        <w:rPr>
          <w:rFonts w:ascii="Helvetica" w:hAnsi="Helvetica" w:cs="Helvetica"/>
          <w:color w:val="48485E"/>
          <w:sz w:val="21"/>
          <w:szCs w:val="21"/>
        </w:rPr>
      </w:pPr>
      <w:r>
        <w:rPr>
          <w:noProof/>
        </w:rPr>
        <w:lastRenderedPageBreak/>
        <w:drawing>
          <wp:inline distT="0" distB="0" distL="0" distR="0" wp14:anchorId="17D804C2" wp14:editId="15CFEE0D">
            <wp:extent cx="5147657" cy="212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346" cy="2133212"/>
                    </a:xfrm>
                    <a:prstGeom prst="rect">
                      <a:avLst/>
                    </a:prstGeom>
                  </pic:spPr>
                </pic:pic>
              </a:graphicData>
            </a:graphic>
          </wp:inline>
        </w:drawing>
      </w:r>
    </w:p>
    <w:p w:rsidR="00EB5304" w:rsidRDefault="00EB5304" w:rsidP="00EB5304">
      <w:pPr>
        <w:pStyle w:val="NormalWeb"/>
        <w:shd w:val="clear" w:color="auto" w:fill="FFFFFF"/>
        <w:spacing w:before="0" w:beforeAutospacing="0" w:after="0" w:afterAutospacing="0"/>
        <w:rPr>
          <w:rFonts w:ascii="Helvetica" w:hAnsi="Helvetica" w:cs="Helvetica"/>
          <w:color w:val="48485E"/>
          <w:sz w:val="21"/>
          <w:szCs w:val="21"/>
        </w:rPr>
      </w:pPr>
    </w:p>
    <w:p w:rsidR="00EB5304" w:rsidRDefault="00D4674D" w:rsidP="00EB5304">
      <w:pPr>
        <w:pStyle w:val="NormalWeb"/>
        <w:rPr>
          <w:rFonts w:ascii="Helvetica" w:hAnsi="Helvetica" w:cs="Helvetica"/>
          <w:color w:val="48485E"/>
          <w:sz w:val="21"/>
          <w:szCs w:val="21"/>
        </w:rPr>
      </w:pPr>
      <w:r>
        <w:rPr>
          <w:rFonts w:ascii="Helvetica" w:hAnsi="Helvetica" w:cs="Helvetica"/>
          <w:color w:val="48485E"/>
          <w:sz w:val="21"/>
          <w:szCs w:val="21"/>
        </w:rPr>
        <w:t>Special notes from the analysis:</w:t>
      </w:r>
    </w:p>
    <w:p w:rsidR="00EB5304" w:rsidRPr="00EB5304" w:rsidRDefault="00EB5304" w:rsidP="00EB5304">
      <w:pPr>
        <w:pStyle w:val="NormalWeb"/>
        <w:rPr>
          <w:rFonts w:ascii="Helvetica" w:hAnsi="Helvetica" w:cs="Helvetica"/>
          <w:color w:val="48485E"/>
          <w:sz w:val="21"/>
          <w:szCs w:val="21"/>
        </w:rPr>
      </w:pPr>
      <w:r w:rsidRPr="00EB5304">
        <w:rPr>
          <w:rFonts w:ascii="Helvetica" w:hAnsi="Helvetica" w:cs="Helvetica"/>
          <w:color w:val="48485E"/>
          <w:sz w:val="21"/>
          <w:szCs w:val="21"/>
        </w:rPr>
        <w:t>Tickers VASVX, VSCIX and VSGIX showed positive results in the month of February for all years</w:t>
      </w:r>
    </w:p>
    <w:p w:rsidR="00EB5304" w:rsidRPr="00EB5304" w:rsidRDefault="00EB5304" w:rsidP="00EB5304">
      <w:pPr>
        <w:pStyle w:val="NormalWeb"/>
        <w:rPr>
          <w:rFonts w:ascii="Helvetica" w:hAnsi="Helvetica" w:cs="Helvetica"/>
          <w:color w:val="48485E"/>
          <w:sz w:val="21"/>
          <w:szCs w:val="21"/>
        </w:rPr>
      </w:pPr>
      <w:r w:rsidRPr="00EB5304">
        <w:rPr>
          <w:rFonts w:ascii="Helvetica" w:hAnsi="Helvetica" w:cs="Helvetica"/>
          <w:color w:val="48485E"/>
          <w:sz w:val="21"/>
          <w:szCs w:val="21"/>
        </w:rPr>
        <w:t>Tickers DEMSX, LSBDX, SWISX showed positive results in the month of February for all years</w:t>
      </w:r>
    </w:p>
    <w:p w:rsidR="00EB5304" w:rsidRPr="00EB5304" w:rsidRDefault="00EB5304" w:rsidP="00EB5304">
      <w:pPr>
        <w:pStyle w:val="NormalWeb"/>
        <w:rPr>
          <w:rFonts w:ascii="Helvetica" w:hAnsi="Helvetica" w:cs="Helvetica"/>
          <w:color w:val="48485E"/>
          <w:sz w:val="21"/>
          <w:szCs w:val="21"/>
        </w:rPr>
      </w:pPr>
      <w:r w:rsidRPr="00EB5304">
        <w:rPr>
          <w:rFonts w:ascii="Helvetica" w:hAnsi="Helvetica" w:cs="Helvetica"/>
          <w:color w:val="48485E"/>
          <w:sz w:val="21"/>
          <w:szCs w:val="21"/>
        </w:rPr>
        <w:t>Tickers RFNGX, SWPPX, VIGIX, VSCIX, VSGIX showed positive results in the month of May for all years</w:t>
      </w:r>
    </w:p>
    <w:p w:rsidR="00EB5304" w:rsidRPr="00EB5304" w:rsidRDefault="00EB5304" w:rsidP="00EB5304">
      <w:pPr>
        <w:pStyle w:val="NormalWeb"/>
        <w:rPr>
          <w:rFonts w:ascii="Helvetica" w:hAnsi="Helvetica" w:cs="Helvetica"/>
          <w:color w:val="48485E"/>
          <w:sz w:val="21"/>
          <w:szCs w:val="21"/>
        </w:rPr>
      </w:pPr>
      <w:r w:rsidRPr="00EB5304">
        <w:rPr>
          <w:rFonts w:ascii="Helvetica" w:hAnsi="Helvetica" w:cs="Helvetica"/>
          <w:color w:val="48485E"/>
          <w:sz w:val="21"/>
          <w:szCs w:val="21"/>
        </w:rPr>
        <w:t>Tickers VIPSX showed positive results in the month of July for all years</w:t>
      </w:r>
    </w:p>
    <w:p w:rsidR="00EB5304" w:rsidRPr="00EB5304" w:rsidRDefault="00EB5304" w:rsidP="00EB5304">
      <w:pPr>
        <w:pStyle w:val="NormalWeb"/>
        <w:rPr>
          <w:rFonts w:ascii="Helvetica" w:hAnsi="Helvetica" w:cs="Helvetica"/>
          <w:color w:val="48485E"/>
          <w:sz w:val="21"/>
          <w:szCs w:val="21"/>
        </w:rPr>
      </w:pPr>
      <w:r w:rsidRPr="00EB5304">
        <w:rPr>
          <w:rFonts w:ascii="Helvetica" w:hAnsi="Helvetica" w:cs="Helvetica"/>
          <w:color w:val="48485E"/>
          <w:sz w:val="21"/>
          <w:szCs w:val="21"/>
        </w:rPr>
        <w:t>Tickers VSCIX, VSGIX showed positive results in the month of November for all years</w:t>
      </w: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C4357">
      <w:pPr>
        <w:pStyle w:val="NormalWeb"/>
        <w:shd w:val="clear" w:color="auto" w:fill="FFFFFF"/>
        <w:spacing w:before="0" w:beforeAutospacing="0" w:after="0" w:afterAutospacing="0"/>
        <w:rPr>
          <w:rFonts w:ascii="Helvetica" w:hAnsi="Helvetica" w:cs="Helvetica"/>
          <w:color w:val="48485E"/>
          <w:sz w:val="21"/>
          <w:szCs w:val="21"/>
        </w:rPr>
      </w:pPr>
    </w:p>
    <w:p w:rsidR="00AC4357" w:rsidRDefault="004F187A" w:rsidP="00AC4357">
      <w:pPr>
        <w:pStyle w:val="NormalWeb"/>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lastRenderedPageBreak/>
        <w:t>The approach to better understand data was to conduct a linear regression and the results were as follows:</w:t>
      </w:r>
    </w:p>
    <w:p w:rsidR="004F187A" w:rsidRDefault="004F187A" w:rsidP="00AC4357">
      <w:pPr>
        <w:pStyle w:val="NormalWeb"/>
        <w:shd w:val="clear" w:color="auto" w:fill="FFFFFF"/>
        <w:spacing w:before="0" w:beforeAutospacing="0" w:after="0" w:afterAutospacing="0"/>
        <w:rPr>
          <w:rFonts w:ascii="Helvetica" w:hAnsi="Helvetica" w:cs="Helvetica"/>
          <w:color w:val="48485E"/>
          <w:sz w:val="21"/>
          <w:szCs w:val="21"/>
        </w:rPr>
      </w:pP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Call:</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lm(formula = Month_End_Price ~ No_Growth_Days + No_No_Growth_Days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    No_Positive_Runs + No_Negative_Runs + Ticker + as.factor(Month),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    data = summary_funds_df, subset = Year == 2013 | Year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        2014 | Year == 2015 | Year == 2016)</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Residuals:</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    Min      1Q  Median      3Q     Max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-12.179  -1.153   0.181   1.802   9.890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Coefficients:</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                     Estimate Std. Error t value Pr(&gt;|t|)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(Intercept)         40.514731   3.919584  10.336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No_Growth_Days       0.008633   0.199753   0.043 0.965541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No_No_Growth_Days   -0.095325   0.194167  -0.491 0.623635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No_Positive_Runs    -0.081839   0.119711  -0.684 0.494448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No_Negative_Runs    -0.034348   0.126505  -0.272 0.786078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TickerDEMSX        -21.816533   0.716826 -30.435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TickerDFEMX        -17.004421   0.711973 -23.884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TickerLSBDX        -27.668558   0.718996 -38.482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TickerRERGX          4.305813   0.707481   6.086 1.99e-09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TickerRFNGX          5.534063   0.706293   7.835 1.94e-14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TickerSWISX        -23.238023   0.708030 -32.821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TickerSWPPX        -11.575618   0.707363 -16.364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TickerVASVX        -15.571401   0.707061 -22.023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TickerVBTIX        -30.687745   0.715969 -42.862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TickerVIGIX          8.984572   0.706822  12.711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TickerVIPSX        -27.846904   0.714582 -38.969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TickerVSCIX         11.072119   0.707595  15.648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TickerVSGIX         -7.411023   0.707886 -10.469  &lt; 2e-16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as.factor(Month)2    0.720255   0.685955   1.050 0.294111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as.factor(Month)3    1.483569   0.685866   2.163 0.030904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as.factor(Month)4    1.751903   0.687796   2.547 0.011093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as.factor(Month)5    1.904342   0.669730   2.843 0.004605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as.factor(Month)6    1.929973   0.685350   2.816 0.005011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as.factor(Month)7    2.427354   0.701631   3.460 0.000577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as.factor(Month)8    1.954140   0.716502   2.727 0.006559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 xml:space="preserve">as.factor(Month)9    1.833611   0.664794   2.758 0.005978 **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as.factor(Month)10   2.562745   0.756838   3.386 0.000752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as.factor(Month)11   2.786380   0.658866   4.229 2.69e-05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as.factor(Month)12   2.673894   0.699507   3.823 0.000145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Signif. codes:  0 ‘***’ 0.001 ‘**’ 0.01 ‘*’ 0.05 ‘.’ 0.1 ‘ ’ 1</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Residual standard error: 3.46 on 643 degrees of freedom</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Multiple R-squared:  0.9458,</w:t>
      </w:r>
      <w:r w:rsidRPr="001A1000">
        <w:rPr>
          <w:rFonts w:ascii="Lucida Console" w:eastAsia="Times New Roman" w:hAnsi="Lucida Console" w:cs="Courier New"/>
          <w:color w:val="000000"/>
          <w:sz w:val="20"/>
          <w:szCs w:val="20"/>
        </w:rPr>
        <w:tab/>
        <w:t xml:space="preserve">Adjusted R-squared:  0.9434 </w:t>
      </w:r>
    </w:p>
    <w:p w:rsidR="004F187A" w:rsidRPr="001A1000" w:rsidRDefault="004F187A" w:rsidP="004F1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A1000">
        <w:rPr>
          <w:rFonts w:ascii="Lucida Console" w:eastAsia="Times New Roman" w:hAnsi="Lucida Console" w:cs="Courier New"/>
          <w:color w:val="000000"/>
          <w:sz w:val="20"/>
          <w:szCs w:val="20"/>
        </w:rPr>
        <w:t>F-statistic: 400.7 on 28 and 643 DF,  p-value: &lt; 2.2e-16</w:t>
      </w:r>
    </w:p>
    <w:p w:rsidR="004F187A" w:rsidRDefault="004F187A" w:rsidP="00AC4357">
      <w:pPr>
        <w:pStyle w:val="NormalWeb"/>
        <w:shd w:val="clear" w:color="auto" w:fill="FFFFFF"/>
        <w:spacing w:before="0" w:beforeAutospacing="0" w:after="0" w:afterAutospacing="0"/>
        <w:rPr>
          <w:rFonts w:ascii="Helvetica" w:hAnsi="Helvetica" w:cs="Helvetica"/>
          <w:color w:val="48485E"/>
          <w:sz w:val="21"/>
          <w:szCs w:val="21"/>
        </w:rPr>
      </w:pPr>
    </w:p>
    <w:p w:rsidR="0088097F" w:rsidRDefault="0088097F" w:rsidP="00A22005"/>
    <w:p w:rsidR="0088097F" w:rsidRDefault="0088097F" w:rsidP="00A22005"/>
    <w:p w:rsidR="0088097F" w:rsidRDefault="0088097F" w:rsidP="00A22005"/>
    <w:p w:rsidR="008276C1" w:rsidRDefault="00A22005" w:rsidP="00196C53">
      <w:pPr>
        <w:rPr>
          <w:noProof/>
        </w:rPr>
      </w:pPr>
      <w:r>
        <w:lastRenderedPageBreak/>
        <w:t xml:space="preserve">While testing for assumptions of linear regression, </w:t>
      </w:r>
      <w:r w:rsidR="0088097F">
        <w:t>it was found that while the data fit well into the model, the premise for using a multiple linear regression would not be accurate as explained by below diagnostics:</w:t>
      </w:r>
    </w:p>
    <w:p w:rsidR="008276C1" w:rsidRDefault="008276C1" w:rsidP="00196C53">
      <w:pPr>
        <w:rPr>
          <w:noProof/>
        </w:rPr>
      </w:pPr>
      <w:bookmarkStart w:id="0" w:name="_GoBack"/>
      <w:bookmarkEnd w:id="0"/>
    </w:p>
    <w:p w:rsidR="008276C1" w:rsidRDefault="008276C1" w:rsidP="00196C53">
      <w:r>
        <w:rPr>
          <w:noProof/>
        </w:rPr>
        <w:drawing>
          <wp:inline distT="0" distB="0" distL="0" distR="0" wp14:anchorId="580DD66F" wp14:editId="224B811D">
            <wp:extent cx="4567238" cy="286428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289" cy="2874977"/>
                    </a:xfrm>
                    <a:prstGeom prst="rect">
                      <a:avLst/>
                    </a:prstGeom>
                  </pic:spPr>
                </pic:pic>
              </a:graphicData>
            </a:graphic>
          </wp:inline>
        </w:drawing>
      </w:r>
    </w:p>
    <w:p w:rsidR="00A30663" w:rsidRDefault="00A30663" w:rsidP="00196C53">
      <w:r>
        <w:rPr>
          <w:noProof/>
        </w:rPr>
        <w:drawing>
          <wp:inline distT="0" distB="0" distL="0" distR="0" wp14:anchorId="25941377" wp14:editId="5E74B0DC">
            <wp:extent cx="4831080" cy="36233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7339" cy="3628004"/>
                    </a:xfrm>
                    <a:prstGeom prst="rect">
                      <a:avLst/>
                    </a:prstGeom>
                  </pic:spPr>
                </pic:pic>
              </a:graphicData>
            </a:graphic>
          </wp:inline>
        </w:drawing>
      </w:r>
    </w:p>
    <w:sectPr w:rsidR="00A30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7D2" w:rsidRDefault="00BB17D2" w:rsidP="0088097F">
      <w:pPr>
        <w:spacing w:after="0" w:line="240" w:lineRule="auto"/>
      </w:pPr>
      <w:r>
        <w:separator/>
      </w:r>
    </w:p>
  </w:endnote>
  <w:endnote w:type="continuationSeparator" w:id="0">
    <w:p w:rsidR="00BB17D2" w:rsidRDefault="00BB17D2" w:rsidP="0088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7D2" w:rsidRDefault="00BB17D2" w:rsidP="0088097F">
      <w:pPr>
        <w:spacing w:after="0" w:line="240" w:lineRule="auto"/>
      </w:pPr>
      <w:r>
        <w:separator/>
      </w:r>
    </w:p>
  </w:footnote>
  <w:footnote w:type="continuationSeparator" w:id="0">
    <w:p w:rsidR="00BB17D2" w:rsidRDefault="00BB17D2" w:rsidP="008809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44"/>
    <w:multiLevelType w:val="hybridMultilevel"/>
    <w:tmpl w:val="2902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55097"/>
    <w:multiLevelType w:val="multilevel"/>
    <w:tmpl w:val="F0FA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613B6"/>
    <w:multiLevelType w:val="hybridMultilevel"/>
    <w:tmpl w:val="BBEA92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FCA2501"/>
    <w:multiLevelType w:val="hybridMultilevel"/>
    <w:tmpl w:val="8AD8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4B80"/>
    <w:multiLevelType w:val="hybridMultilevel"/>
    <w:tmpl w:val="5F04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A4"/>
    <w:rsid w:val="0006666B"/>
    <w:rsid w:val="000D5341"/>
    <w:rsid w:val="00147EA4"/>
    <w:rsid w:val="001619A4"/>
    <w:rsid w:val="00196C53"/>
    <w:rsid w:val="001C6C27"/>
    <w:rsid w:val="00296A06"/>
    <w:rsid w:val="003E461C"/>
    <w:rsid w:val="0043272E"/>
    <w:rsid w:val="0043768E"/>
    <w:rsid w:val="004934CC"/>
    <w:rsid w:val="004F187A"/>
    <w:rsid w:val="005B5468"/>
    <w:rsid w:val="005B7D22"/>
    <w:rsid w:val="006C3E22"/>
    <w:rsid w:val="007405B1"/>
    <w:rsid w:val="008276C1"/>
    <w:rsid w:val="0088097F"/>
    <w:rsid w:val="00886286"/>
    <w:rsid w:val="00A22005"/>
    <w:rsid w:val="00A30663"/>
    <w:rsid w:val="00A954EA"/>
    <w:rsid w:val="00AC4357"/>
    <w:rsid w:val="00B53902"/>
    <w:rsid w:val="00BB17D2"/>
    <w:rsid w:val="00C10C42"/>
    <w:rsid w:val="00C816C0"/>
    <w:rsid w:val="00CC1364"/>
    <w:rsid w:val="00CF6ECA"/>
    <w:rsid w:val="00D4674D"/>
    <w:rsid w:val="00DA7084"/>
    <w:rsid w:val="00EB5304"/>
    <w:rsid w:val="00F36008"/>
    <w:rsid w:val="00FC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B6483-E646-4EB8-8F98-9EAE69F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4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435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2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6C1"/>
    <w:rPr>
      <w:rFonts w:ascii="Courier New" w:eastAsia="Times New Roman" w:hAnsi="Courier New" w:cs="Courier New"/>
      <w:sz w:val="20"/>
      <w:szCs w:val="20"/>
    </w:rPr>
  </w:style>
  <w:style w:type="character" w:customStyle="1" w:styleId="gcwxi2kcpjb">
    <w:name w:val="gcwxi2kcpjb"/>
    <w:basedOn w:val="DefaultParagraphFont"/>
    <w:rsid w:val="008276C1"/>
  </w:style>
  <w:style w:type="paragraph" w:styleId="Header">
    <w:name w:val="header"/>
    <w:basedOn w:val="Normal"/>
    <w:link w:val="HeaderChar"/>
    <w:uiPriority w:val="99"/>
    <w:unhideWhenUsed/>
    <w:rsid w:val="00880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F"/>
  </w:style>
  <w:style w:type="paragraph" w:styleId="Footer">
    <w:name w:val="footer"/>
    <w:basedOn w:val="Normal"/>
    <w:link w:val="FooterChar"/>
    <w:uiPriority w:val="99"/>
    <w:unhideWhenUsed/>
    <w:rsid w:val="00880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593018">
      <w:bodyDiv w:val="1"/>
      <w:marLeft w:val="0"/>
      <w:marRight w:val="0"/>
      <w:marTop w:val="0"/>
      <w:marBottom w:val="0"/>
      <w:divBdr>
        <w:top w:val="none" w:sz="0" w:space="0" w:color="auto"/>
        <w:left w:val="none" w:sz="0" w:space="0" w:color="auto"/>
        <w:bottom w:val="none" w:sz="0" w:space="0" w:color="auto"/>
        <w:right w:val="none" w:sz="0" w:space="0" w:color="auto"/>
      </w:divBdr>
      <w:divsChild>
        <w:div w:id="247885266">
          <w:marLeft w:val="0"/>
          <w:marRight w:val="0"/>
          <w:marTop w:val="0"/>
          <w:marBottom w:val="0"/>
          <w:divBdr>
            <w:top w:val="none" w:sz="0" w:space="0" w:color="auto"/>
            <w:left w:val="none" w:sz="0" w:space="0" w:color="auto"/>
            <w:bottom w:val="none" w:sz="0" w:space="0" w:color="auto"/>
            <w:right w:val="none" w:sz="0" w:space="0" w:color="auto"/>
          </w:divBdr>
        </w:div>
        <w:div w:id="936132216">
          <w:marLeft w:val="0"/>
          <w:marRight w:val="0"/>
          <w:marTop w:val="0"/>
          <w:marBottom w:val="0"/>
          <w:divBdr>
            <w:top w:val="none" w:sz="0" w:space="0" w:color="auto"/>
            <w:left w:val="none" w:sz="0" w:space="0" w:color="auto"/>
            <w:bottom w:val="none" w:sz="0" w:space="0" w:color="auto"/>
            <w:right w:val="none" w:sz="0" w:space="0" w:color="auto"/>
          </w:divBdr>
        </w:div>
        <w:div w:id="570585159">
          <w:marLeft w:val="0"/>
          <w:marRight w:val="0"/>
          <w:marTop w:val="0"/>
          <w:marBottom w:val="0"/>
          <w:divBdr>
            <w:top w:val="none" w:sz="0" w:space="0" w:color="auto"/>
            <w:left w:val="none" w:sz="0" w:space="0" w:color="auto"/>
            <w:bottom w:val="none" w:sz="0" w:space="0" w:color="auto"/>
            <w:right w:val="none" w:sz="0" w:space="0" w:color="auto"/>
          </w:divBdr>
        </w:div>
        <w:div w:id="2087532114">
          <w:marLeft w:val="0"/>
          <w:marRight w:val="0"/>
          <w:marTop w:val="0"/>
          <w:marBottom w:val="0"/>
          <w:divBdr>
            <w:top w:val="none" w:sz="0" w:space="0" w:color="auto"/>
            <w:left w:val="none" w:sz="0" w:space="0" w:color="auto"/>
            <w:bottom w:val="none" w:sz="0" w:space="0" w:color="auto"/>
            <w:right w:val="none" w:sz="0" w:space="0" w:color="auto"/>
          </w:divBdr>
        </w:div>
        <w:div w:id="116798256">
          <w:marLeft w:val="0"/>
          <w:marRight w:val="0"/>
          <w:marTop w:val="0"/>
          <w:marBottom w:val="0"/>
          <w:divBdr>
            <w:top w:val="none" w:sz="0" w:space="0" w:color="auto"/>
            <w:left w:val="none" w:sz="0" w:space="0" w:color="auto"/>
            <w:bottom w:val="none" w:sz="0" w:space="0" w:color="auto"/>
            <w:right w:val="none" w:sz="0" w:space="0" w:color="auto"/>
          </w:divBdr>
        </w:div>
      </w:divsChild>
    </w:div>
    <w:div w:id="1477839127">
      <w:bodyDiv w:val="1"/>
      <w:marLeft w:val="0"/>
      <w:marRight w:val="0"/>
      <w:marTop w:val="0"/>
      <w:marBottom w:val="0"/>
      <w:divBdr>
        <w:top w:val="none" w:sz="0" w:space="0" w:color="auto"/>
        <w:left w:val="none" w:sz="0" w:space="0" w:color="auto"/>
        <w:bottom w:val="none" w:sz="0" w:space="0" w:color="auto"/>
        <w:right w:val="none" w:sz="0" w:space="0" w:color="auto"/>
      </w:divBdr>
    </w:div>
    <w:div w:id="1609506635">
      <w:bodyDiv w:val="1"/>
      <w:marLeft w:val="0"/>
      <w:marRight w:val="0"/>
      <w:marTop w:val="0"/>
      <w:marBottom w:val="0"/>
      <w:divBdr>
        <w:top w:val="none" w:sz="0" w:space="0" w:color="auto"/>
        <w:left w:val="none" w:sz="0" w:space="0" w:color="auto"/>
        <w:bottom w:val="none" w:sz="0" w:space="0" w:color="auto"/>
        <w:right w:val="none" w:sz="0" w:space="0" w:color="auto"/>
      </w:divBdr>
    </w:div>
    <w:div w:id="1788575743">
      <w:bodyDiv w:val="1"/>
      <w:marLeft w:val="0"/>
      <w:marRight w:val="0"/>
      <w:marTop w:val="0"/>
      <w:marBottom w:val="0"/>
      <w:divBdr>
        <w:top w:val="none" w:sz="0" w:space="0" w:color="auto"/>
        <w:left w:val="none" w:sz="0" w:space="0" w:color="auto"/>
        <w:bottom w:val="none" w:sz="0" w:space="0" w:color="auto"/>
        <w:right w:val="none" w:sz="0" w:space="0" w:color="auto"/>
      </w:divBdr>
      <w:divsChild>
        <w:div w:id="1099759733">
          <w:marLeft w:val="0"/>
          <w:marRight w:val="0"/>
          <w:marTop w:val="0"/>
          <w:marBottom w:val="0"/>
          <w:divBdr>
            <w:top w:val="none" w:sz="0" w:space="0" w:color="auto"/>
            <w:left w:val="none" w:sz="0" w:space="0" w:color="auto"/>
            <w:bottom w:val="none" w:sz="0" w:space="0" w:color="auto"/>
            <w:right w:val="none" w:sz="0" w:space="0" w:color="auto"/>
          </w:divBdr>
        </w:div>
        <w:div w:id="44452068">
          <w:marLeft w:val="0"/>
          <w:marRight w:val="0"/>
          <w:marTop w:val="0"/>
          <w:marBottom w:val="0"/>
          <w:divBdr>
            <w:top w:val="none" w:sz="0" w:space="0" w:color="auto"/>
            <w:left w:val="none" w:sz="0" w:space="0" w:color="auto"/>
            <w:bottom w:val="none" w:sz="0" w:space="0" w:color="auto"/>
            <w:right w:val="none" w:sz="0" w:space="0" w:color="auto"/>
          </w:divBdr>
        </w:div>
        <w:div w:id="29651340">
          <w:marLeft w:val="0"/>
          <w:marRight w:val="0"/>
          <w:marTop w:val="0"/>
          <w:marBottom w:val="0"/>
          <w:divBdr>
            <w:top w:val="none" w:sz="0" w:space="0" w:color="auto"/>
            <w:left w:val="none" w:sz="0" w:space="0" w:color="auto"/>
            <w:bottom w:val="none" w:sz="0" w:space="0" w:color="auto"/>
            <w:right w:val="none" w:sz="0" w:space="0" w:color="auto"/>
          </w:divBdr>
        </w:div>
        <w:div w:id="817722222">
          <w:marLeft w:val="0"/>
          <w:marRight w:val="0"/>
          <w:marTop w:val="0"/>
          <w:marBottom w:val="0"/>
          <w:divBdr>
            <w:top w:val="none" w:sz="0" w:space="0" w:color="auto"/>
            <w:left w:val="none" w:sz="0" w:space="0" w:color="auto"/>
            <w:bottom w:val="none" w:sz="0" w:space="0" w:color="auto"/>
            <w:right w:val="none" w:sz="0" w:space="0" w:color="auto"/>
          </w:divBdr>
        </w:div>
        <w:div w:id="1948809801">
          <w:marLeft w:val="0"/>
          <w:marRight w:val="0"/>
          <w:marTop w:val="0"/>
          <w:marBottom w:val="0"/>
          <w:divBdr>
            <w:top w:val="none" w:sz="0" w:space="0" w:color="auto"/>
            <w:left w:val="none" w:sz="0" w:space="0" w:color="auto"/>
            <w:bottom w:val="none" w:sz="0" w:space="0" w:color="auto"/>
            <w:right w:val="none" w:sz="0" w:space="0" w:color="auto"/>
          </w:divBdr>
        </w:div>
      </w:divsChild>
    </w:div>
    <w:div w:id="20795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Expeditors</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Panikar</dc:creator>
  <cp:keywords/>
  <dc:description/>
  <cp:lastModifiedBy>Arjun Panikar</cp:lastModifiedBy>
  <cp:revision>21</cp:revision>
  <dcterms:created xsi:type="dcterms:W3CDTF">2017-04-08T16:26:00Z</dcterms:created>
  <dcterms:modified xsi:type="dcterms:W3CDTF">2017-04-20T01:51:00Z</dcterms:modified>
</cp:coreProperties>
</file>