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1491902344"/>
        <w:docPartObj>
          <w:docPartGallery w:val="Cover Pages"/>
          <w:docPartUnique/>
        </w:docPartObj>
      </w:sdtPr>
      <w:sdtContent>
        <w:p w:rsidR="00E65242" w:rsidRPr="003314DE" w:rsidRDefault="00E65242" w:rsidP="00FD5936">
          <w:pPr>
            <w:jc w:val="both"/>
            <w:rPr>
              <w:rFonts w:ascii="Arial" w:hAnsi="Arial" w:cs="Arial"/>
            </w:rPr>
          </w:pPr>
          <w:r w:rsidRPr="003314DE">
            <w:rPr>
              <w:rFonts w:ascii="Arial" w:hAnsi="Arial" w:cs="Arial"/>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53B2" w:rsidRDefault="007053B2">
                                  <w:pPr>
                                    <w:pStyle w:val="NoSpacing"/>
                                    <w:rPr>
                                      <w:color w:val="FFFFFF" w:themeColor="background1"/>
                                      <w:sz w:val="32"/>
                                      <w:szCs w:val="32"/>
                                    </w:rPr>
                                  </w:pPr>
                                  <w:r>
                                    <w:rPr>
                                      <w:color w:val="FFFFFF" w:themeColor="background1"/>
                                      <w:sz w:val="32"/>
                                      <w:szCs w:val="32"/>
                                    </w:rPr>
                                    <w:t xml:space="preserve">Student: </w:t>
                                  </w: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32"/>
                                          <w:szCs w:val="32"/>
                                        </w:rPr>
                                        <w:t xml:space="preserve">Arjun Panikar </w:t>
                                      </w:r>
                                    </w:sdtContent>
                                  </w:sdt>
                                </w:p>
                                <w:p w:rsidR="007053B2" w:rsidRDefault="007053B2">
                                  <w:pPr>
                                    <w:pStyle w:val="NoSpacing"/>
                                  </w:pPr>
                                  <w:r>
                                    <w:rPr>
                                      <w:color w:val="FFFFFF" w:themeColor="background1"/>
                                      <w:sz w:val="32"/>
                                      <w:szCs w:val="32"/>
                                    </w:rPr>
                                    <w:t>Mentor: Neal Fultz</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96"/>
                                      <w:szCs w:val="9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7053B2" w:rsidRDefault="007053B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A02390">
                                        <w:rPr>
                                          <w:rFonts w:asciiTheme="majorHAnsi" w:eastAsiaTheme="majorEastAsia" w:hAnsiTheme="majorHAnsi" w:cstheme="majorBidi"/>
                                          <w:color w:val="595959" w:themeColor="text1" w:themeTint="A6"/>
                                          <w:sz w:val="96"/>
                                          <w:szCs w:val="96"/>
                                        </w:rPr>
                                        <w:t>401K Fund Forecasting</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7053B2" w:rsidRDefault="007053B2">
                                      <w:pPr>
                                        <w:pStyle w:val="NoSpacing"/>
                                        <w:spacing w:before="240"/>
                                        <w:rPr>
                                          <w:caps/>
                                          <w:color w:val="44546A" w:themeColor="text2"/>
                                          <w:sz w:val="36"/>
                                          <w:szCs w:val="36"/>
                                        </w:rPr>
                                      </w:pPr>
                                      <w:r>
                                        <w:rPr>
                                          <w:caps/>
                                          <w:color w:val="44546A" w:themeColor="text2"/>
                                          <w:sz w:val="36"/>
                                          <w:szCs w:val="36"/>
                                        </w:rPr>
                                        <w:t>springboard foundations of data science - Capstone Project Report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rsidR="007053B2" w:rsidRDefault="007053B2">
                            <w:pPr>
                              <w:pStyle w:val="NoSpacing"/>
                              <w:rPr>
                                <w:color w:val="FFFFFF" w:themeColor="background1"/>
                                <w:sz w:val="32"/>
                                <w:szCs w:val="32"/>
                              </w:rPr>
                            </w:pPr>
                            <w:r>
                              <w:rPr>
                                <w:color w:val="FFFFFF" w:themeColor="background1"/>
                                <w:sz w:val="32"/>
                                <w:szCs w:val="32"/>
                              </w:rPr>
                              <w:t xml:space="preserve">Student: </w:t>
                            </w: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32"/>
                                    <w:szCs w:val="32"/>
                                  </w:rPr>
                                  <w:t xml:space="preserve">Arjun Panikar </w:t>
                                </w:r>
                              </w:sdtContent>
                            </w:sdt>
                          </w:p>
                          <w:p w:rsidR="007053B2" w:rsidRDefault="007053B2">
                            <w:pPr>
                              <w:pStyle w:val="NoSpacing"/>
                            </w:pPr>
                            <w:r>
                              <w:rPr>
                                <w:color w:val="FFFFFF" w:themeColor="background1"/>
                                <w:sz w:val="32"/>
                                <w:szCs w:val="32"/>
                              </w:rPr>
                              <w:t>Mentor: Neal Fultz</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96"/>
                                <w:szCs w:val="9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7053B2" w:rsidRDefault="007053B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A02390">
                                  <w:rPr>
                                    <w:rFonts w:asciiTheme="majorHAnsi" w:eastAsiaTheme="majorEastAsia" w:hAnsiTheme="majorHAnsi" w:cstheme="majorBidi"/>
                                    <w:color w:val="595959" w:themeColor="text1" w:themeTint="A6"/>
                                    <w:sz w:val="96"/>
                                    <w:szCs w:val="96"/>
                                  </w:rPr>
                                  <w:t>401K Fund Forecasting</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7053B2" w:rsidRDefault="007053B2">
                                <w:pPr>
                                  <w:pStyle w:val="NoSpacing"/>
                                  <w:spacing w:before="240"/>
                                  <w:rPr>
                                    <w:caps/>
                                    <w:color w:val="44546A" w:themeColor="text2"/>
                                    <w:sz w:val="36"/>
                                    <w:szCs w:val="36"/>
                                  </w:rPr>
                                </w:pPr>
                                <w:r>
                                  <w:rPr>
                                    <w:caps/>
                                    <w:color w:val="44546A" w:themeColor="text2"/>
                                    <w:sz w:val="36"/>
                                    <w:szCs w:val="36"/>
                                  </w:rPr>
                                  <w:t>springboard foundations of data science - Capstone Project Report</w:t>
                                </w:r>
                              </w:p>
                            </w:sdtContent>
                          </w:sdt>
                        </w:txbxContent>
                      </v:textbox>
                    </v:shape>
                    <w10:wrap anchorx="page" anchory="page"/>
                  </v:group>
                </w:pict>
              </mc:Fallback>
            </mc:AlternateContent>
          </w:r>
        </w:p>
        <w:p w:rsidR="00E65242" w:rsidRPr="003314DE" w:rsidRDefault="00E65242" w:rsidP="00FD5936">
          <w:pPr>
            <w:jc w:val="both"/>
            <w:rPr>
              <w:rFonts w:ascii="Arial" w:hAnsi="Arial" w:cs="Arial"/>
            </w:rPr>
          </w:pPr>
          <w:r w:rsidRPr="003314DE">
            <w:rPr>
              <w:rFonts w:ascii="Arial" w:hAnsi="Arial" w:cs="Arial"/>
            </w:rPr>
            <w:br w:type="page"/>
          </w:r>
        </w:p>
      </w:sdtContent>
    </w:sdt>
    <w:sdt>
      <w:sdtPr>
        <w:rPr>
          <w:rFonts w:ascii="Arial" w:hAnsi="Arial" w:cs="Arial"/>
        </w:rPr>
        <w:id w:val="-1368675135"/>
        <w:docPartObj>
          <w:docPartGallery w:val="Table of Contents"/>
          <w:docPartUnique/>
        </w:docPartObj>
      </w:sdtPr>
      <w:sdtEndPr>
        <w:rPr>
          <w:rFonts w:eastAsiaTheme="minorHAnsi"/>
          <w:b/>
          <w:bCs/>
          <w:noProof/>
          <w:color w:val="auto"/>
          <w:sz w:val="22"/>
          <w:szCs w:val="22"/>
        </w:rPr>
      </w:sdtEndPr>
      <w:sdtContent>
        <w:p w:rsidR="003073C9" w:rsidRPr="003314DE" w:rsidRDefault="003073C9" w:rsidP="00FD5936">
          <w:pPr>
            <w:pStyle w:val="TOCHeading"/>
            <w:jc w:val="both"/>
            <w:rPr>
              <w:rFonts w:ascii="Arial" w:hAnsi="Arial" w:cs="Arial"/>
            </w:rPr>
          </w:pPr>
          <w:r w:rsidRPr="003314DE">
            <w:rPr>
              <w:rFonts w:ascii="Arial" w:hAnsi="Arial" w:cs="Arial"/>
            </w:rPr>
            <w:t>Contents</w:t>
          </w:r>
        </w:p>
        <w:p w:rsidR="00400FCC" w:rsidRDefault="003073C9" w:rsidP="00400FCC">
          <w:pPr>
            <w:pStyle w:val="TOC2"/>
            <w:tabs>
              <w:tab w:val="right" w:leader="dot" w:pos="9350"/>
            </w:tabs>
            <w:ind w:left="0"/>
            <w:rPr>
              <w:rFonts w:eastAsiaTheme="minorEastAsia"/>
              <w:noProof/>
            </w:rPr>
          </w:pPr>
          <w:r w:rsidRPr="003314DE">
            <w:rPr>
              <w:rFonts w:ascii="Arial" w:hAnsi="Arial" w:cs="Arial"/>
            </w:rPr>
            <w:fldChar w:fldCharType="begin"/>
          </w:r>
          <w:r w:rsidRPr="003314DE">
            <w:rPr>
              <w:rFonts w:ascii="Arial" w:hAnsi="Arial" w:cs="Arial"/>
            </w:rPr>
            <w:instrText xml:space="preserve"> TOC \o "1-3" \h \z \u </w:instrText>
          </w:r>
          <w:r w:rsidRPr="003314DE">
            <w:rPr>
              <w:rFonts w:ascii="Arial" w:hAnsi="Arial" w:cs="Arial"/>
            </w:rPr>
            <w:fldChar w:fldCharType="separate"/>
          </w:r>
          <w:hyperlink w:anchor="_Toc480730586" w:history="1">
            <w:r w:rsidR="00400FCC" w:rsidRPr="00E62FD1">
              <w:rPr>
                <w:rStyle w:val="Hyperlink"/>
                <w:rFonts w:ascii="Arial" w:hAnsi="Arial" w:cs="Arial"/>
                <w:noProof/>
              </w:rPr>
              <w:t>Problem Definition</w:t>
            </w:r>
            <w:r w:rsidR="00400FCC">
              <w:rPr>
                <w:noProof/>
                <w:webHidden/>
              </w:rPr>
              <w:tab/>
            </w:r>
            <w:r w:rsidR="00400FCC">
              <w:rPr>
                <w:noProof/>
                <w:webHidden/>
              </w:rPr>
              <w:fldChar w:fldCharType="begin"/>
            </w:r>
            <w:r w:rsidR="00400FCC">
              <w:rPr>
                <w:noProof/>
                <w:webHidden/>
              </w:rPr>
              <w:instrText xml:space="preserve"> PAGEREF _Toc480730586 \h </w:instrText>
            </w:r>
            <w:r w:rsidR="00400FCC">
              <w:rPr>
                <w:noProof/>
                <w:webHidden/>
              </w:rPr>
            </w:r>
            <w:r w:rsidR="00400FCC">
              <w:rPr>
                <w:noProof/>
                <w:webHidden/>
              </w:rPr>
              <w:fldChar w:fldCharType="separate"/>
            </w:r>
            <w:r w:rsidR="00400FCC">
              <w:rPr>
                <w:noProof/>
                <w:webHidden/>
              </w:rPr>
              <w:t>2</w:t>
            </w:r>
            <w:r w:rsidR="00400FCC">
              <w:rPr>
                <w:noProof/>
                <w:webHidden/>
              </w:rPr>
              <w:fldChar w:fldCharType="end"/>
            </w:r>
          </w:hyperlink>
        </w:p>
        <w:p w:rsidR="00400FCC" w:rsidRDefault="00400FCC" w:rsidP="00400FCC">
          <w:pPr>
            <w:pStyle w:val="TOC2"/>
            <w:tabs>
              <w:tab w:val="right" w:leader="dot" w:pos="9350"/>
            </w:tabs>
            <w:ind w:left="0"/>
            <w:rPr>
              <w:rFonts w:eastAsiaTheme="minorEastAsia"/>
              <w:noProof/>
            </w:rPr>
          </w:pPr>
          <w:hyperlink w:anchor="_Toc480730587" w:history="1">
            <w:r w:rsidRPr="00E62FD1">
              <w:rPr>
                <w:rStyle w:val="Hyperlink"/>
                <w:rFonts w:ascii="Arial" w:hAnsi="Arial" w:cs="Arial"/>
                <w:noProof/>
              </w:rPr>
              <w:t>Fund Information</w:t>
            </w:r>
            <w:r>
              <w:rPr>
                <w:noProof/>
                <w:webHidden/>
              </w:rPr>
              <w:tab/>
            </w:r>
            <w:r>
              <w:rPr>
                <w:noProof/>
                <w:webHidden/>
              </w:rPr>
              <w:fldChar w:fldCharType="begin"/>
            </w:r>
            <w:r>
              <w:rPr>
                <w:noProof/>
                <w:webHidden/>
              </w:rPr>
              <w:instrText xml:space="preserve"> PAGEREF _Toc480730587 \h </w:instrText>
            </w:r>
            <w:r>
              <w:rPr>
                <w:noProof/>
                <w:webHidden/>
              </w:rPr>
            </w:r>
            <w:r>
              <w:rPr>
                <w:noProof/>
                <w:webHidden/>
              </w:rPr>
              <w:fldChar w:fldCharType="separate"/>
            </w:r>
            <w:r>
              <w:rPr>
                <w:noProof/>
                <w:webHidden/>
              </w:rPr>
              <w:t>3</w:t>
            </w:r>
            <w:r>
              <w:rPr>
                <w:noProof/>
                <w:webHidden/>
              </w:rPr>
              <w:fldChar w:fldCharType="end"/>
            </w:r>
          </w:hyperlink>
        </w:p>
        <w:p w:rsidR="00400FCC" w:rsidRDefault="00400FCC" w:rsidP="00400FCC">
          <w:pPr>
            <w:pStyle w:val="TOC2"/>
            <w:tabs>
              <w:tab w:val="right" w:leader="dot" w:pos="9350"/>
            </w:tabs>
            <w:ind w:left="0"/>
            <w:rPr>
              <w:rFonts w:eastAsiaTheme="minorEastAsia"/>
              <w:noProof/>
            </w:rPr>
          </w:pPr>
          <w:hyperlink w:anchor="_Toc480730591" w:history="1">
            <w:r w:rsidRPr="00E62FD1">
              <w:rPr>
                <w:rStyle w:val="Hyperlink"/>
                <w:rFonts w:ascii="Arial" w:hAnsi="Arial" w:cs="Arial"/>
                <w:noProof/>
              </w:rPr>
              <w:t>Data Set</w:t>
            </w:r>
            <w:r>
              <w:rPr>
                <w:noProof/>
                <w:webHidden/>
              </w:rPr>
              <w:tab/>
            </w:r>
            <w:r>
              <w:rPr>
                <w:noProof/>
                <w:webHidden/>
              </w:rPr>
              <w:fldChar w:fldCharType="begin"/>
            </w:r>
            <w:r>
              <w:rPr>
                <w:noProof/>
                <w:webHidden/>
              </w:rPr>
              <w:instrText xml:space="preserve"> PAGEREF _Toc480730591 \h </w:instrText>
            </w:r>
            <w:r>
              <w:rPr>
                <w:noProof/>
                <w:webHidden/>
              </w:rPr>
            </w:r>
            <w:r>
              <w:rPr>
                <w:noProof/>
                <w:webHidden/>
              </w:rPr>
              <w:fldChar w:fldCharType="separate"/>
            </w:r>
            <w:r>
              <w:rPr>
                <w:noProof/>
                <w:webHidden/>
              </w:rPr>
              <w:t>10</w:t>
            </w:r>
            <w:r>
              <w:rPr>
                <w:noProof/>
                <w:webHidden/>
              </w:rPr>
              <w:fldChar w:fldCharType="end"/>
            </w:r>
          </w:hyperlink>
        </w:p>
        <w:p w:rsidR="00400FCC" w:rsidRDefault="00400FCC">
          <w:pPr>
            <w:pStyle w:val="TOC1"/>
            <w:tabs>
              <w:tab w:val="right" w:leader="dot" w:pos="9350"/>
            </w:tabs>
            <w:rPr>
              <w:rFonts w:eastAsiaTheme="minorEastAsia"/>
              <w:noProof/>
            </w:rPr>
          </w:pPr>
          <w:hyperlink w:anchor="_Toc480730592" w:history="1">
            <w:r w:rsidRPr="00E62FD1">
              <w:rPr>
                <w:rStyle w:val="Hyperlink"/>
                <w:rFonts w:ascii="Arial" w:hAnsi="Arial" w:cs="Arial"/>
                <w:noProof/>
              </w:rPr>
              <w:t>Analysis</w:t>
            </w:r>
            <w:r>
              <w:rPr>
                <w:noProof/>
                <w:webHidden/>
              </w:rPr>
              <w:tab/>
            </w:r>
            <w:r>
              <w:rPr>
                <w:noProof/>
                <w:webHidden/>
              </w:rPr>
              <w:fldChar w:fldCharType="begin"/>
            </w:r>
            <w:r>
              <w:rPr>
                <w:noProof/>
                <w:webHidden/>
              </w:rPr>
              <w:instrText xml:space="preserve"> PAGEREF _Toc480730592 \h </w:instrText>
            </w:r>
            <w:r>
              <w:rPr>
                <w:noProof/>
                <w:webHidden/>
              </w:rPr>
            </w:r>
            <w:r>
              <w:rPr>
                <w:noProof/>
                <w:webHidden/>
              </w:rPr>
              <w:fldChar w:fldCharType="separate"/>
            </w:r>
            <w:r>
              <w:rPr>
                <w:noProof/>
                <w:webHidden/>
              </w:rPr>
              <w:t>11</w:t>
            </w:r>
            <w:r>
              <w:rPr>
                <w:noProof/>
                <w:webHidden/>
              </w:rPr>
              <w:fldChar w:fldCharType="end"/>
            </w:r>
          </w:hyperlink>
        </w:p>
        <w:p w:rsidR="00400FCC" w:rsidRDefault="00400FCC">
          <w:pPr>
            <w:pStyle w:val="TOC1"/>
            <w:tabs>
              <w:tab w:val="right" w:leader="dot" w:pos="9350"/>
            </w:tabs>
            <w:rPr>
              <w:rFonts w:eastAsiaTheme="minorEastAsia"/>
              <w:noProof/>
            </w:rPr>
          </w:pPr>
          <w:hyperlink w:anchor="_Toc480730593" w:history="1">
            <w:r w:rsidRPr="00E62FD1">
              <w:rPr>
                <w:rStyle w:val="Hyperlink"/>
                <w:rFonts w:ascii="Arial" w:hAnsi="Arial" w:cs="Arial"/>
                <w:noProof/>
              </w:rPr>
              <w:t>Linear Regression Analysis</w:t>
            </w:r>
            <w:r>
              <w:rPr>
                <w:noProof/>
                <w:webHidden/>
              </w:rPr>
              <w:tab/>
            </w:r>
            <w:r>
              <w:rPr>
                <w:noProof/>
                <w:webHidden/>
              </w:rPr>
              <w:fldChar w:fldCharType="begin"/>
            </w:r>
            <w:r>
              <w:rPr>
                <w:noProof/>
                <w:webHidden/>
              </w:rPr>
              <w:instrText xml:space="preserve"> PAGEREF _Toc480730593 \h </w:instrText>
            </w:r>
            <w:r>
              <w:rPr>
                <w:noProof/>
                <w:webHidden/>
              </w:rPr>
            </w:r>
            <w:r>
              <w:rPr>
                <w:noProof/>
                <w:webHidden/>
              </w:rPr>
              <w:fldChar w:fldCharType="separate"/>
            </w:r>
            <w:r>
              <w:rPr>
                <w:noProof/>
                <w:webHidden/>
              </w:rPr>
              <w:t>13</w:t>
            </w:r>
            <w:r>
              <w:rPr>
                <w:noProof/>
                <w:webHidden/>
              </w:rPr>
              <w:fldChar w:fldCharType="end"/>
            </w:r>
          </w:hyperlink>
        </w:p>
        <w:p w:rsidR="00400FCC" w:rsidRDefault="00400FCC">
          <w:pPr>
            <w:pStyle w:val="TOC1"/>
            <w:tabs>
              <w:tab w:val="right" w:leader="dot" w:pos="9350"/>
            </w:tabs>
            <w:rPr>
              <w:rFonts w:eastAsiaTheme="minorEastAsia"/>
              <w:noProof/>
            </w:rPr>
          </w:pPr>
          <w:hyperlink w:anchor="_Toc480730594" w:history="1">
            <w:r w:rsidRPr="00E62FD1">
              <w:rPr>
                <w:rStyle w:val="Hyperlink"/>
                <w:rFonts w:ascii="Arial" w:hAnsi="Arial" w:cs="Arial"/>
                <w:noProof/>
              </w:rPr>
              <w:t>Time Series Modelling</w:t>
            </w:r>
            <w:r>
              <w:rPr>
                <w:noProof/>
                <w:webHidden/>
              </w:rPr>
              <w:tab/>
            </w:r>
            <w:r>
              <w:rPr>
                <w:noProof/>
                <w:webHidden/>
              </w:rPr>
              <w:fldChar w:fldCharType="begin"/>
            </w:r>
            <w:r>
              <w:rPr>
                <w:noProof/>
                <w:webHidden/>
              </w:rPr>
              <w:instrText xml:space="preserve"> PAGEREF _Toc480730594 \h </w:instrText>
            </w:r>
            <w:r>
              <w:rPr>
                <w:noProof/>
                <w:webHidden/>
              </w:rPr>
            </w:r>
            <w:r>
              <w:rPr>
                <w:noProof/>
                <w:webHidden/>
              </w:rPr>
              <w:fldChar w:fldCharType="separate"/>
            </w:r>
            <w:r>
              <w:rPr>
                <w:noProof/>
                <w:webHidden/>
              </w:rPr>
              <w:t>15</w:t>
            </w:r>
            <w:r>
              <w:rPr>
                <w:noProof/>
                <w:webHidden/>
              </w:rPr>
              <w:fldChar w:fldCharType="end"/>
            </w:r>
          </w:hyperlink>
        </w:p>
        <w:p w:rsidR="00400FCC" w:rsidRDefault="00400FCC">
          <w:pPr>
            <w:pStyle w:val="TOC1"/>
            <w:tabs>
              <w:tab w:val="right" w:leader="dot" w:pos="9350"/>
            </w:tabs>
            <w:rPr>
              <w:rFonts w:eastAsiaTheme="minorEastAsia"/>
              <w:noProof/>
            </w:rPr>
          </w:pPr>
          <w:hyperlink w:anchor="_Toc480730595" w:history="1">
            <w:r w:rsidRPr="00E62FD1">
              <w:rPr>
                <w:rStyle w:val="Hyperlink"/>
                <w:rFonts w:ascii="Arial" w:hAnsi="Arial" w:cs="Arial"/>
                <w:noProof/>
              </w:rPr>
              <w:t>Forecasting &amp; Conclusion</w:t>
            </w:r>
            <w:r>
              <w:rPr>
                <w:noProof/>
                <w:webHidden/>
              </w:rPr>
              <w:tab/>
            </w:r>
            <w:r>
              <w:rPr>
                <w:noProof/>
                <w:webHidden/>
              </w:rPr>
              <w:fldChar w:fldCharType="begin"/>
            </w:r>
            <w:r>
              <w:rPr>
                <w:noProof/>
                <w:webHidden/>
              </w:rPr>
              <w:instrText xml:space="preserve"> PAGEREF _Toc480730595 \h </w:instrText>
            </w:r>
            <w:r>
              <w:rPr>
                <w:noProof/>
                <w:webHidden/>
              </w:rPr>
            </w:r>
            <w:r>
              <w:rPr>
                <w:noProof/>
                <w:webHidden/>
              </w:rPr>
              <w:fldChar w:fldCharType="separate"/>
            </w:r>
            <w:r>
              <w:rPr>
                <w:noProof/>
                <w:webHidden/>
              </w:rPr>
              <w:t>15</w:t>
            </w:r>
            <w:r>
              <w:rPr>
                <w:noProof/>
                <w:webHidden/>
              </w:rPr>
              <w:fldChar w:fldCharType="end"/>
            </w:r>
          </w:hyperlink>
        </w:p>
        <w:p w:rsidR="00400FCC" w:rsidRDefault="00400FCC" w:rsidP="00400FCC">
          <w:pPr>
            <w:pStyle w:val="TOC2"/>
            <w:tabs>
              <w:tab w:val="right" w:leader="dot" w:pos="9350"/>
            </w:tabs>
            <w:ind w:left="0"/>
            <w:rPr>
              <w:rFonts w:eastAsiaTheme="minorEastAsia"/>
              <w:noProof/>
            </w:rPr>
          </w:pPr>
          <w:hyperlink w:anchor="_Toc480730596" w:history="1">
            <w:r w:rsidRPr="00E62FD1">
              <w:rPr>
                <w:rStyle w:val="Hyperlink"/>
                <w:rFonts w:ascii="Arial" w:hAnsi="Arial" w:cs="Arial"/>
                <w:noProof/>
              </w:rPr>
              <w:t>Appendix</w:t>
            </w:r>
            <w:r>
              <w:rPr>
                <w:noProof/>
                <w:webHidden/>
              </w:rPr>
              <w:tab/>
            </w:r>
            <w:r>
              <w:rPr>
                <w:noProof/>
                <w:webHidden/>
              </w:rPr>
              <w:fldChar w:fldCharType="begin"/>
            </w:r>
            <w:r>
              <w:rPr>
                <w:noProof/>
                <w:webHidden/>
              </w:rPr>
              <w:instrText xml:space="preserve"> PAGEREF _Toc480730596 \h </w:instrText>
            </w:r>
            <w:r>
              <w:rPr>
                <w:noProof/>
                <w:webHidden/>
              </w:rPr>
            </w:r>
            <w:r>
              <w:rPr>
                <w:noProof/>
                <w:webHidden/>
              </w:rPr>
              <w:fldChar w:fldCharType="separate"/>
            </w:r>
            <w:r>
              <w:rPr>
                <w:noProof/>
                <w:webHidden/>
              </w:rPr>
              <w:t>16</w:t>
            </w:r>
            <w:r>
              <w:rPr>
                <w:noProof/>
                <w:webHidden/>
              </w:rPr>
              <w:fldChar w:fldCharType="end"/>
            </w:r>
          </w:hyperlink>
        </w:p>
        <w:p w:rsidR="003073C9" w:rsidRPr="003314DE" w:rsidRDefault="003073C9" w:rsidP="00FD5936">
          <w:pPr>
            <w:jc w:val="both"/>
            <w:rPr>
              <w:rFonts w:ascii="Arial" w:hAnsi="Arial" w:cs="Arial"/>
            </w:rPr>
          </w:pPr>
          <w:r w:rsidRPr="003314DE">
            <w:rPr>
              <w:rFonts w:ascii="Arial" w:hAnsi="Arial" w:cs="Arial"/>
              <w:b/>
              <w:bCs/>
              <w:noProof/>
            </w:rPr>
            <w:fldChar w:fldCharType="end"/>
          </w:r>
        </w:p>
      </w:sdtContent>
    </w:sdt>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pStyle w:val="Heading2"/>
        <w:jc w:val="both"/>
        <w:rPr>
          <w:rFonts w:ascii="Arial" w:hAnsi="Arial" w:cs="Arial"/>
          <w:sz w:val="22"/>
          <w:szCs w:val="22"/>
        </w:rPr>
      </w:pPr>
    </w:p>
    <w:p w:rsidR="00D61023" w:rsidRPr="003314DE" w:rsidRDefault="00D61023" w:rsidP="00FD5936">
      <w:pPr>
        <w:jc w:val="both"/>
        <w:rPr>
          <w:rFonts w:ascii="Arial" w:hAnsi="Arial" w:cs="Arial"/>
        </w:rPr>
      </w:pPr>
    </w:p>
    <w:p w:rsidR="00AC4357" w:rsidRPr="003314DE" w:rsidRDefault="00AC4357" w:rsidP="00FD5936">
      <w:pPr>
        <w:pStyle w:val="Heading2"/>
        <w:jc w:val="both"/>
        <w:rPr>
          <w:rFonts w:ascii="Arial" w:hAnsi="Arial" w:cs="Arial"/>
        </w:rPr>
      </w:pPr>
      <w:bookmarkStart w:id="0" w:name="_Toc480730586"/>
      <w:r w:rsidRPr="003314DE">
        <w:rPr>
          <w:rFonts w:ascii="Arial" w:hAnsi="Arial" w:cs="Arial"/>
        </w:rPr>
        <w:lastRenderedPageBreak/>
        <w:t>Problem Definition</w:t>
      </w:r>
      <w:bookmarkEnd w:id="0"/>
    </w:p>
    <w:p w:rsidR="00AC4357" w:rsidRPr="003314DE" w:rsidRDefault="00AC4357" w:rsidP="00FD5936">
      <w:pPr>
        <w:pStyle w:val="NormalWeb"/>
        <w:shd w:val="clear" w:color="auto" w:fill="FFFFFF"/>
        <w:spacing w:before="0" w:beforeAutospacing="0" w:after="0" w:afterAutospacing="0"/>
        <w:ind w:left="450"/>
        <w:jc w:val="both"/>
        <w:rPr>
          <w:rFonts w:ascii="Arial" w:hAnsi="Arial" w:cs="Arial"/>
          <w:color w:val="393C3D"/>
          <w:sz w:val="22"/>
          <w:szCs w:val="22"/>
        </w:rPr>
      </w:pPr>
    </w:p>
    <w:p w:rsidR="00AC4357" w:rsidRPr="003314DE" w:rsidRDefault="00AC4357" w:rsidP="00FD5936">
      <w:pPr>
        <w:pStyle w:val="NormalWeb"/>
        <w:shd w:val="clear" w:color="auto" w:fill="FFFFFF"/>
        <w:spacing w:before="0" w:beforeAutospacing="0" w:after="0" w:afterAutospacing="0"/>
        <w:ind w:left="450"/>
        <w:jc w:val="both"/>
        <w:rPr>
          <w:rFonts w:ascii="Arial" w:hAnsi="Arial" w:cs="Arial"/>
          <w:color w:val="393C3D"/>
          <w:sz w:val="22"/>
          <w:szCs w:val="22"/>
        </w:rPr>
      </w:pPr>
      <w:r w:rsidRPr="003314DE">
        <w:rPr>
          <w:rFonts w:ascii="Arial" w:hAnsi="Arial" w:cs="Arial"/>
          <w:color w:val="393C3D"/>
          <w:sz w:val="22"/>
          <w:szCs w:val="22"/>
        </w:rPr>
        <w:t>The 401K portfolio is an investment that any investor needs to be continuously monitoring to ensure that his/her hard earned money is being put to good use. Unfortunately, in many cases a lack of understanding on how to analyze fund data along with schedule constraints makes the management of this task cumbersome which results in missed opportunities and loss of money. In addition, the 401K management interface, does not have a robust suggestion feature that users can avail to make investment decisions. Investors are presented with one of two options:</w:t>
      </w:r>
    </w:p>
    <w:p w:rsidR="00AC4357" w:rsidRPr="003314DE" w:rsidRDefault="00AC4357" w:rsidP="00FD5936">
      <w:pPr>
        <w:pStyle w:val="NormalWeb"/>
        <w:shd w:val="clear" w:color="auto" w:fill="FFFFFF"/>
        <w:spacing w:before="0" w:beforeAutospacing="0" w:after="0" w:afterAutospacing="0"/>
        <w:ind w:left="450"/>
        <w:jc w:val="both"/>
        <w:rPr>
          <w:rFonts w:ascii="Arial" w:hAnsi="Arial" w:cs="Arial"/>
          <w:color w:val="393C3D"/>
          <w:sz w:val="22"/>
          <w:szCs w:val="22"/>
        </w:rPr>
      </w:pPr>
    </w:p>
    <w:p w:rsidR="00AC4357" w:rsidRPr="003314DE" w:rsidRDefault="00AC4357" w:rsidP="00FD5936">
      <w:pPr>
        <w:pStyle w:val="NormalWeb"/>
        <w:numPr>
          <w:ilvl w:val="0"/>
          <w:numId w:val="2"/>
        </w:numPr>
        <w:shd w:val="clear" w:color="auto" w:fill="FFFFFF"/>
        <w:spacing w:before="0" w:beforeAutospacing="0" w:after="0" w:afterAutospacing="0"/>
        <w:jc w:val="both"/>
        <w:rPr>
          <w:rFonts w:ascii="Arial" w:hAnsi="Arial" w:cs="Arial"/>
          <w:color w:val="393C3D"/>
          <w:sz w:val="22"/>
          <w:szCs w:val="22"/>
        </w:rPr>
      </w:pPr>
      <w:r w:rsidRPr="003314DE">
        <w:rPr>
          <w:rFonts w:ascii="Arial" w:hAnsi="Arial" w:cs="Arial"/>
          <w:color w:val="393C3D"/>
          <w:sz w:val="22"/>
          <w:szCs w:val="22"/>
        </w:rPr>
        <w:t>Make their own investment decisions using the fund information feature</w:t>
      </w:r>
    </w:p>
    <w:p w:rsidR="00C56B7D" w:rsidRPr="003314DE" w:rsidRDefault="00C56B7D" w:rsidP="00FD5936">
      <w:pPr>
        <w:pStyle w:val="NormalWeb"/>
        <w:shd w:val="clear" w:color="auto" w:fill="FFFFFF"/>
        <w:spacing w:before="0" w:beforeAutospacing="0" w:after="0" w:afterAutospacing="0"/>
        <w:ind w:left="1170"/>
        <w:jc w:val="both"/>
        <w:rPr>
          <w:rFonts w:ascii="Arial" w:hAnsi="Arial" w:cs="Arial"/>
          <w:color w:val="393C3D"/>
          <w:sz w:val="22"/>
          <w:szCs w:val="22"/>
        </w:rPr>
      </w:pPr>
    </w:p>
    <w:p w:rsidR="00AC4357" w:rsidRPr="003314DE" w:rsidRDefault="00AC4357" w:rsidP="00FD5936">
      <w:pPr>
        <w:pStyle w:val="NormalWeb"/>
        <w:shd w:val="clear" w:color="auto" w:fill="FFFFFF"/>
        <w:spacing w:before="0" w:beforeAutospacing="0" w:after="0" w:afterAutospacing="0"/>
        <w:ind w:left="1170"/>
        <w:jc w:val="both"/>
        <w:rPr>
          <w:rFonts w:ascii="Arial" w:hAnsi="Arial" w:cs="Arial"/>
          <w:color w:val="393C3D"/>
          <w:sz w:val="22"/>
          <w:szCs w:val="22"/>
        </w:rPr>
      </w:pPr>
      <w:r w:rsidRPr="003314DE">
        <w:rPr>
          <w:rFonts w:ascii="Arial" w:hAnsi="Arial" w:cs="Arial"/>
          <w:noProof/>
          <w:sz w:val="22"/>
          <w:szCs w:val="22"/>
        </w:rPr>
        <w:drawing>
          <wp:inline distT="0" distB="0" distL="0" distR="0" wp14:anchorId="594BF10E" wp14:editId="516B9534">
            <wp:extent cx="3962400" cy="1685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8578" cy="1735137"/>
                    </a:xfrm>
                    <a:prstGeom prst="rect">
                      <a:avLst/>
                    </a:prstGeom>
                  </pic:spPr>
                </pic:pic>
              </a:graphicData>
            </a:graphic>
          </wp:inline>
        </w:drawing>
      </w:r>
    </w:p>
    <w:p w:rsidR="00C56B7D" w:rsidRPr="003314DE" w:rsidRDefault="00C56B7D" w:rsidP="00FD5936">
      <w:pPr>
        <w:pStyle w:val="NormalWeb"/>
        <w:shd w:val="clear" w:color="auto" w:fill="FFFFFF"/>
        <w:spacing w:before="0" w:beforeAutospacing="0" w:after="0" w:afterAutospacing="0"/>
        <w:ind w:left="1170"/>
        <w:jc w:val="both"/>
        <w:rPr>
          <w:rFonts w:ascii="Arial" w:hAnsi="Arial" w:cs="Arial"/>
          <w:color w:val="393C3D"/>
          <w:sz w:val="22"/>
          <w:szCs w:val="22"/>
        </w:rPr>
      </w:pPr>
    </w:p>
    <w:p w:rsidR="00AC4357" w:rsidRPr="003314DE" w:rsidRDefault="00AC4357" w:rsidP="00FD5936">
      <w:pPr>
        <w:pStyle w:val="NormalWeb"/>
        <w:numPr>
          <w:ilvl w:val="0"/>
          <w:numId w:val="2"/>
        </w:numPr>
        <w:shd w:val="clear" w:color="auto" w:fill="FFFFFF"/>
        <w:spacing w:before="0" w:beforeAutospacing="0" w:after="0" w:afterAutospacing="0"/>
        <w:jc w:val="both"/>
        <w:rPr>
          <w:rFonts w:ascii="Arial" w:hAnsi="Arial" w:cs="Arial"/>
          <w:color w:val="393C3D"/>
          <w:sz w:val="22"/>
          <w:szCs w:val="22"/>
        </w:rPr>
      </w:pPr>
      <w:r w:rsidRPr="003314DE">
        <w:rPr>
          <w:rFonts w:ascii="Arial" w:hAnsi="Arial" w:cs="Arial"/>
          <w:color w:val="393C3D"/>
          <w:sz w:val="22"/>
          <w:szCs w:val="22"/>
        </w:rPr>
        <w:t>Use the model portfolio feature that looks like below to allocate funds by default</w:t>
      </w:r>
    </w:p>
    <w:p w:rsidR="00C56B7D" w:rsidRPr="003314DE" w:rsidRDefault="00C56B7D" w:rsidP="00FD5936">
      <w:pPr>
        <w:pStyle w:val="NormalWeb"/>
        <w:shd w:val="clear" w:color="auto" w:fill="FFFFFF"/>
        <w:spacing w:before="0" w:beforeAutospacing="0" w:after="0" w:afterAutospacing="0"/>
        <w:ind w:left="1170"/>
        <w:jc w:val="both"/>
        <w:rPr>
          <w:rFonts w:ascii="Arial" w:hAnsi="Arial" w:cs="Arial"/>
          <w:color w:val="393C3D"/>
          <w:sz w:val="22"/>
          <w:szCs w:val="22"/>
        </w:rPr>
      </w:pPr>
    </w:p>
    <w:p w:rsidR="00AC4357" w:rsidRPr="003314DE" w:rsidRDefault="00AC4357" w:rsidP="00FD5936">
      <w:pPr>
        <w:pStyle w:val="NormalWeb"/>
        <w:shd w:val="clear" w:color="auto" w:fill="FFFFFF"/>
        <w:spacing w:before="0" w:beforeAutospacing="0" w:after="0" w:afterAutospacing="0"/>
        <w:ind w:left="1170"/>
        <w:jc w:val="both"/>
        <w:rPr>
          <w:rFonts w:ascii="Arial" w:hAnsi="Arial" w:cs="Arial"/>
          <w:color w:val="393C3D"/>
          <w:sz w:val="22"/>
          <w:szCs w:val="22"/>
        </w:rPr>
      </w:pPr>
      <w:r w:rsidRPr="003314DE">
        <w:rPr>
          <w:rFonts w:ascii="Arial" w:hAnsi="Arial" w:cs="Arial"/>
          <w:noProof/>
          <w:sz w:val="22"/>
          <w:szCs w:val="22"/>
        </w:rPr>
        <w:drawing>
          <wp:inline distT="0" distB="0" distL="0" distR="0" wp14:anchorId="2747D40B" wp14:editId="099E6FE8">
            <wp:extent cx="3961372" cy="232688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8269" cy="2372053"/>
                    </a:xfrm>
                    <a:prstGeom prst="rect">
                      <a:avLst/>
                    </a:prstGeom>
                  </pic:spPr>
                </pic:pic>
              </a:graphicData>
            </a:graphic>
          </wp:inline>
        </w:drawing>
      </w:r>
    </w:p>
    <w:p w:rsidR="00AC4357" w:rsidRPr="003314DE" w:rsidRDefault="00AC4357" w:rsidP="00FD5936">
      <w:pPr>
        <w:pStyle w:val="NormalWeb"/>
        <w:shd w:val="clear" w:color="auto" w:fill="FFFFFF"/>
        <w:spacing w:before="0" w:beforeAutospacing="0" w:after="0" w:afterAutospacing="0"/>
        <w:jc w:val="both"/>
        <w:rPr>
          <w:rFonts w:ascii="Arial" w:hAnsi="Arial" w:cs="Arial"/>
          <w:color w:val="393C3D"/>
          <w:sz w:val="22"/>
          <w:szCs w:val="22"/>
        </w:rPr>
      </w:pPr>
    </w:p>
    <w:p w:rsidR="00CD2403" w:rsidRPr="003314DE" w:rsidRDefault="00AC4357" w:rsidP="00FD5936">
      <w:pPr>
        <w:pStyle w:val="NormalWeb"/>
        <w:shd w:val="clear" w:color="auto" w:fill="FFFFFF"/>
        <w:spacing w:before="0" w:beforeAutospacing="0" w:after="0" w:afterAutospacing="0"/>
        <w:jc w:val="both"/>
        <w:rPr>
          <w:rFonts w:ascii="Arial" w:hAnsi="Arial" w:cs="Arial"/>
          <w:sz w:val="22"/>
          <w:szCs w:val="22"/>
        </w:rPr>
      </w:pPr>
      <w:r w:rsidRPr="003314DE">
        <w:rPr>
          <w:rFonts w:ascii="Arial" w:hAnsi="Arial" w:cs="Arial"/>
          <w:color w:val="393C3D"/>
          <w:sz w:val="22"/>
          <w:szCs w:val="22"/>
        </w:rPr>
        <w:t>In both cases above, the crucial element missing is factoring in the actual performance of funds in the economy which is not ideal. The problem that this project is attempting to solve is to provide this information to an investor in a timely fashion, so that he/she can continuously visit their portfolio and make informed investment decisions.</w:t>
      </w:r>
      <w:r w:rsidR="008E5513" w:rsidRPr="003314DE">
        <w:rPr>
          <w:rFonts w:ascii="Arial" w:hAnsi="Arial" w:cs="Arial"/>
          <w:color w:val="393C3D"/>
          <w:sz w:val="22"/>
          <w:szCs w:val="22"/>
        </w:rPr>
        <w:t xml:space="preserve"> </w:t>
      </w:r>
    </w:p>
    <w:p w:rsidR="00122536" w:rsidRPr="003314DE" w:rsidRDefault="00122536" w:rsidP="00FD5936">
      <w:pPr>
        <w:pStyle w:val="Heading1"/>
        <w:jc w:val="both"/>
        <w:rPr>
          <w:rFonts w:ascii="Arial" w:hAnsi="Arial" w:cs="Arial"/>
          <w:sz w:val="22"/>
          <w:szCs w:val="22"/>
        </w:rPr>
      </w:pPr>
    </w:p>
    <w:p w:rsidR="00122536" w:rsidRPr="003314DE" w:rsidRDefault="00122536" w:rsidP="00FD5936">
      <w:pPr>
        <w:jc w:val="both"/>
        <w:rPr>
          <w:rFonts w:ascii="Arial" w:hAnsi="Arial" w:cs="Arial"/>
        </w:rPr>
      </w:pPr>
    </w:p>
    <w:p w:rsidR="00122536" w:rsidRPr="003314DE" w:rsidRDefault="00122536" w:rsidP="00FD5936">
      <w:pPr>
        <w:jc w:val="both"/>
        <w:rPr>
          <w:rFonts w:ascii="Arial" w:hAnsi="Arial" w:cs="Arial"/>
        </w:rPr>
      </w:pPr>
    </w:p>
    <w:p w:rsidR="00CD2403" w:rsidRPr="003314DE" w:rsidRDefault="00CD2403" w:rsidP="00FD5936">
      <w:pPr>
        <w:pStyle w:val="Heading2"/>
        <w:jc w:val="both"/>
        <w:rPr>
          <w:rFonts w:ascii="Arial" w:hAnsi="Arial" w:cs="Arial"/>
          <w:sz w:val="22"/>
          <w:szCs w:val="22"/>
        </w:rPr>
      </w:pPr>
      <w:bookmarkStart w:id="1" w:name="_Toc480730587"/>
      <w:r w:rsidRPr="003314DE">
        <w:rPr>
          <w:rFonts w:ascii="Arial" w:hAnsi="Arial" w:cs="Arial"/>
          <w:sz w:val="22"/>
          <w:szCs w:val="22"/>
        </w:rPr>
        <w:lastRenderedPageBreak/>
        <w:t>Fund Information</w:t>
      </w:r>
      <w:bookmarkEnd w:id="1"/>
    </w:p>
    <w:p w:rsidR="00131C5B" w:rsidRPr="003314DE" w:rsidRDefault="00131C5B" w:rsidP="00FD5936">
      <w:pPr>
        <w:jc w:val="both"/>
        <w:rPr>
          <w:rFonts w:ascii="Arial" w:hAnsi="Arial" w:cs="Arial"/>
        </w:rPr>
      </w:pPr>
    </w:p>
    <w:p w:rsidR="00CD2403" w:rsidRPr="003314DE" w:rsidRDefault="00CD2403" w:rsidP="00FD5936">
      <w:pPr>
        <w:jc w:val="both"/>
        <w:rPr>
          <w:rFonts w:ascii="Arial" w:hAnsi="Arial" w:cs="Arial"/>
          <w:b/>
        </w:rPr>
      </w:pPr>
      <w:r w:rsidRPr="003314DE">
        <w:rPr>
          <w:rFonts w:ascii="Arial" w:hAnsi="Arial" w:cs="Arial"/>
          <w:b/>
          <w:bCs/>
        </w:rPr>
        <w:t>Vanguard Growth Index Institutional (</w:t>
      </w:r>
      <w:r w:rsidRPr="003314DE">
        <w:rPr>
          <w:rFonts w:ascii="Arial" w:hAnsi="Arial" w:cs="Arial"/>
          <w:b/>
        </w:rPr>
        <w:t>VIGIX) </w:t>
      </w:r>
    </w:p>
    <w:p w:rsidR="00CD2403" w:rsidRPr="003314DE" w:rsidRDefault="00CD2403" w:rsidP="00FD5936">
      <w:pPr>
        <w:jc w:val="both"/>
        <w:rPr>
          <w:rFonts w:ascii="Arial" w:hAnsi="Arial" w:cs="Arial"/>
        </w:rPr>
      </w:pPr>
      <w:r w:rsidRPr="003314DE">
        <w:rPr>
          <w:rFonts w:ascii="Arial" w:hAnsi="Arial" w:cs="Arial"/>
        </w:rPr>
        <w:t>This fund invests in stocks of large U.S. companies in market sectors that tend to grow more quickly than the broad market. This low-cost index fund follows a buy-and-hold approach and invests in substantially all of the stocks represented in its broad benchmark. The fund’s primary risk, apart from general stock market volatility, comes from the fact that its focus on large-capitalization growth stocks may, at times, underperform the broader stock market.</w:t>
      </w:r>
    </w:p>
    <w:p w:rsidR="00CD2403" w:rsidRPr="003314DE" w:rsidRDefault="004E1BFA" w:rsidP="00FD5936">
      <w:pPr>
        <w:pStyle w:val="Heading1"/>
        <w:jc w:val="both"/>
        <w:rPr>
          <w:rFonts w:ascii="Arial" w:hAnsi="Arial" w:cs="Arial"/>
          <w:sz w:val="22"/>
          <w:szCs w:val="22"/>
        </w:rPr>
      </w:pPr>
      <w:bookmarkStart w:id="2" w:name="_Toc480726228"/>
      <w:bookmarkStart w:id="3" w:name="_Toc480727320"/>
      <w:bookmarkStart w:id="4" w:name="_Toc480730588"/>
      <w:r w:rsidRPr="003314DE">
        <w:rPr>
          <w:rFonts w:ascii="Arial" w:hAnsi="Arial" w:cs="Arial"/>
          <w:noProof/>
          <w:sz w:val="22"/>
          <w:szCs w:val="22"/>
        </w:rPr>
        <w:drawing>
          <wp:inline distT="0" distB="0" distL="0" distR="0" wp14:anchorId="14DB28E2" wp14:editId="736B9C0D">
            <wp:extent cx="2275470" cy="17627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2542" cy="1775985"/>
                    </a:xfrm>
                    <a:prstGeom prst="rect">
                      <a:avLst/>
                    </a:prstGeom>
                  </pic:spPr>
                </pic:pic>
              </a:graphicData>
            </a:graphic>
          </wp:inline>
        </w:drawing>
      </w:r>
      <w:bookmarkEnd w:id="2"/>
      <w:bookmarkEnd w:id="3"/>
      <w:bookmarkEnd w:id="4"/>
    </w:p>
    <w:p w:rsidR="004E1BFA" w:rsidRPr="003314DE" w:rsidRDefault="004E1BFA" w:rsidP="00FD5936">
      <w:pPr>
        <w:jc w:val="both"/>
        <w:rPr>
          <w:rFonts w:ascii="Arial" w:hAnsi="Arial" w:cs="Arial"/>
        </w:rPr>
      </w:pPr>
    </w:p>
    <w:p w:rsidR="0016130E" w:rsidRDefault="0016130E" w:rsidP="00FD5936">
      <w:pPr>
        <w:jc w:val="both"/>
        <w:rPr>
          <w:rFonts w:ascii="Arial" w:hAnsi="Arial" w:cs="Arial"/>
          <w:b/>
        </w:rPr>
      </w:pPr>
    </w:p>
    <w:p w:rsidR="0016130E" w:rsidRDefault="0016130E" w:rsidP="00FD5936">
      <w:pPr>
        <w:jc w:val="both"/>
        <w:rPr>
          <w:rFonts w:ascii="Arial" w:hAnsi="Arial" w:cs="Arial"/>
          <w:b/>
        </w:rPr>
      </w:pPr>
    </w:p>
    <w:p w:rsidR="004E1BFA" w:rsidRPr="003314DE" w:rsidRDefault="00236718" w:rsidP="00FD5936">
      <w:pPr>
        <w:jc w:val="both"/>
        <w:rPr>
          <w:rFonts w:ascii="Arial" w:hAnsi="Arial" w:cs="Arial"/>
          <w:b/>
        </w:rPr>
      </w:pPr>
      <w:r w:rsidRPr="003314DE">
        <w:rPr>
          <w:rFonts w:ascii="Arial" w:hAnsi="Arial" w:cs="Arial"/>
          <w:b/>
        </w:rPr>
        <w:t>Schwab S&amp;P 500 Index (SWPPX)</w:t>
      </w:r>
    </w:p>
    <w:p w:rsidR="00CF0708" w:rsidRPr="003314DE" w:rsidRDefault="00236718" w:rsidP="00FD5936">
      <w:pPr>
        <w:jc w:val="both"/>
        <w:rPr>
          <w:rFonts w:ascii="Arial" w:hAnsi="Arial" w:cs="Arial"/>
          <w:noProof/>
        </w:rPr>
      </w:pPr>
      <w:r w:rsidRPr="003314DE">
        <w:rPr>
          <w:rFonts w:ascii="Arial" w:hAnsi="Arial" w:cs="Arial"/>
        </w:rPr>
        <w:t>The Schwab S&amp;P 500 Index tracks the Standard &amp; Poor's 500 index, one of the most widely watched benchmarks for U.S. stocks. The index covers about 80 percent of the investable market capitalization of the U.S. equity market. The fund tracks the index very closely and generally. The only difference in the return of the fund and the index is the fund’s expense ratio.</w:t>
      </w:r>
    </w:p>
    <w:p w:rsidR="00CD2403" w:rsidRPr="003314DE" w:rsidRDefault="00D177FF" w:rsidP="00FD5936">
      <w:pPr>
        <w:jc w:val="both"/>
        <w:rPr>
          <w:rFonts w:ascii="Arial" w:hAnsi="Arial" w:cs="Arial"/>
        </w:rPr>
      </w:pPr>
      <w:r w:rsidRPr="003314DE">
        <w:rPr>
          <w:rFonts w:ascii="Arial" w:hAnsi="Arial" w:cs="Arial"/>
          <w:noProof/>
        </w:rPr>
        <w:drawing>
          <wp:inline distT="0" distB="0" distL="0" distR="0" wp14:anchorId="3F1C8062" wp14:editId="0E2CA501">
            <wp:extent cx="2273393" cy="1920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7027" cy="1940203"/>
                    </a:xfrm>
                    <a:prstGeom prst="rect">
                      <a:avLst/>
                    </a:prstGeom>
                  </pic:spPr>
                </pic:pic>
              </a:graphicData>
            </a:graphic>
          </wp:inline>
        </w:drawing>
      </w:r>
    </w:p>
    <w:p w:rsidR="003E1C3B" w:rsidRPr="003314DE" w:rsidRDefault="003E1C3B" w:rsidP="00FD5936">
      <w:pPr>
        <w:jc w:val="both"/>
        <w:rPr>
          <w:rFonts w:ascii="Arial" w:hAnsi="Arial" w:cs="Arial"/>
          <w:b/>
        </w:rPr>
      </w:pPr>
    </w:p>
    <w:p w:rsidR="003E1C3B" w:rsidRPr="003314DE" w:rsidRDefault="003E1C3B" w:rsidP="00FD5936">
      <w:pPr>
        <w:jc w:val="both"/>
        <w:rPr>
          <w:rFonts w:ascii="Arial" w:hAnsi="Arial" w:cs="Arial"/>
          <w:b/>
        </w:rPr>
      </w:pPr>
    </w:p>
    <w:p w:rsidR="003E1C3B" w:rsidRPr="003314DE" w:rsidRDefault="003E1C3B" w:rsidP="00FD5936">
      <w:pPr>
        <w:jc w:val="both"/>
        <w:rPr>
          <w:rFonts w:ascii="Arial" w:hAnsi="Arial" w:cs="Arial"/>
          <w:b/>
        </w:rPr>
      </w:pPr>
    </w:p>
    <w:p w:rsidR="00CF0708" w:rsidRPr="003314DE" w:rsidRDefault="00591BE3" w:rsidP="00FD5936">
      <w:pPr>
        <w:jc w:val="both"/>
        <w:rPr>
          <w:rFonts w:ascii="Arial" w:hAnsi="Arial" w:cs="Arial"/>
          <w:b/>
        </w:rPr>
      </w:pPr>
      <w:r w:rsidRPr="003314DE">
        <w:rPr>
          <w:rFonts w:ascii="Arial" w:hAnsi="Arial" w:cs="Arial"/>
          <w:b/>
        </w:rPr>
        <w:lastRenderedPageBreak/>
        <w:t>American Funds Fundamental Investors</w:t>
      </w:r>
      <w:r w:rsidR="00CF0708" w:rsidRPr="003314DE">
        <w:rPr>
          <w:rFonts w:ascii="Arial" w:hAnsi="Arial" w:cs="Arial"/>
          <w:b/>
        </w:rPr>
        <w:t xml:space="preserve"> (RFNGX)</w:t>
      </w:r>
    </w:p>
    <w:p w:rsidR="005064D7" w:rsidRPr="003314DE" w:rsidRDefault="005064D7" w:rsidP="00FD5936">
      <w:pPr>
        <w:jc w:val="both"/>
        <w:rPr>
          <w:rFonts w:ascii="Arial" w:hAnsi="Arial" w:cs="Arial"/>
        </w:rPr>
      </w:pPr>
      <w:r w:rsidRPr="003314DE">
        <w:rPr>
          <w:rFonts w:ascii="Arial" w:hAnsi="Arial" w:cs="Arial"/>
        </w:rPr>
        <w:t>Of its large-blend funds, this is American Funds' most aggressive large-cap U.S. offering. With a diversified portfolio and low fees, the fund remains a solid option for investors seeking growth and diversification, according to Morningstar. As of April 07, 2017, the fund has assets totaling almost $84.95 billion invested in 211.00 different holdings. Its portfolio consists primarily of common stocks or securities convertible into common stocks, bonds, U.S. government securities and cash. Microsoft, Amazon, Comcast, Boeing and Apple make up some of the top assets in the fund.</w:t>
      </w:r>
    </w:p>
    <w:p w:rsidR="00A33D0C" w:rsidRPr="003314DE" w:rsidRDefault="00A33D0C" w:rsidP="00FD5936">
      <w:pPr>
        <w:jc w:val="both"/>
        <w:rPr>
          <w:rFonts w:ascii="Arial" w:hAnsi="Arial" w:cs="Arial"/>
        </w:rPr>
      </w:pPr>
      <w:r w:rsidRPr="003314DE">
        <w:rPr>
          <w:rFonts w:ascii="Arial" w:hAnsi="Arial" w:cs="Arial"/>
          <w:noProof/>
        </w:rPr>
        <w:drawing>
          <wp:inline distT="0" distB="0" distL="0" distR="0" wp14:anchorId="2A46B297" wp14:editId="53A25C42">
            <wp:extent cx="2291865" cy="1965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884" cy="1988279"/>
                    </a:xfrm>
                    <a:prstGeom prst="rect">
                      <a:avLst/>
                    </a:prstGeom>
                  </pic:spPr>
                </pic:pic>
              </a:graphicData>
            </a:graphic>
          </wp:inline>
        </w:drawing>
      </w:r>
    </w:p>
    <w:p w:rsidR="00087CE6" w:rsidRDefault="00087CE6" w:rsidP="00FD5936">
      <w:pPr>
        <w:jc w:val="both"/>
        <w:rPr>
          <w:rFonts w:ascii="Arial" w:hAnsi="Arial" w:cs="Arial"/>
          <w:b/>
          <w:bCs/>
        </w:rPr>
      </w:pPr>
    </w:p>
    <w:p w:rsidR="00087CE6" w:rsidRDefault="00087CE6" w:rsidP="00FD5936">
      <w:pPr>
        <w:jc w:val="both"/>
        <w:rPr>
          <w:rFonts w:ascii="Arial" w:hAnsi="Arial" w:cs="Arial"/>
          <w:b/>
          <w:bCs/>
        </w:rPr>
      </w:pPr>
    </w:p>
    <w:p w:rsidR="00BE4977" w:rsidRPr="003314DE" w:rsidRDefault="00BE4977" w:rsidP="00FD5936">
      <w:pPr>
        <w:jc w:val="both"/>
        <w:rPr>
          <w:rFonts w:ascii="Arial" w:hAnsi="Arial" w:cs="Arial"/>
          <w:b/>
        </w:rPr>
      </w:pPr>
      <w:r w:rsidRPr="003314DE">
        <w:rPr>
          <w:rFonts w:ascii="Arial" w:hAnsi="Arial" w:cs="Arial"/>
          <w:b/>
          <w:bCs/>
        </w:rPr>
        <w:t>Vanguard Selected Value Fund Investor Shares (</w:t>
      </w:r>
      <w:r w:rsidRPr="003314DE">
        <w:rPr>
          <w:rFonts w:ascii="Arial" w:hAnsi="Arial" w:cs="Arial"/>
          <w:b/>
        </w:rPr>
        <w:t>VASVX) </w:t>
      </w:r>
    </w:p>
    <w:p w:rsidR="00BE4977" w:rsidRPr="003314DE" w:rsidRDefault="00BE4977" w:rsidP="00FD5936">
      <w:pPr>
        <w:jc w:val="both"/>
        <w:rPr>
          <w:rFonts w:ascii="Arial" w:hAnsi="Arial" w:cs="Arial"/>
        </w:rPr>
      </w:pPr>
      <w:r w:rsidRPr="003314DE">
        <w:rPr>
          <w:rFonts w:ascii="Arial" w:hAnsi="Arial" w:cs="Arial"/>
        </w:rPr>
        <w:t>The Vanguard Selected Value Fund is designed to capture long-term gains by purchasing stock of currently undervalued companies. As of April 07, 2017, the fund has assets totaling almost $10.14 billion invested in 127.00 different holdings. Its portfolio consists primarily of mid-cap U.S. stocks trading at a bargain relative to future potential. The fund also holds a small number of non-U.S. stocks. It may invest up to 25 percent of assets outside the U.S. However, that non-U.S. stake currently represents less than 10 percent of total assets.</w:t>
      </w:r>
    </w:p>
    <w:p w:rsidR="00BE4977" w:rsidRPr="003314DE" w:rsidRDefault="00240087" w:rsidP="00FD5936">
      <w:pPr>
        <w:jc w:val="both"/>
        <w:rPr>
          <w:rFonts w:ascii="Arial" w:hAnsi="Arial" w:cs="Arial"/>
        </w:rPr>
      </w:pPr>
      <w:r w:rsidRPr="003314DE">
        <w:rPr>
          <w:rFonts w:ascii="Arial" w:hAnsi="Arial" w:cs="Arial"/>
          <w:noProof/>
        </w:rPr>
        <w:drawing>
          <wp:inline distT="0" distB="0" distL="0" distR="0" wp14:anchorId="34847A7A" wp14:editId="671D51AD">
            <wp:extent cx="2281428" cy="192532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0446" cy="1941370"/>
                    </a:xfrm>
                    <a:prstGeom prst="rect">
                      <a:avLst/>
                    </a:prstGeom>
                  </pic:spPr>
                </pic:pic>
              </a:graphicData>
            </a:graphic>
          </wp:inline>
        </w:drawing>
      </w:r>
    </w:p>
    <w:p w:rsidR="003E1C3B" w:rsidRPr="003314DE" w:rsidRDefault="003E1C3B" w:rsidP="00FD5936">
      <w:pPr>
        <w:jc w:val="both"/>
        <w:rPr>
          <w:rFonts w:ascii="Arial" w:hAnsi="Arial" w:cs="Arial"/>
          <w:b/>
        </w:rPr>
      </w:pPr>
    </w:p>
    <w:p w:rsidR="003E1C3B" w:rsidRPr="003314DE" w:rsidRDefault="003E1C3B" w:rsidP="00FD5936">
      <w:pPr>
        <w:jc w:val="both"/>
        <w:rPr>
          <w:rFonts w:ascii="Arial" w:hAnsi="Arial" w:cs="Arial"/>
          <w:b/>
        </w:rPr>
      </w:pPr>
    </w:p>
    <w:p w:rsidR="003E1C3B" w:rsidRPr="003314DE" w:rsidRDefault="003E1C3B" w:rsidP="00FD5936">
      <w:pPr>
        <w:jc w:val="both"/>
        <w:rPr>
          <w:rFonts w:ascii="Arial" w:hAnsi="Arial" w:cs="Arial"/>
          <w:b/>
        </w:rPr>
      </w:pPr>
    </w:p>
    <w:p w:rsidR="00CF0708" w:rsidRPr="003314DE" w:rsidRDefault="00A03D33" w:rsidP="00FD5936">
      <w:pPr>
        <w:jc w:val="both"/>
        <w:rPr>
          <w:rFonts w:ascii="Arial" w:hAnsi="Arial" w:cs="Arial"/>
          <w:b/>
        </w:rPr>
      </w:pPr>
      <w:r w:rsidRPr="003314DE">
        <w:rPr>
          <w:rFonts w:ascii="Arial" w:hAnsi="Arial" w:cs="Arial"/>
          <w:b/>
        </w:rPr>
        <w:lastRenderedPageBreak/>
        <w:t>Vanguard Small-Cap Growth Index Fund Institutional Shares (VSGIX)</w:t>
      </w:r>
    </w:p>
    <w:p w:rsidR="00CF0708" w:rsidRPr="003314DE" w:rsidRDefault="000750D2" w:rsidP="00FD5936">
      <w:pPr>
        <w:jc w:val="both"/>
        <w:rPr>
          <w:rFonts w:ascii="Arial" w:hAnsi="Arial" w:cs="Arial"/>
        </w:rPr>
      </w:pPr>
      <w:r w:rsidRPr="003314DE">
        <w:rPr>
          <w:rFonts w:ascii="Arial" w:hAnsi="Arial" w:cs="Arial"/>
        </w:rPr>
        <w:t>The Vanguard Small Cap Growth Index Fund has a very simple methodology: It tracks performance of the Center for Research in Security Prices' U.S. Small Cap Growth index. It may be an appropriate choice for investors who want to diversify from large-cap domestic stocks. As of April 07, 2017, the fund has assets totaling almost $18.25 billion invested in 683.00 different holdings. Its portfolio consists primarily of mid-cap and small-cap U.S. stocks. The median market capitalization of all holdings is $3.6 billion. That’s well below the $79.3 billion median market capitalization of the Vanguard 500 Index Fund. Top sectors represented in the fund are financials, industrials and technology. </w:t>
      </w:r>
    </w:p>
    <w:p w:rsidR="00FE4CD8" w:rsidRPr="003314DE" w:rsidRDefault="00FE4CD8" w:rsidP="00FD5936">
      <w:pPr>
        <w:jc w:val="both"/>
        <w:rPr>
          <w:rFonts w:ascii="Arial" w:hAnsi="Arial" w:cs="Arial"/>
        </w:rPr>
      </w:pPr>
      <w:r w:rsidRPr="003314DE">
        <w:rPr>
          <w:rFonts w:ascii="Arial" w:hAnsi="Arial" w:cs="Arial"/>
          <w:noProof/>
        </w:rPr>
        <w:drawing>
          <wp:inline distT="0" distB="0" distL="0" distR="0" wp14:anchorId="6C9564DB" wp14:editId="15E9BDB2">
            <wp:extent cx="2058416" cy="17322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9575" cy="1750086"/>
                    </a:xfrm>
                    <a:prstGeom prst="rect">
                      <a:avLst/>
                    </a:prstGeom>
                  </pic:spPr>
                </pic:pic>
              </a:graphicData>
            </a:graphic>
          </wp:inline>
        </w:drawing>
      </w:r>
    </w:p>
    <w:p w:rsidR="00087CE6" w:rsidRDefault="00087CE6" w:rsidP="00FD5936">
      <w:pPr>
        <w:jc w:val="both"/>
        <w:rPr>
          <w:rFonts w:ascii="Arial" w:hAnsi="Arial" w:cs="Arial"/>
          <w:b/>
        </w:rPr>
      </w:pPr>
    </w:p>
    <w:p w:rsidR="00087CE6" w:rsidRDefault="00087CE6" w:rsidP="00FD5936">
      <w:pPr>
        <w:jc w:val="both"/>
        <w:rPr>
          <w:rFonts w:ascii="Arial" w:hAnsi="Arial" w:cs="Arial"/>
          <w:b/>
        </w:rPr>
      </w:pPr>
    </w:p>
    <w:p w:rsidR="00B72BDE" w:rsidRPr="003314DE" w:rsidRDefault="00B72BDE" w:rsidP="00FD5936">
      <w:pPr>
        <w:jc w:val="both"/>
        <w:rPr>
          <w:rFonts w:ascii="Arial" w:hAnsi="Arial" w:cs="Arial"/>
          <w:b/>
        </w:rPr>
      </w:pPr>
      <w:r w:rsidRPr="003314DE">
        <w:rPr>
          <w:rFonts w:ascii="Arial" w:hAnsi="Arial" w:cs="Arial"/>
          <w:b/>
        </w:rPr>
        <w:t>Vanguard Small-Cap Index Fund Institutional Shares</w:t>
      </w:r>
      <w:r w:rsidR="00255FAF" w:rsidRPr="003314DE">
        <w:rPr>
          <w:rFonts w:ascii="Arial" w:hAnsi="Arial" w:cs="Arial"/>
          <w:b/>
        </w:rPr>
        <w:t xml:space="preserve"> </w:t>
      </w:r>
      <w:r w:rsidRPr="003314DE">
        <w:rPr>
          <w:rFonts w:ascii="Arial" w:hAnsi="Arial" w:cs="Arial"/>
          <w:b/>
        </w:rPr>
        <w:t>(VSCIX)</w:t>
      </w:r>
    </w:p>
    <w:p w:rsidR="00B73814" w:rsidRPr="00B73814" w:rsidRDefault="00B73814" w:rsidP="00FD5936">
      <w:pPr>
        <w:shd w:val="clear" w:color="auto" w:fill="FFFFFF"/>
        <w:spacing w:before="100" w:beforeAutospacing="1" w:after="100" w:afterAutospacing="1" w:line="240" w:lineRule="auto"/>
        <w:jc w:val="both"/>
        <w:rPr>
          <w:rFonts w:ascii="Arial" w:eastAsia="Times New Roman" w:hAnsi="Arial" w:cs="Arial"/>
          <w:color w:val="333333"/>
        </w:rPr>
      </w:pPr>
      <w:r w:rsidRPr="00B73814">
        <w:rPr>
          <w:rFonts w:ascii="Arial" w:eastAsia="Times New Roman" w:hAnsi="Arial" w:cs="Arial"/>
          <w:color w:val="333333"/>
        </w:rPr>
        <w:t>With very low expenses and a focus on smaller companies, the Vanguard Small Cap Index fund is a great long-term building block for investor's portfolios.</w:t>
      </w:r>
      <w:r w:rsidRPr="003314DE">
        <w:rPr>
          <w:rFonts w:ascii="Arial" w:eastAsia="Times New Roman" w:hAnsi="Arial" w:cs="Arial"/>
          <w:color w:val="333333"/>
        </w:rPr>
        <w:t xml:space="preserve"> </w:t>
      </w:r>
      <w:r w:rsidRPr="00B73814">
        <w:rPr>
          <w:rFonts w:ascii="Arial" w:eastAsia="Times New Roman" w:hAnsi="Arial" w:cs="Arial"/>
          <w:color w:val="333333"/>
        </w:rPr>
        <w:t>As of April 07, 2017, the Vanguard Small Cap Index fund has assets totaling almost $74.74 billion invested in 1,439.00 different holdings. Its portfolio consists primarily of small-sized companies and tracks the CRSP US Small Cap index, an index designed to include firms with market capitalizations in the bottom 2-15 percent of the overall market. Some of its largest holdings are in the financial, consumer goods and industrial sector. The fund’s top holdings include Salix Pharmaceuticals, Foot Locker, Harman International Industries, Cooper Cos. and Gannett Co.</w:t>
      </w:r>
    </w:p>
    <w:p w:rsidR="00CD2403" w:rsidRPr="003314DE" w:rsidRDefault="003A46F1" w:rsidP="00FD5936">
      <w:pPr>
        <w:pStyle w:val="Heading1"/>
        <w:jc w:val="both"/>
        <w:rPr>
          <w:rFonts w:ascii="Arial" w:hAnsi="Arial" w:cs="Arial"/>
          <w:sz w:val="22"/>
          <w:szCs w:val="22"/>
        </w:rPr>
      </w:pPr>
      <w:bookmarkStart w:id="5" w:name="_Toc480726229"/>
      <w:bookmarkStart w:id="6" w:name="_Toc480727321"/>
      <w:bookmarkStart w:id="7" w:name="_Toc480730589"/>
      <w:r w:rsidRPr="003314DE">
        <w:rPr>
          <w:rFonts w:ascii="Arial" w:hAnsi="Arial" w:cs="Arial"/>
          <w:noProof/>
          <w:sz w:val="22"/>
          <w:szCs w:val="22"/>
        </w:rPr>
        <w:drawing>
          <wp:inline distT="0" distB="0" distL="0" distR="0" wp14:anchorId="1AAF3938" wp14:editId="155AE682">
            <wp:extent cx="2092123" cy="17526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1687" cy="1768989"/>
                    </a:xfrm>
                    <a:prstGeom prst="rect">
                      <a:avLst/>
                    </a:prstGeom>
                  </pic:spPr>
                </pic:pic>
              </a:graphicData>
            </a:graphic>
          </wp:inline>
        </w:drawing>
      </w:r>
      <w:bookmarkEnd w:id="5"/>
      <w:bookmarkEnd w:id="6"/>
      <w:bookmarkEnd w:id="7"/>
    </w:p>
    <w:p w:rsidR="003E1C3B" w:rsidRPr="003314DE" w:rsidRDefault="003E1C3B" w:rsidP="00FD5936">
      <w:pPr>
        <w:pStyle w:val="Heading1"/>
        <w:jc w:val="both"/>
        <w:rPr>
          <w:rFonts w:ascii="Arial" w:hAnsi="Arial" w:cs="Arial"/>
          <w:b/>
          <w:color w:val="auto"/>
          <w:sz w:val="22"/>
          <w:szCs w:val="22"/>
        </w:rPr>
      </w:pPr>
      <w:bookmarkStart w:id="8" w:name="_Toc480726230"/>
    </w:p>
    <w:p w:rsidR="00D22BC5" w:rsidRPr="003314DE" w:rsidRDefault="00D22BC5" w:rsidP="00FD5936">
      <w:pPr>
        <w:jc w:val="both"/>
        <w:rPr>
          <w:rFonts w:ascii="Arial" w:hAnsi="Arial" w:cs="Arial"/>
        </w:rPr>
      </w:pPr>
    </w:p>
    <w:p w:rsidR="00D177FF" w:rsidRPr="003314DE" w:rsidRDefault="004A6716" w:rsidP="00FD5936">
      <w:pPr>
        <w:jc w:val="both"/>
        <w:rPr>
          <w:rFonts w:ascii="Arial" w:hAnsi="Arial" w:cs="Arial"/>
          <w:b/>
        </w:rPr>
      </w:pPr>
      <w:r w:rsidRPr="003314DE">
        <w:rPr>
          <w:rFonts w:ascii="Arial" w:hAnsi="Arial" w:cs="Arial"/>
          <w:b/>
        </w:rPr>
        <w:lastRenderedPageBreak/>
        <w:t>Cohen &amp; Steers Institutional Realty Shares (CSRIX)</w:t>
      </w:r>
      <w:bookmarkEnd w:id="8"/>
    </w:p>
    <w:p w:rsidR="00D177FF" w:rsidRPr="003314DE" w:rsidRDefault="00184AC4" w:rsidP="00FD5936">
      <w:pPr>
        <w:jc w:val="both"/>
        <w:rPr>
          <w:rFonts w:ascii="Arial" w:hAnsi="Arial" w:cs="Arial"/>
        </w:rPr>
      </w:pPr>
      <w:r w:rsidRPr="003314DE">
        <w:rPr>
          <w:rFonts w:ascii="Arial" w:hAnsi="Arial" w:cs="Arial"/>
        </w:rPr>
        <w:t>The investment seeks total return through investment in real estate securities. The fund invests at least 80%, and normally substantially all, of its total assets in common stocks and other equity securities issued by real estate companies. It may invest up to 20% of its total assets in securities of foreign issuers (including emerging market issuers) which meet the same criteria for investment as domestic companies, including investments in such companies in the form of American Depositary Receipts ("ADRs"), Global Depositary Receipts ("GDRs") and European Depositary Receipts ("EDRs"). The fund is non-diversified.</w:t>
      </w:r>
    </w:p>
    <w:p w:rsidR="00D177FF" w:rsidRPr="003314DE" w:rsidRDefault="00E304BC" w:rsidP="00FD5936">
      <w:pPr>
        <w:pStyle w:val="Heading1"/>
        <w:jc w:val="both"/>
        <w:rPr>
          <w:rFonts w:ascii="Arial" w:hAnsi="Arial" w:cs="Arial"/>
          <w:sz w:val="22"/>
          <w:szCs w:val="22"/>
        </w:rPr>
      </w:pPr>
      <w:bookmarkStart w:id="9" w:name="_Toc480726231"/>
      <w:bookmarkStart w:id="10" w:name="_Toc480727322"/>
      <w:bookmarkStart w:id="11" w:name="_Toc480730590"/>
      <w:r w:rsidRPr="003314DE">
        <w:rPr>
          <w:rFonts w:ascii="Arial" w:hAnsi="Arial" w:cs="Arial"/>
          <w:noProof/>
          <w:sz w:val="22"/>
          <w:szCs w:val="22"/>
        </w:rPr>
        <w:drawing>
          <wp:inline distT="0" distB="0" distL="0" distR="0" wp14:anchorId="1E53FFFA" wp14:editId="11976086">
            <wp:extent cx="2278286" cy="1803400"/>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1357" cy="1813747"/>
                    </a:xfrm>
                    <a:prstGeom prst="rect">
                      <a:avLst/>
                    </a:prstGeom>
                  </pic:spPr>
                </pic:pic>
              </a:graphicData>
            </a:graphic>
          </wp:inline>
        </w:drawing>
      </w:r>
      <w:bookmarkEnd w:id="9"/>
      <w:bookmarkEnd w:id="10"/>
      <w:bookmarkEnd w:id="11"/>
    </w:p>
    <w:p w:rsidR="00917458" w:rsidRPr="003314DE" w:rsidRDefault="00917458" w:rsidP="00FD5936">
      <w:pPr>
        <w:jc w:val="both"/>
        <w:rPr>
          <w:rFonts w:ascii="Arial" w:hAnsi="Arial" w:cs="Arial"/>
        </w:rPr>
      </w:pPr>
    </w:p>
    <w:p w:rsidR="0041157A" w:rsidRDefault="0041157A" w:rsidP="00FD5936">
      <w:pPr>
        <w:jc w:val="both"/>
        <w:rPr>
          <w:rFonts w:ascii="Arial" w:hAnsi="Arial" w:cs="Arial"/>
          <w:b/>
          <w:shd w:val="clear" w:color="auto" w:fill="FFFFFF"/>
        </w:rPr>
      </w:pPr>
    </w:p>
    <w:p w:rsidR="0041157A" w:rsidRDefault="0041157A" w:rsidP="00FD5936">
      <w:pPr>
        <w:jc w:val="both"/>
        <w:rPr>
          <w:rFonts w:ascii="Arial" w:hAnsi="Arial" w:cs="Arial"/>
          <w:b/>
          <w:shd w:val="clear" w:color="auto" w:fill="FFFFFF"/>
        </w:rPr>
      </w:pPr>
    </w:p>
    <w:p w:rsidR="00917458" w:rsidRPr="003314DE" w:rsidRDefault="00917458" w:rsidP="00FD5936">
      <w:pPr>
        <w:jc w:val="both"/>
        <w:rPr>
          <w:rFonts w:ascii="Arial" w:hAnsi="Arial" w:cs="Arial"/>
          <w:b/>
          <w:shd w:val="clear" w:color="auto" w:fill="FFFFFF"/>
        </w:rPr>
      </w:pPr>
      <w:r w:rsidRPr="003314DE">
        <w:rPr>
          <w:rFonts w:ascii="Arial" w:hAnsi="Arial" w:cs="Arial"/>
          <w:b/>
          <w:shd w:val="clear" w:color="auto" w:fill="FFFFFF"/>
        </w:rPr>
        <w:t>Schwab International Index Fund (SWISX)</w:t>
      </w:r>
    </w:p>
    <w:p w:rsidR="005903D6" w:rsidRPr="003314DE" w:rsidRDefault="005903D6" w:rsidP="00FD5936">
      <w:pPr>
        <w:jc w:val="both"/>
        <w:rPr>
          <w:rFonts w:ascii="Arial" w:hAnsi="Arial" w:cs="Arial"/>
        </w:rPr>
      </w:pPr>
      <w:r w:rsidRPr="003314DE">
        <w:rPr>
          <w:rFonts w:ascii="Arial" w:hAnsi="Arial" w:cs="Arial"/>
        </w:rPr>
        <w:t>The investment seeks to track the performance of a benchmark index that measures the total return of large, publicly traded non-U.S. companies from countries with developed equity markets outside of the United States. The fund generally invests at least 80% of its net assets in stocks that are included in the MSCI EAFE Index. It may invest in derivatives, principally futures contracts, and lend its securities to minimize the gap in performance that naturally exists between any index fund and its corresponding index. The fund may concentrate its investments in an industry or group of industries to the extent that its comparative index is also so concentrated.</w:t>
      </w:r>
    </w:p>
    <w:p w:rsidR="00D84997" w:rsidRPr="003314DE" w:rsidRDefault="00D84997" w:rsidP="00FD5936">
      <w:pPr>
        <w:jc w:val="both"/>
        <w:rPr>
          <w:rFonts w:ascii="Arial" w:hAnsi="Arial" w:cs="Arial"/>
        </w:rPr>
      </w:pPr>
      <w:r w:rsidRPr="003314DE">
        <w:rPr>
          <w:rFonts w:ascii="Arial" w:hAnsi="Arial" w:cs="Arial"/>
          <w:noProof/>
        </w:rPr>
        <w:drawing>
          <wp:inline distT="0" distB="0" distL="0" distR="0" wp14:anchorId="65DBC030" wp14:editId="61AB9290">
            <wp:extent cx="2283163" cy="1808480"/>
            <wp:effectExtent l="0" t="0" r="317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8607" cy="1820713"/>
                    </a:xfrm>
                    <a:prstGeom prst="rect">
                      <a:avLst/>
                    </a:prstGeom>
                  </pic:spPr>
                </pic:pic>
              </a:graphicData>
            </a:graphic>
          </wp:inline>
        </w:drawing>
      </w:r>
    </w:p>
    <w:p w:rsidR="00E209B6" w:rsidRDefault="00E209B6" w:rsidP="00FD5936">
      <w:pPr>
        <w:jc w:val="both"/>
        <w:rPr>
          <w:rFonts w:ascii="Arial" w:hAnsi="Arial" w:cs="Arial"/>
          <w:b/>
        </w:rPr>
      </w:pPr>
    </w:p>
    <w:p w:rsidR="00CB7AEF" w:rsidRPr="003314DE" w:rsidRDefault="00CB7AEF" w:rsidP="00FD5936">
      <w:pPr>
        <w:jc w:val="both"/>
        <w:rPr>
          <w:rFonts w:ascii="Arial" w:hAnsi="Arial" w:cs="Arial"/>
          <w:b/>
        </w:rPr>
      </w:pPr>
      <w:r w:rsidRPr="003314DE">
        <w:rPr>
          <w:rFonts w:ascii="Arial" w:hAnsi="Arial" w:cs="Arial"/>
          <w:b/>
        </w:rPr>
        <w:lastRenderedPageBreak/>
        <w:t>American Funds EuroPacific Growth Fund Class R-6 (RERGX)</w:t>
      </w:r>
    </w:p>
    <w:p w:rsidR="00A57393" w:rsidRPr="003314DE" w:rsidRDefault="00A57393" w:rsidP="00FD5936">
      <w:pPr>
        <w:jc w:val="both"/>
        <w:rPr>
          <w:rFonts w:ascii="Arial" w:hAnsi="Arial" w:cs="Arial"/>
        </w:rPr>
      </w:pPr>
      <w:r w:rsidRPr="003314DE">
        <w:rPr>
          <w:rFonts w:ascii="Arial" w:hAnsi="Arial" w:cs="Arial"/>
        </w:rPr>
        <w:t>The American Funds EuroPacific Growth Fund, the largest international fund, has a long history of investing in a diverse set of markets. As of April 07, 2017, the fund has assets totaling $132.31 billion. Its portfolio consists mostly of a blend of large-company growth and value stocks in Europe and the Pacific Basin. The fund had a banner year in 2009 but had a slow start in 2010. Emerging Markets make up about 20 percent of the portfolio as of the end of the first quarter. As the name suggests, the fund is well-diversified throughout Europe and Asia among developed and developing countries with more than 300 holdings. The fund has returned 13.10 percent over the past year and 2.17 percent over the past three years. Historically, the fund has a record of steady gains. Since its 1984 inception, the fund has weathered several overseas financial market storms. The fund has returned 6.64 percent over the past five years and 3.51 percent over the past decade.</w:t>
      </w:r>
    </w:p>
    <w:p w:rsidR="00A57393" w:rsidRPr="003314DE" w:rsidRDefault="001718B7" w:rsidP="00FD5936">
      <w:pPr>
        <w:jc w:val="both"/>
        <w:rPr>
          <w:rFonts w:ascii="Arial" w:hAnsi="Arial" w:cs="Arial"/>
          <w:b/>
        </w:rPr>
      </w:pPr>
      <w:r w:rsidRPr="003314DE">
        <w:rPr>
          <w:rFonts w:ascii="Arial" w:hAnsi="Arial" w:cs="Arial"/>
          <w:noProof/>
        </w:rPr>
        <w:drawing>
          <wp:inline distT="0" distB="0" distL="0" distR="0" wp14:anchorId="51B54C87" wp14:editId="4ABAF23A">
            <wp:extent cx="2268561" cy="1931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6000" cy="1938004"/>
                    </a:xfrm>
                    <a:prstGeom prst="rect">
                      <a:avLst/>
                    </a:prstGeom>
                  </pic:spPr>
                </pic:pic>
              </a:graphicData>
            </a:graphic>
          </wp:inline>
        </w:drawing>
      </w:r>
    </w:p>
    <w:p w:rsidR="0064294F" w:rsidRDefault="0064294F" w:rsidP="00FD5936">
      <w:pPr>
        <w:jc w:val="both"/>
        <w:rPr>
          <w:rFonts w:ascii="Arial" w:hAnsi="Arial" w:cs="Arial"/>
          <w:b/>
        </w:rPr>
      </w:pPr>
    </w:p>
    <w:p w:rsidR="003F4313" w:rsidRPr="003314DE" w:rsidRDefault="003F4313" w:rsidP="00FD5936">
      <w:pPr>
        <w:jc w:val="both"/>
        <w:rPr>
          <w:rFonts w:ascii="Arial" w:hAnsi="Arial" w:cs="Arial"/>
          <w:b/>
        </w:rPr>
      </w:pPr>
      <w:r w:rsidRPr="003314DE">
        <w:rPr>
          <w:rFonts w:ascii="Arial" w:hAnsi="Arial" w:cs="Arial"/>
          <w:b/>
        </w:rPr>
        <w:t>DFA Emerging Markets Portfolio Institutional Class (DFEMX)</w:t>
      </w:r>
    </w:p>
    <w:p w:rsidR="003F4313" w:rsidRPr="003314DE" w:rsidRDefault="003F4313" w:rsidP="00FD5936">
      <w:pPr>
        <w:jc w:val="both"/>
        <w:rPr>
          <w:rFonts w:ascii="Arial" w:hAnsi="Arial" w:cs="Arial"/>
        </w:rPr>
      </w:pPr>
      <w:r w:rsidRPr="003314DE">
        <w:rPr>
          <w:rFonts w:ascii="Arial" w:hAnsi="Arial" w:cs="Arial"/>
        </w:rPr>
        <w:t>DFA Emerging Markets I fund isn’t trying to beat the market. Like other funds offered by Dimensional Fund Advisors, this one seeks to instead provide investors with concentrated exposure to a particular area of the market—in this case large-cap emerging market stocks.</w:t>
      </w:r>
      <w:r w:rsidR="00CE19F8" w:rsidRPr="003314DE">
        <w:rPr>
          <w:rFonts w:ascii="Arial" w:hAnsi="Arial" w:cs="Arial"/>
        </w:rPr>
        <w:t xml:space="preserve"> </w:t>
      </w:r>
      <w:r w:rsidRPr="003314DE">
        <w:rPr>
          <w:rFonts w:ascii="Arial" w:hAnsi="Arial" w:cs="Arial"/>
        </w:rPr>
        <w:t>As of April 07, 2017, the fund has assets totaling almost $5.58 billion invested in 1,099.00 different holdings. Its portfolio consists primarily of the largest companies in the emerging markets and is closely aligned with the MSCI Emerging Markets Index.</w:t>
      </w:r>
    </w:p>
    <w:p w:rsidR="00572A58" w:rsidRPr="003314DE" w:rsidRDefault="00572A58" w:rsidP="00FD5936">
      <w:pPr>
        <w:jc w:val="both"/>
        <w:rPr>
          <w:rFonts w:ascii="Arial" w:hAnsi="Arial" w:cs="Arial"/>
        </w:rPr>
      </w:pPr>
      <w:r w:rsidRPr="003314DE">
        <w:rPr>
          <w:rFonts w:ascii="Arial" w:hAnsi="Arial" w:cs="Arial"/>
          <w:noProof/>
        </w:rPr>
        <w:drawing>
          <wp:inline distT="0" distB="0" distL="0" distR="0" wp14:anchorId="4D851F0E" wp14:editId="146740B8">
            <wp:extent cx="2279218" cy="198628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3054" cy="1998338"/>
                    </a:xfrm>
                    <a:prstGeom prst="rect">
                      <a:avLst/>
                    </a:prstGeom>
                  </pic:spPr>
                </pic:pic>
              </a:graphicData>
            </a:graphic>
          </wp:inline>
        </w:drawing>
      </w:r>
    </w:p>
    <w:p w:rsidR="00BC43C9" w:rsidRPr="003314DE" w:rsidRDefault="00BC43C9" w:rsidP="00FD5936">
      <w:pPr>
        <w:jc w:val="both"/>
        <w:rPr>
          <w:rFonts w:ascii="Arial" w:hAnsi="Arial" w:cs="Arial"/>
          <w:b/>
        </w:rPr>
      </w:pPr>
      <w:r w:rsidRPr="003314DE">
        <w:rPr>
          <w:rFonts w:ascii="Arial" w:hAnsi="Arial" w:cs="Arial"/>
          <w:b/>
        </w:rPr>
        <w:lastRenderedPageBreak/>
        <w:t>DFA Emerging Markets Small Cap Portfolio Institutional Class (DEMSX)</w:t>
      </w:r>
    </w:p>
    <w:p w:rsidR="0001727D" w:rsidRPr="003314DE" w:rsidRDefault="0001727D" w:rsidP="00FD5936">
      <w:pPr>
        <w:jc w:val="both"/>
        <w:rPr>
          <w:rFonts w:ascii="Arial" w:hAnsi="Arial" w:cs="Arial"/>
        </w:rPr>
      </w:pPr>
      <w:r w:rsidRPr="003314DE">
        <w:rPr>
          <w:rFonts w:ascii="Arial" w:hAnsi="Arial" w:cs="Arial"/>
        </w:rPr>
        <w:t>The investment seeks long-term capital appreciation. The Portfolio is a Feeder Portfolio and pursues its objective by investing substantially all of its assets in its corresponding master fund, the Emerging Markets Small Cap Series (the "Emerging Markets Small Cap Series") of the DFA Investment Trust Company (the "Trust"), which has the same investment objective and policies as the Portfolio. As a non-fundamental policy, under normal circumstances, the Emerging Markets Small Cap Series will invest at least 80% of its net assets in emerging market investments that are designated in the Prospectus as Approved Market securities of small companies.</w:t>
      </w:r>
    </w:p>
    <w:p w:rsidR="0001727D" w:rsidRPr="003314DE" w:rsidRDefault="0001727D" w:rsidP="00FD5936">
      <w:pPr>
        <w:jc w:val="both"/>
        <w:rPr>
          <w:rFonts w:ascii="Arial" w:hAnsi="Arial" w:cs="Arial"/>
        </w:rPr>
      </w:pPr>
      <w:r w:rsidRPr="003314DE">
        <w:rPr>
          <w:rFonts w:ascii="Arial" w:hAnsi="Arial" w:cs="Arial"/>
          <w:noProof/>
        </w:rPr>
        <w:drawing>
          <wp:inline distT="0" distB="0" distL="0" distR="0" wp14:anchorId="3D86E090" wp14:editId="6AFEDAF6">
            <wp:extent cx="2281646" cy="1996440"/>
            <wp:effectExtent l="0" t="0" r="444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3620" cy="2006918"/>
                    </a:xfrm>
                    <a:prstGeom prst="rect">
                      <a:avLst/>
                    </a:prstGeom>
                  </pic:spPr>
                </pic:pic>
              </a:graphicData>
            </a:graphic>
          </wp:inline>
        </w:drawing>
      </w:r>
    </w:p>
    <w:p w:rsidR="00DE3A04" w:rsidRDefault="00DE3A04" w:rsidP="00FD5936">
      <w:pPr>
        <w:jc w:val="both"/>
        <w:rPr>
          <w:rFonts w:ascii="Arial" w:hAnsi="Arial" w:cs="Arial"/>
          <w:b/>
        </w:rPr>
      </w:pPr>
    </w:p>
    <w:p w:rsidR="00DE3A04" w:rsidRDefault="00DE3A04" w:rsidP="00FD5936">
      <w:pPr>
        <w:jc w:val="both"/>
        <w:rPr>
          <w:rFonts w:ascii="Arial" w:hAnsi="Arial" w:cs="Arial"/>
          <w:b/>
        </w:rPr>
      </w:pPr>
    </w:p>
    <w:p w:rsidR="00FD6117" w:rsidRPr="003314DE" w:rsidRDefault="00FD6117" w:rsidP="00FD5936">
      <w:pPr>
        <w:jc w:val="both"/>
        <w:rPr>
          <w:rFonts w:ascii="Arial" w:hAnsi="Arial" w:cs="Arial"/>
          <w:b/>
        </w:rPr>
      </w:pPr>
      <w:r w:rsidRPr="003314DE">
        <w:rPr>
          <w:rFonts w:ascii="Arial" w:hAnsi="Arial" w:cs="Arial"/>
          <w:b/>
        </w:rPr>
        <w:t>Loomis Sayles Bond Fund Institutional Class (LSBDX)</w:t>
      </w:r>
    </w:p>
    <w:p w:rsidR="005F2855" w:rsidRPr="003314DE" w:rsidRDefault="005F2855" w:rsidP="00FD5936">
      <w:pPr>
        <w:jc w:val="both"/>
        <w:rPr>
          <w:rFonts w:ascii="Arial" w:hAnsi="Arial" w:cs="Arial"/>
          <w:color w:val="333333"/>
          <w:shd w:val="clear" w:color="auto" w:fill="FFFFFF"/>
        </w:rPr>
      </w:pPr>
      <w:r w:rsidRPr="003314DE">
        <w:rPr>
          <w:rFonts w:ascii="Arial" w:hAnsi="Arial" w:cs="Arial"/>
          <w:color w:val="333333"/>
          <w:shd w:val="clear" w:color="auto" w:fill="FFFFFF"/>
        </w:rPr>
        <w:t>The Loomis Sayles Bond fund is heavy on the corporate bond side but offers some flexibility within lower grade names and even equities. As of April 07, 2017, the fund has assets totaling almost $13.82 billion invested in 458.00 different holdings. Its portfolio consists primarily of fixed income securities but also below-investment-grade bonds and stocks. Nearly 70 percent of the fund is invested in the U.S. and nearly 12 percent invested in Canada.</w:t>
      </w:r>
    </w:p>
    <w:p w:rsidR="00AB387A" w:rsidRPr="003314DE" w:rsidRDefault="00AB387A" w:rsidP="00FD5936">
      <w:pPr>
        <w:jc w:val="both"/>
        <w:rPr>
          <w:rFonts w:ascii="Arial" w:hAnsi="Arial" w:cs="Arial"/>
          <w:b/>
        </w:rPr>
      </w:pPr>
      <w:r w:rsidRPr="003314DE">
        <w:rPr>
          <w:rFonts w:ascii="Arial" w:hAnsi="Arial" w:cs="Arial"/>
          <w:noProof/>
        </w:rPr>
        <w:drawing>
          <wp:inline distT="0" distB="0" distL="0" distR="0" wp14:anchorId="606206F6" wp14:editId="77EB8470">
            <wp:extent cx="2288445"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6225" cy="1843009"/>
                    </a:xfrm>
                    <a:prstGeom prst="rect">
                      <a:avLst/>
                    </a:prstGeom>
                  </pic:spPr>
                </pic:pic>
              </a:graphicData>
            </a:graphic>
          </wp:inline>
        </w:drawing>
      </w:r>
    </w:p>
    <w:p w:rsidR="006731B7" w:rsidRDefault="006731B7" w:rsidP="00FD5936">
      <w:pPr>
        <w:jc w:val="both"/>
        <w:rPr>
          <w:rFonts w:ascii="Arial" w:hAnsi="Arial" w:cs="Arial"/>
          <w:b/>
        </w:rPr>
      </w:pPr>
    </w:p>
    <w:p w:rsidR="006731B7" w:rsidRDefault="006731B7" w:rsidP="00FD5936">
      <w:pPr>
        <w:jc w:val="both"/>
        <w:rPr>
          <w:rFonts w:ascii="Arial" w:hAnsi="Arial" w:cs="Arial"/>
          <w:b/>
        </w:rPr>
      </w:pPr>
    </w:p>
    <w:p w:rsidR="006731B7" w:rsidRDefault="006731B7" w:rsidP="00FD5936">
      <w:pPr>
        <w:jc w:val="both"/>
        <w:rPr>
          <w:rFonts w:ascii="Arial" w:hAnsi="Arial" w:cs="Arial"/>
          <w:b/>
        </w:rPr>
      </w:pPr>
    </w:p>
    <w:p w:rsidR="003B5A9D" w:rsidRPr="003314DE" w:rsidRDefault="003B5A9D" w:rsidP="00FD5936">
      <w:pPr>
        <w:jc w:val="both"/>
        <w:rPr>
          <w:rFonts w:ascii="Arial" w:hAnsi="Arial" w:cs="Arial"/>
          <w:b/>
        </w:rPr>
      </w:pPr>
      <w:r w:rsidRPr="003314DE">
        <w:rPr>
          <w:rFonts w:ascii="Arial" w:hAnsi="Arial" w:cs="Arial"/>
          <w:b/>
        </w:rPr>
        <w:lastRenderedPageBreak/>
        <w:t>Vanguard Total Bond Market Index Fund Institutional Shares (VBTIX)</w:t>
      </w:r>
    </w:p>
    <w:p w:rsidR="003B5A9D" w:rsidRPr="003314DE" w:rsidRDefault="003B5A9D" w:rsidP="00FD5936">
      <w:pPr>
        <w:jc w:val="both"/>
        <w:rPr>
          <w:rFonts w:ascii="Arial" w:hAnsi="Arial" w:cs="Arial"/>
        </w:rPr>
      </w:pPr>
      <w:r w:rsidRPr="003314DE">
        <w:rPr>
          <w:rFonts w:ascii="Arial" w:hAnsi="Arial" w:cs="Arial"/>
        </w:rPr>
        <w:t>The Vanguard Total Bond Market Index fund holds higher quality investment-grade bonds, both corporate and government, with U.S. government debt making up themajority of assets in the portfolio. It's a broad-market bond fund and is used as a core fixed-income holding for a wide range of investors. Because the fund invests in all segments and maturities of the fixed income market, this is considered a core bond holding for investors.</w:t>
      </w:r>
    </w:p>
    <w:p w:rsidR="00FB0AE6" w:rsidRPr="003314DE" w:rsidRDefault="00FB0AE6" w:rsidP="00FD5936">
      <w:pPr>
        <w:jc w:val="both"/>
        <w:rPr>
          <w:rFonts w:ascii="Arial" w:hAnsi="Arial" w:cs="Arial"/>
        </w:rPr>
      </w:pPr>
      <w:r w:rsidRPr="003314DE">
        <w:rPr>
          <w:rFonts w:ascii="Arial" w:hAnsi="Arial" w:cs="Arial"/>
          <w:noProof/>
        </w:rPr>
        <w:drawing>
          <wp:inline distT="0" distB="0" distL="0" distR="0" wp14:anchorId="5B6D0DFF" wp14:editId="09EED0C9">
            <wp:extent cx="2283004" cy="1823720"/>
            <wp:effectExtent l="0" t="0" r="3175"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0041" cy="1829341"/>
                    </a:xfrm>
                    <a:prstGeom prst="rect">
                      <a:avLst/>
                    </a:prstGeom>
                  </pic:spPr>
                </pic:pic>
              </a:graphicData>
            </a:graphic>
          </wp:inline>
        </w:drawing>
      </w:r>
    </w:p>
    <w:p w:rsidR="00381633" w:rsidRDefault="00381633" w:rsidP="00FD5936">
      <w:pPr>
        <w:jc w:val="both"/>
        <w:rPr>
          <w:rFonts w:ascii="Arial" w:hAnsi="Arial" w:cs="Arial"/>
          <w:b/>
        </w:rPr>
      </w:pPr>
    </w:p>
    <w:p w:rsidR="00381633" w:rsidRDefault="00381633" w:rsidP="00FD5936">
      <w:pPr>
        <w:jc w:val="both"/>
        <w:rPr>
          <w:rFonts w:ascii="Arial" w:hAnsi="Arial" w:cs="Arial"/>
          <w:b/>
        </w:rPr>
      </w:pPr>
    </w:p>
    <w:p w:rsidR="009A0889" w:rsidRPr="003314DE" w:rsidRDefault="009A0889" w:rsidP="00FD5936">
      <w:pPr>
        <w:jc w:val="both"/>
        <w:rPr>
          <w:rFonts w:ascii="Arial" w:hAnsi="Arial" w:cs="Arial"/>
          <w:b/>
        </w:rPr>
      </w:pPr>
      <w:r w:rsidRPr="003314DE">
        <w:rPr>
          <w:rFonts w:ascii="Arial" w:hAnsi="Arial" w:cs="Arial"/>
          <w:b/>
        </w:rPr>
        <w:t>Vanguard Inflation-Protected Securities Fund Investor Shares (VIPSX)</w:t>
      </w:r>
    </w:p>
    <w:p w:rsidR="006E2DB4" w:rsidRPr="003314DE" w:rsidRDefault="006E2DB4" w:rsidP="00FD5936">
      <w:pPr>
        <w:jc w:val="both"/>
        <w:rPr>
          <w:rFonts w:ascii="Arial" w:hAnsi="Arial" w:cs="Arial"/>
          <w:color w:val="333333"/>
          <w:shd w:val="clear" w:color="auto" w:fill="FFFFFF"/>
        </w:rPr>
      </w:pPr>
      <w:r w:rsidRPr="003314DE">
        <w:rPr>
          <w:rFonts w:ascii="Arial" w:hAnsi="Arial" w:cs="Arial"/>
          <w:color w:val="333333"/>
          <w:shd w:val="clear" w:color="auto" w:fill="FFFFFF"/>
        </w:rPr>
        <w:t>A strict approach to inflation protection and low fees is a strategy that keeps this fund working well for investors, though interest rate changes remain this fund’s foil.</w:t>
      </w:r>
      <w:r w:rsidRPr="003314DE">
        <w:rPr>
          <w:rFonts w:ascii="Arial" w:hAnsi="Arial" w:cs="Arial"/>
          <w:color w:val="333333"/>
        </w:rPr>
        <w:br/>
      </w:r>
      <w:r w:rsidRPr="003314DE">
        <w:rPr>
          <w:rFonts w:ascii="Arial" w:hAnsi="Arial" w:cs="Arial"/>
          <w:color w:val="333333"/>
          <w:shd w:val="clear" w:color="auto" w:fill="FFFFFF"/>
        </w:rPr>
        <w:t>As of April 07, 2017, the fund has assets totaling almost $26.83 billion invested in 37.00 different holdings. The fund exclusively invests in TIPS (Treasury-inflation protected securities), and doesn't veer into more credit-sensitive areas such as mortgage debt or emerging-market debt like some of its peers. This, of course can be beneficial when the markets don't favor those riskier sectors, but the fund can underperform its peers when assets outside its narrow focus perform well. The fund has returned 1.32 percent over the past year and 1.94 percent over the past three years.</w:t>
      </w:r>
    </w:p>
    <w:p w:rsidR="006E2DB4" w:rsidRPr="003314DE" w:rsidRDefault="006E2DB4" w:rsidP="00FD5936">
      <w:pPr>
        <w:jc w:val="both"/>
        <w:rPr>
          <w:rFonts w:ascii="Arial" w:hAnsi="Arial" w:cs="Arial"/>
          <w:b/>
        </w:rPr>
      </w:pPr>
      <w:r w:rsidRPr="003314DE">
        <w:rPr>
          <w:rFonts w:ascii="Arial" w:hAnsi="Arial" w:cs="Arial"/>
          <w:noProof/>
        </w:rPr>
        <w:drawing>
          <wp:inline distT="0" distB="0" distL="0" distR="0" wp14:anchorId="45929167" wp14:editId="4553091F">
            <wp:extent cx="2281918" cy="1965960"/>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9670" cy="1972639"/>
                    </a:xfrm>
                    <a:prstGeom prst="rect">
                      <a:avLst/>
                    </a:prstGeom>
                  </pic:spPr>
                </pic:pic>
              </a:graphicData>
            </a:graphic>
          </wp:inline>
        </w:drawing>
      </w:r>
    </w:p>
    <w:p w:rsidR="0052224E" w:rsidRDefault="0052224E" w:rsidP="00FD5936">
      <w:pPr>
        <w:pStyle w:val="Heading1"/>
        <w:jc w:val="both"/>
        <w:rPr>
          <w:rFonts w:ascii="Arial" w:hAnsi="Arial" w:cs="Arial"/>
          <w:sz w:val="22"/>
          <w:szCs w:val="22"/>
        </w:rPr>
      </w:pPr>
    </w:p>
    <w:p w:rsidR="00CB53CA" w:rsidRPr="00CB53CA" w:rsidRDefault="00CB53CA" w:rsidP="00FD5936">
      <w:pPr>
        <w:jc w:val="both"/>
      </w:pPr>
    </w:p>
    <w:p w:rsidR="00AC4357" w:rsidRPr="003314DE" w:rsidRDefault="008E5513" w:rsidP="00FD5936">
      <w:pPr>
        <w:pStyle w:val="Heading2"/>
        <w:jc w:val="both"/>
        <w:rPr>
          <w:rFonts w:ascii="Arial" w:hAnsi="Arial" w:cs="Arial"/>
        </w:rPr>
      </w:pPr>
      <w:bookmarkStart w:id="12" w:name="_Toc480730591"/>
      <w:r w:rsidRPr="003314DE">
        <w:rPr>
          <w:rFonts w:ascii="Arial" w:hAnsi="Arial" w:cs="Arial"/>
        </w:rPr>
        <w:lastRenderedPageBreak/>
        <w:t>Data Set</w:t>
      </w:r>
      <w:bookmarkEnd w:id="12"/>
    </w:p>
    <w:p w:rsidR="00B02AD9" w:rsidRDefault="00B02AD9" w:rsidP="00FD5936">
      <w:pPr>
        <w:pStyle w:val="NormalWeb"/>
        <w:shd w:val="clear" w:color="auto" w:fill="FFFFFF"/>
        <w:spacing w:before="0" w:beforeAutospacing="0" w:after="0" w:afterAutospacing="0"/>
        <w:jc w:val="both"/>
        <w:rPr>
          <w:rFonts w:ascii="Arial" w:hAnsi="Arial" w:cs="Arial"/>
          <w:color w:val="48485E"/>
          <w:sz w:val="22"/>
          <w:szCs w:val="22"/>
        </w:rPr>
      </w:pPr>
    </w:p>
    <w:p w:rsidR="00FC3215" w:rsidRPr="003314DE" w:rsidRDefault="00AC4357" w:rsidP="00FD5936">
      <w:pPr>
        <w:pStyle w:val="NormalWeb"/>
        <w:shd w:val="clear" w:color="auto" w:fill="FFFFFF"/>
        <w:spacing w:before="0" w:beforeAutospacing="0" w:after="0" w:afterAutospacing="0"/>
        <w:jc w:val="both"/>
        <w:rPr>
          <w:rFonts w:ascii="Arial" w:hAnsi="Arial" w:cs="Arial"/>
          <w:color w:val="48485E"/>
          <w:sz w:val="22"/>
          <w:szCs w:val="22"/>
        </w:rPr>
      </w:pPr>
      <w:r w:rsidRPr="003314DE">
        <w:rPr>
          <w:rFonts w:ascii="Arial" w:hAnsi="Arial" w:cs="Arial"/>
          <w:color w:val="48485E"/>
          <w:sz w:val="22"/>
          <w:szCs w:val="22"/>
        </w:rPr>
        <w:t xml:space="preserve">The day end prices for all funds can be obtained from Quandl. </w:t>
      </w:r>
      <w:r w:rsidR="00FC3215" w:rsidRPr="003314DE">
        <w:rPr>
          <w:rFonts w:ascii="Arial" w:hAnsi="Arial" w:cs="Arial"/>
          <w:color w:val="48485E"/>
          <w:sz w:val="22"/>
          <w:szCs w:val="22"/>
        </w:rPr>
        <w:t xml:space="preserve">The data elements available through the API </w:t>
      </w:r>
      <w:r w:rsidR="003E461C" w:rsidRPr="003314DE">
        <w:rPr>
          <w:rFonts w:ascii="Arial" w:hAnsi="Arial" w:cs="Arial"/>
          <w:color w:val="48485E"/>
          <w:sz w:val="22"/>
          <w:szCs w:val="22"/>
        </w:rPr>
        <w:t>were recorded</w:t>
      </w:r>
      <w:r w:rsidR="005B7D22" w:rsidRPr="003314DE">
        <w:rPr>
          <w:rFonts w:ascii="Arial" w:hAnsi="Arial" w:cs="Arial"/>
          <w:color w:val="48485E"/>
          <w:sz w:val="22"/>
          <w:szCs w:val="22"/>
        </w:rPr>
        <w:t xml:space="preserve"> into</w:t>
      </w:r>
      <w:r w:rsidR="003E461C" w:rsidRPr="003314DE">
        <w:rPr>
          <w:rFonts w:ascii="Arial" w:hAnsi="Arial" w:cs="Arial"/>
          <w:color w:val="48485E"/>
          <w:sz w:val="22"/>
          <w:szCs w:val="22"/>
        </w:rPr>
        <w:t xml:space="preserve"> data frames</w:t>
      </w:r>
      <w:r w:rsidR="005B7D22" w:rsidRPr="003314DE">
        <w:rPr>
          <w:rFonts w:ascii="Arial" w:hAnsi="Arial" w:cs="Arial"/>
          <w:color w:val="48485E"/>
          <w:sz w:val="22"/>
          <w:szCs w:val="22"/>
        </w:rPr>
        <w:t xml:space="preserve"> with following information.</w:t>
      </w:r>
    </w:p>
    <w:p w:rsidR="00FC1B1C" w:rsidRPr="003314DE" w:rsidRDefault="00FC1B1C" w:rsidP="00FD5936">
      <w:pPr>
        <w:pStyle w:val="NormalWeb"/>
        <w:shd w:val="clear" w:color="auto" w:fill="FFFFFF"/>
        <w:spacing w:before="0" w:beforeAutospacing="0" w:after="0" w:afterAutospacing="0"/>
        <w:ind w:left="1170"/>
        <w:jc w:val="both"/>
        <w:rPr>
          <w:rFonts w:ascii="Arial" w:hAnsi="Arial" w:cs="Arial"/>
          <w:color w:val="48485E"/>
          <w:sz w:val="22"/>
          <w:szCs w:val="22"/>
        </w:rPr>
      </w:pPr>
    </w:p>
    <w:p w:rsidR="00AC4357" w:rsidRPr="003314DE" w:rsidRDefault="00AC4357" w:rsidP="00FD5936">
      <w:pPr>
        <w:pStyle w:val="NormalWeb"/>
        <w:numPr>
          <w:ilvl w:val="0"/>
          <w:numId w:val="2"/>
        </w:numPr>
        <w:shd w:val="clear" w:color="auto" w:fill="FFFFFF"/>
        <w:spacing w:before="0" w:beforeAutospacing="0" w:after="0" w:afterAutospacing="0"/>
        <w:jc w:val="both"/>
        <w:rPr>
          <w:rFonts w:ascii="Arial" w:hAnsi="Arial" w:cs="Arial"/>
          <w:color w:val="48485E"/>
          <w:sz w:val="22"/>
          <w:szCs w:val="22"/>
        </w:rPr>
      </w:pPr>
      <w:r w:rsidRPr="003314DE">
        <w:rPr>
          <w:rFonts w:ascii="Arial" w:hAnsi="Arial" w:cs="Arial"/>
          <w:color w:val="48485E"/>
          <w:sz w:val="22"/>
          <w:szCs w:val="22"/>
        </w:rPr>
        <w:t>Date</w:t>
      </w:r>
      <w:r w:rsidR="005B5468" w:rsidRPr="003314DE">
        <w:rPr>
          <w:rFonts w:ascii="Arial" w:hAnsi="Arial" w:cs="Arial"/>
          <w:color w:val="48485E"/>
          <w:sz w:val="22"/>
          <w:szCs w:val="22"/>
        </w:rPr>
        <w:t xml:space="preserve"> – Date of record</w:t>
      </w:r>
    </w:p>
    <w:p w:rsidR="00AC4357" w:rsidRPr="003314DE" w:rsidRDefault="00AC4357" w:rsidP="00FD5936">
      <w:pPr>
        <w:pStyle w:val="NormalWeb"/>
        <w:numPr>
          <w:ilvl w:val="0"/>
          <w:numId w:val="2"/>
        </w:numPr>
        <w:shd w:val="clear" w:color="auto" w:fill="FFFFFF"/>
        <w:spacing w:before="0" w:beforeAutospacing="0" w:after="0" w:afterAutospacing="0"/>
        <w:jc w:val="both"/>
        <w:rPr>
          <w:rFonts w:ascii="Arial" w:hAnsi="Arial" w:cs="Arial"/>
          <w:color w:val="48485E"/>
          <w:sz w:val="22"/>
          <w:szCs w:val="22"/>
        </w:rPr>
      </w:pPr>
      <w:r w:rsidRPr="003314DE">
        <w:rPr>
          <w:rFonts w:ascii="Arial" w:hAnsi="Arial" w:cs="Arial"/>
          <w:color w:val="48485E"/>
          <w:sz w:val="22"/>
          <w:szCs w:val="22"/>
        </w:rPr>
        <w:t>Adjusted Close</w:t>
      </w:r>
      <w:r w:rsidR="005B5468" w:rsidRPr="003314DE">
        <w:rPr>
          <w:rFonts w:ascii="Arial" w:hAnsi="Arial" w:cs="Arial"/>
          <w:color w:val="48485E"/>
          <w:sz w:val="22"/>
          <w:szCs w:val="22"/>
        </w:rPr>
        <w:t xml:space="preserve"> – Day end price of the 401K fund</w:t>
      </w:r>
    </w:p>
    <w:p w:rsidR="00AC4357" w:rsidRPr="003314DE" w:rsidRDefault="00AC4357" w:rsidP="00FD5936">
      <w:pPr>
        <w:pStyle w:val="NormalWeb"/>
        <w:numPr>
          <w:ilvl w:val="0"/>
          <w:numId w:val="2"/>
        </w:numPr>
        <w:shd w:val="clear" w:color="auto" w:fill="FFFFFF"/>
        <w:spacing w:before="0" w:beforeAutospacing="0" w:after="0" w:afterAutospacing="0"/>
        <w:jc w:val="both"/>
        <w:rPr>
          <w:rFonts w:ascii="Arial" w:hAnsi="Arial" w:cs="Arial"/>
          <w:color w:val="48485E"/>
          <w:sz w:val="22"/>
          <w:szCs w:val="22"/>
        </w:rPr>
      </w:pPr>
      <w:r w:rsidRPr="003314DE">
        <w:rPr>
          <w:rFonts w:ascii="Arial" w:hAnsi="Arial" w:cs="Arial"/>
          <w:color w:val="48485E"/>
          <w:sz w:val="22"/>
          <w:szCs w:val="22"/>
        </w:rPr>
        <w:t>Ticker</w:t>
      </w:r>
      <w:r w:rsidR="005B5468" w:rsidRPr="003314DE">
        <w:rPr>
          <w:rFonts w:ascii="Arial" w:hAnsi="Arial" w:cs="Arial"/>
          <w:color w:val="48485E"/>
          <w:sz w:val="22"/>
          <w:szCs w:val="22"/>
        </w:rPr>
        <w:t xml:space="preserve"> – Ticker symbol</w:t>
      </w:r>
    </w:p>
    <w:p w:rsidR="00FC1B1C" w:rsidRPr="003314DE" w:rsidRDefault="00FC1B1C" w:rsidP="00FD5936">
      <w:pPr>
        <w:pStyle w:val="NormalWeb"/>
        <w:shd w:val="clear" w:color="auto" w:fill="FFFFFF"/>
        <w:spacing w:before="0" w:beforeAutospacing="0" w:after="0" w:afterAutospacing="0"/>
        <w:ind w:left="1170"/>
        <w:jc w:val="both"/>
        <w:rPr>
          <w:rFonts w:ascii="Arial" w:hAnsi="Arial" w:cs="Arial"/>
          <w:color w:val="48485E"/>
          <w:sz w:val="22"/>
          <w:szCs w:val="22"/>
        </w:rPr>
      </w:pPr>
    </w:p>
    <w:p w:rsidR="005B7D22" w:rsidRPr="003314DE" w:rsidRDefault="005B7D22" w:rsidP="00FD5936">
      <w:pPr>
        <w:pStyle w:val="NormalWeb"/>
        <w:shd w:val="clear" w:color="auto" w:fill="FFFFFF"/>
        <w:spacing w:before="0" w:beforeAutospacing="0" w:after="0" w:afterAutospacing="0"/>
        <w:jc w:val="both"/>
        <w:rPr>
          <w:rFonts w:ascii="Arial" w:hAnsi="Arial" w:cs="Arial"/>
          <w:color w:val="48485E"/>
          <w:sz w:val="22"/>
          <w:szCs w:val="22"/>
        </w:rPr>
      </w:pPr>
      <w:r w:rsidRPr="003314DE">
        <w:rPr>
          <w:rFonts w:ascii="Arial" w:hAnsi="Arial" w:cs="Arial"/>
          <w:color w:val="48485E"/>
          <w:sz w:val="22"/>
          <w:szCs w:val="22"/>
        </w:rPr>
        <w:t>Additionally, a</w:t>
      </w:r>
      <w:r w:rsidR="00145C78" w:rsidRPr="003314DE">
        <w:rPr>
          <w:rFonts w:ascii="Arial" w:hAnsi="Arial" w:cs="Arial"/>
          <w:color w:val="48485E"/>
          <w:sz w:val="22"/>
          <w:szCs w:val="22"/>
        </w:rPr>
        <w:t xml:space="preserve"> few derived variables were</w:t>
      </w:r>
      <w:r w:rsidRPr="003314DE">
        <w:rPr>
          <w:rFonts w:ascii="Arial" w:hAnsi="Arial" w:cs="Arial"/>
          <w:color w:val="48485E"/>
          <w:sz w:val="22"/>
          <w:szCs w:val="22"/>
        </w:rPr>
        <w:t xml:space="preserve"> added to add more meaning</w:t>
      </w:r>
      <w:r w:rsidR="00145C78" w:rsidRPr="003314DE">
        <w:rPr>
          <w:rFonts w:ascii="Arial" w:hAnsi="Arial" w:cs="Arial"/>
          <w:color w:val="48485E"/>
          <w:sz w:val="22"/>
          <w:szCs w:val="22"/>
        </w:rPr>
        <w:t xml:space="preserve"> to the dataset. The approach was</w:t>
      </w:r>
      <w:r w:rsidRPr="003314DE">
        <w:rPr>
          <w:rFonts w:ascii="Arial" w:hAnsi="Arial" w:cs="Arial"/>
          <w:color w:val="48485E"/>
          <w:sz w:val="22"/>
          <w:szCs w:val="22"/>
        </w:rPr>
        <w:t xml:space="preserve"> to create subsets for each ticker. </w:t>
      </w:r>
    </w:p>
    <w:p w:rsidR="00FC1B1C" w:rsidRPr="003314DE" w:rsidRDefault="00FC1B1C" w:rsidP="00FD5936">
      <w:pPr>
        <w:pStyle w:val="NormalWeb"/>
        <w:shd w:val="clear" w:color="auto" w:fill="FFFFFF"/>
        <w:spacing w:before="0" w:beforeAutospacing="0" w:after="0" w:afterAutospacing="0"/>
        <w:ind w:left="1170"/>
        <w:jc w:val="both"/>
        <w:rPr>
          <w:rFonts w:ascii="Arial" w:hAnsi="Arial" w:cs="Arial"/>
          <w:color w:val="48485E"/>
          <w:sz w:val="22"/>
          <w:szCs w:val="22"/>
        </w:rPr>
      </w:pPr>
    </w:p>
    <w:p w:rsidR="00AC4357" w:rsidRPr="003314DE" w:rsidRDefault="005B5468" w:rsidP="00FD5936">
      <w:pPr>
        <w:pStyle w:val="NormalWeb"/>
        <w:numPr>
          <w:ilvl w:val="0"/>
          <w:numId w:val="5"/>
        </w:numPr>
        <w:shd w:val="clear" w:color="auto" w:fill="FFFFFF"/>
        <w:spacing w:before="0" w:beforeAutospacing="0" w:after="0" w:afterAutospacing="0"/>
        <w:ind w:left="1170"/>
        <w:jc w:val="both"/>
        <w:rPr>
          <w:rFonts w:ascii="Arial" w:hAnsi="Arial" w:cs="Arial"/>
          <w:color w:val="48485E"/>
          <w:sz w:val="22"/>
          <w:szCs w:val="22"/>
        </w:rPr>
      </w:pPr>
      <w:r w:rsidRPr="003314DE">
        <w:rPr>
          <w:rFonts w:ascii="Arial" w:hAnsi="Arial" w:cs="Arial"/>
          <w:color w:val="48485E"/>
          <w:sz w:val="22"/>
          <w:szCs w:val="22"/>
        </w:rPr>
        <w:t>Index – Increase/decrease from previous day</w:t>
      </w:r>
    </w:p>
    <w:p w:rsidR="005B5468" w:rsidRPr="003314DE" w:rsidRDefault="005B5468" w:rsidP="00FD5936">
      <w:pPr>
        <w:pStyle w:val="NormalWeb"/>
        <w:numPr>
          <w:ilvl w:val="0"/>
          <w:numId w:val="2"/>
        </w:numPr>
        <w:shd w:val="clear" w:color="auto" w:fill="FFFFFF"/>
        <w:spacing w:before="0" w:beforeAutospacing="0" w:after="0" w:afterAutospacing="0"/>
        <w:jc w:val="both"/>
        <w:rPr>
          <w:rFonts w:ascii="Arial" w:hAnsi="Arial" w:cs="Arial"/>
          <w:color w:val="48485E"/>
          <w:sz w:val="22"/>
          <w:szCs w:val="22"/>
        </w:rPr>
      </w:pPr>
      <w:r w:rsidRPr="003314DE">
        <w:rPr>
          <w:rFonts w:ascii="Arial" w:hAnsi="Arial" w:cs="Arial"/>
          <w:color w:val="48485E"/>
          <w:sz w:val="22"/>
          <w:szCs w:val="22"/>
        </w:rPr>
        <w:t>Indicator – 1 if increase; 0 if decrease</w:t>
      </w:r>
    </w:p>
    <w:p w:rsidR="00A954EA" w:rsidRPr="003314DE" w:rsidRDefault="00A954EA" w:rsidP="00FD5936">
      <w:pPr>
        <w:pStyle w:val="NormalWeb"/>
        <w:shd w:val="clear" w:color="auto" w:fill="FFFFFF"/>
        <w:spacing w:before="0" w:beforeAutospacing="0" w:after="0" w:afterAutospacing="0"/>
        <w:jc w:val="both"/>
        <w:rPr>
          <w:rFonts w:ascii="Arial" w:hAnsi="Arial" w:cs="Arial"/>
          <w:color w:val="48485E"/>
          <w:sz w:val="22"/>
          <w:szCs w:val="22"/>
        </w:rPr>
      </w:pPr>
    </w:p>
    <w:p w:rsidR="005B5468" w:rsidRPr="003314DE" w:rsidRDefault="005B5468" w:rsidP="00FD5936">
      <w:pPr>
        <w:pStyle w:val="NormalWeb"/>
        <w:shd w:val="clear" w:color="auto" w:fill="FFFFFF"/>
        <w:spacing w:before="0" w:beforeAutospacing="0" w:after="0" w:afterAutospacing="0"/>
        <w:jc w:val="both"/>
        <w:rPr>
          <w:rFonts w:ascii="Arial" w:hAnsi="Arial" w:cs="Arial"/>
          <w:color w:val="48485E"/>
          <w:sz w:val="22"/>
          <w:szCs w:val="22"/>
        </w:rPr>
      </w:pPr>
      <w:r w:rsidRPr="003314DE">
        <w:rPr>
          <w:rFonts w:ascii="Arial" w:hAnsi="Arial" w:cs="Arial"/>
          <w:color w:val="48485E"/>
          <w:sz w:val="22"/>
          <w:szCs w:val="22"/>
        </w:rPr>
        <w:t>Once above sub</w:t>
      </w:r>
      <w:r w:rsidR="003905C1" w:rsidRPr="003314DE">
        <w:rPr>
          <w:rFonts w:ascii="Arial" w:hAnsi="Arial" w:cs="Arial"/>
          <w:color w:val="48485E"/>
          <w:sz w:val="22"/>
          <w:szCs w:val="22"/>
        </w:rPr>
        <w:t xml:space="preserve">sets </w:t>
      </w:r>
      <w:r w:rsidR="00145C78" w:rsidRPr="003314DE">
        <w:rPr>
          <w:rFonts w:ascii="Arial" w:hAnsi="Arial" w:cs="Arial"/>
          <w:color w:val="48485E"/>
          <w:sz w:val="22"/>
          <w:szCs w:val="22"/>
        </w:rPr>
        <w:t>were</w:t>
      </w:r>
      <w:r w:rsidR="003905C1" w:rsidRPr="003314DE">
        <w:rPr>
          <w:rFonts w:ascii="Arial" w:hAnsi="Arial" w:cs="Arial"/>
          <w:color w:val="48485E"/>
          <w:sz w:val="22"/>
          <w:szCs w:val="22"/>
        </w:rPr>
        <w:t xml:space="preserve"> created, they were</w:t>
      </w:r>
      <w:r w:rsidRPr="003314DE">
        <w:rPr>
          <w:rFonts w:ascii="Arial" w:hAnsi="Arial" w:cs="Arial"/>
          <w:color w:val="48485E"/>
          <w:sz w:val="22"/>
          <w:szCs w:val="22"/>
        </w:rPr>
        <w:t xml:space="preserve"> summarized/aggregated together into </w:t>
      </w:r>
      <w:r w:rsidR="00C816C0" w:rsidRPr="003314DE">
        <w:rPr>
          <w:rFonts w:ascii="Arial" w:hAnsi="Arial" w:cs="Arial"/>
          <w:color w:val="48485E"/>
          <w:sz w:val="22"/>
          <w:szCs w:val="22"/>
        </w:rPr>
        <w:t>a single</w:t>
      </w:r>
      <w:r w:rsidR="00145C78" w:rsidRPr="003314DE">
        <w:rPr>
          <w:rFonts w:ascii="Arial" w:hAnsi="Arial" w:cs="Arial"/>
          <w:color w:val="48485E"/>
          <w:sz w:val="22"/>
          <w:szCs w:val="22"/>
        </w:rPr>
        <w:t xml:space="preserve"> data frame for data analysis</w:t>
      </w:r>
      <w:r w:rsidRPr="003314DE">
        <w:rPr>
          <w:rFonts w:ascii="Arial" w:hAnsi="Arial" w:cs="Arial"/>
          <w:color w:val="48485E"/>
          <w:sz w:val="22"/>
          <w:szCs w:val="22"/>
        </w:rPr>
        <w:t xml:space="preserve">. The fields in the </w:t>
      </w:r>
      <w:r w:rsidR="00145C78" w:rsidRPr="003314DE">
        <w:rPr>
          <w:rFonts w:ascii="Arial" w:hAnsi="Arial" w:cs="Arial"/>
          <w:color w:val="48485E"/>
          <w:sz w:val="22"/>
          <w:szCs w:val="22"/>
        </w:rPr>
        <w:t xml:space="preserve">final </w:t>
      </w:r>
      <w:r w:rsidRPr="003314DE">
        <w:rPr>
          <w:rFonts w:ascii="Arial" w:hAnsi="Arial" w:cs="Arial"/>
          <w:color w:val="48485E"/>
          <w:sz w:val="22"/>
          <w:szCs w:val="22"/>
        </w:rPr>
        <w:t xml:space="preserve">frame </w:t>
      </w:r>
      <w:r w:rsidR="00145C78" w:rsidRPr="003314DE">
        <w:rPr>
          <w:rFonts w:ascii="Arial" w:hAnsi="Arial" w:cs="Arial"/>
          <w:color w:val="48485E"/>
          <w:sz w:val="22"/>
          <w:szCs w:val="22"/>
        </w:rPr>
        <w:t>were</w:t>
      </w:r>
      <w:r w:rsidRPr="003314DE">
        <w:rPr>
          <w:rFonts w:ascii="Arial" w:hAnsi="Arial" w:cs="Arial"/>
          <w:color w:val="48485E"/>
          <w:sz w:val="22"/>
          <w:szCs w:val="22"/>
        </w:rPr>
        <w:t>:</w:t>
      </w:r>
    </w:p>
    <w:p w:rsidR="00FC1B1C" w:rsidRPr="003314DE" w:rsidRDefault="00FC1B1C" w:rsidP="00FD5936">
      <w:pPr>
        <w:pStyle w:val="NormalWeb"/>
        <w:shd w:val="clear" w:color="auto" w:fill="FFFFFF"/>
        <w:spacing w:before="0" w:beforeAutospacing="0" w:after="0" w:afterAutospacing="0"/>
        <w:jc w:val="both"/>
        <w:rPr>
          <w:rFonts w:ascii="Arial" w:hAnsi="Arial" w:cs="Arial"/>
          <w:color w:val="48485E"/>
          <w:sz w:val="22"/>
          <w:szCs w:val="22"/>
        </w:rPr>
      </w:pPr>
    </w:p>
    <w:p w:rsidR="005B5468" w:rsidRPr="003314DE" w:rsidRDefault="005B5468" w:rsidP="00FD5936">
      <w:pPr>
        <w:pStyle w:val="NormalWeb"/>
        <w:numPr>
          <w:ilvl w:val="0"/>
          <w:numId w:val="4"/>
        </w:numPr>
        <w:shd w:val="clear" w:color="auto" w:fill="FFFFFF"/>
        <w:spacing w:before="0" w:beforeAutospacing="0" w:after="0" w:afterAutospacing="0"/>
        <w:ind w:left="1170"/>
        <w:jc w:val="both"/>
        <w:rPr>
          <w:rFonts w:ascii="Arial" w:hAnsi="Arial" w:cs="Arial"/>
          <w:color w:val="48485E"/>
          <w:sz w:val="22"/>
          <w:szCs w:val="22"/>
        </w:rPr>
      </w:pPr>
      <w:r w:rsidRPr="003314DE">
        <w:rPr>
          <w:rFonts w:ascii="Arial" w:hAnsi="Arial" w:cs="Arial"/>
          <w:color w:val="48485E"/>
          <w:sz w:val="22"/>
          <w:szCs w:val="22"/>
        </w:rPr>
        <w:t>Ticker</w:t>
      </w:r>
    </w:p>
    <w:p w:rsidR="005B5468" w:rsidRPr="003314DE" w:rsidRDefault="005B5468" w:rsidP="00FD5936">
      <w:pPr>
        <w:pStyle w:val="NormalWeb"/>
        <w:numPr>
          <w:ilvl w:val="0"/>
          <w:numId w:val="4"/>
        </w:numPr>
        <w:shd w:val="clear" w:color="auto" w:fill="FFFFFF"/>
        <w:spacing w:before="0" w:beforeAutospacing="0" w:after="0" w:afterAutospacing="0"/>
        <w:ind w:left="1170"/>
        <w:jc w:val="both"/>
        <w:rPr>
          <w:rFonts w:ascii="Arial" w:hAnsi="Arial" w:cs="Arial"/>
          <w:color w:val="48485E"/>
          <w:sz w:val="22"/>
          <w:szCs w:val="22"/>
        </w:rPr>
      </w:pPr>
      <w:r w:rsidRPr="003314DE">
        <w:rPr>
          <w:rFonts w:ascii="Arial" w:hAnsi="Arial" w:cs="Arial"/>
          <w:color w:val="48485E"/>
          <w:sz w:val="22"/>
          <w:szCs w:val="22"/>
        </w:rPr>
        <w:t>Year</w:t>
      </w:r>
    </w:p>
    <w:p w:rsidR="005B5468" w:rsidRPr="003314DE" w:rsidRDefault="005B5468" w:rsidP="00FD5936">
      <w:pPr>
        <w:pStyle w:val="NormalWeb"/>
        <w:numPr>
          <w:ilvl w:val="0"/>
          <w:numId w:val="4"/>
        </w:numPr>
        <w:shd w:val="clear" w:color="auto" w:fill="FFFFFF"/>
        <w:spacing w:before="0" w:beforeAutospacing="0" w:after="0" w:afterAutospacing="0"/>
        <w:ind w:left="1170"/>
        <w:jc w:val="both"/>
        <w:rPr>
          <w:rFonts w:ascii="Arial" w:hAnsi="Arial" w:cs="Arial"/>
          <w:color w:val="48485E"/>
          <w:sz w:val="22"/>
          <w:szCs w:val="22"/>
        </w:rPr>
      </w:pPr>
      <w:r w:rsidRPr="003314DE">
        <w:rPr>
          <w:rFonts w:ascii="Arial" w:hAnsi="Arial" w:cs="Arial"/>
          <w:color w:val="48485E"/>
          <w:sz w:val="22"/>
          <w:szCs w:val="22"/>
        </w:rPr>
        <w:t>Quarter</w:t>
      </w:r>
    </w:p>
    <w:p w:rsidR="005B5468" w:rsidRPr="003314DE" w:rsidRDefault="005B5468" w:rsidP="00FD5936">
      <w:pPr>
        <w:pStyle w:val="NormalWeb"/>
        <w:numPr>
          <w:ilvl w:val="0"/>
          <w:numId w:val="4"/>
        </w:numPr>
        <w:shd w:val="clear" w:color="auto" w:fill="FFFFFF"/>
        <w:spacing w:before="0" w:beforeAutospacing="0" w:after="0" w:afterAutospacing="0"/>
        <w:ind w:left="1170"/>
        <w:jc w:val="both"/>
        <w:rPr>
          <w:rFonts w:ascii="Arial" w:hAnsi="Arial" w:cs="Arial"/>
          <w:color w:val="48485E"/>
          <w:sz w:val="22"/>
          <w:szCs w:val="22"/>
        </w:rPr>
      </w:pPr>
      <w:r w:rsidRPr="003314DE">
        <w:rPr>
          <w:rFonts w:ascii="Arial" w:hAnsi="Arial" w:cs="Arial"/>
          <w:color w:val="48485E"/>
          <w:sz w:val="22"/>
          <w:szCs w:val="22"/>
        </w:rPr>
        <w:t>Month</w:t>
      </w:r>
    </w:p>
    <w:p w:rsidR="005B5468" w:rsidRPr="003314DE" w:rsidRDefault="005B5468" w:rsidP="00FD5936">
      <w:pPr>
        <w:pStyle w:val="NormalWeb"/>
        <w:numPr>
          <w:ilvl w:val="0"/>
          <w:numId w:val="4"/>
        </w:numPr>
        <w:shd w:val="clear" w:color="auto" w:fill="FFFFFF"/>
        <w:spacing w:before="0" w:beforeAutospacing="0" w:after="0" w:afterAutospacing="0"/>
        <w:ind w:left="1170"/>
        <w:jc w:val="both"/>
        <w:rPr>
          <w:rFonts w:ascii="Arial" w:hAnsi="Arial" w:cs="Arial"/>
          <w:color w:val="48485E"/>
          <w:sz w:val="22"/>
          <w:szCs w:val="22"/>
        </w:rPr>
      </w:pPr>
      <w:r w:rsidRPr="003314DE">
        <w:rPr>
          <w:rFonts w:ascii="Arial" w:hAnsi="Arial" w:cs="Arial"/>
          <w:color w:val="48485E"/>
          <w:sz w:val="22"/>
          <w:szCs w:val="22"/>
        </w:rPr>
        <w:t>No_Growth_Days</w:t>
      </w:r>
      <w:r w:rsidR="00A954EA" w:rsidRPr="003314DE">
        <w:rPr>
          <w:rFonts w:ascii="Arial" w:hAnsi="Arial" w:cs="Arial"/>
          <w:color w:val="48485E"/>
          <w:sz w:val="22"/>
          <w:szCs w:val="22"/>
        </w:rPr>
        <w:t xml:space="preserve"> – Count of days with positive growth</w:t>
      </w:r>
    </w:p>
    <w:p w:rsidR="00A954EA" w:rsidRPr="003314DE" w:rsidRDefault="005B5468" w:rsidP="00FD5936">
      <w:pPr>
        <w:pStyle w:val="NormalWeb"/>
        <w:numPr>
          <w:ilvl w:val="0"/>
          <w:numId w:val="4"/>
        </w:numPr>
        <w:shd w:val="clear" w:color="auto" w:fill="FFFFFF"/>
        <w:spacing w:before="0" w:beforeAutospacing="0" w:after="0" w:afterAutospacing="0"/>
        <w:ind w:left="1170"/>
        <w:jc w:val="both"/>
        <w:rPr>
          <w:rFonts w:ascii="Arial" w:hAnsi="Arial" w:cs="Arial"/>
          <w:color w:val="48485E"/>
          <w:sz w:val="22"/>
          <w:szCs w:val="22"/>
        </w:rPr>
      </w:pPr>
      <w:r w:rsidRPr="003314DE">
        <w:rPr>
          <w:rFonts w:ascii="Arial" w:hAnsi="Arial" w:cs="Arial"/>
          <w:color w:val="48485E"/>
          <w:sz w:val="22"/>
          <w:szCs w:val="22"/>
        </w:rPr>
        <w:t>No_No_Growth_Days</w:t>
      </w:r>
      <w:r w:rsidR="00A954EA" w:rsidRPr="003314DE">
        <w:rPr>
          <w:rFonts w:ascii="Arial" w:hAnsi="Arial" w:cs="Arial"/>
          <w:color w:val="48485E"/>
          <w:sz w:val="22"/>
          <w:szCs w:val="22"/>
        </w:rPr>
        <w:t xml:space="preserve"> – Count of days with negative growth</w:t>
      </w:r>
    </w:p>
    <w:p w:rsidR="005B5468" w:rsidRPr="003314DE" w:rsidRDefault="005B5468" w:rsidP="00FD5936">
      <w:pPr>
        <w:pStyle w:val="NormalWeb"/>
        <w:numPr>
          <w:ilvl w:val="0"/>
          <w:numId w:val="4"/>
        </w:numPr>
        <w:shd w:val="clear" w:color="auto" w:fill="FFFFFF"/>
        <w:spacing w:before="0" w:beforeAutospacing="0" w:after="0" w:afterAutospacing="0"/>
        <w:ind w:left="1170"/>
        <w:jc w:val="both"/>
        <w:rPr>
          <w:rFonts w:ascii="Arial" w:hAnsi="Arial" w:cs="Arial"/>
          <w:color w:val="48485E"/>
          <w:sz w:val="22"/>
          <w:szCs w:val="22"/>
        </w:rPr>
      </w:pPr>
      <w:r w:rsidRPr="003314DE">
        <w:rPr>
          <w:rFonts w:ascii="Arial" w:hAnsi="Arial" w:cs="Arial"/>
          <w:color w:val="48485E"/>
          <w:sz w:val="22"/>
          <w:szCs w:val="22"/>
        </w:rPr>
        <w:t>No_Positive_Runs</w:t>
      </w:r>
      <w:r w:rsidR="00A954EA" w:rsidRPr="003314DE">
        <w:rPr>
          <w:rFonts w:ascii="Arial" w:hAnsi="Arial" w:cs="Arial"/>
          <w:color w:val="48485E"/>
          <w:sz w:val="22"/>
          <w:szCs w:val="22"/>
        </w:rPr>
        <w:t xml:space="preserve"> – Highest continuous streak of positive growth</w:t>
      </w:r>
    </w:p>
    <w:p w:rsidR="005B5468" w:rsidRPr="003314DE" w:rsidRDefault="005B5468" w:rsidP="00FD5936">
      <w:pPr>
        <w:pStyle w:val="NormalWeb"/>
        <w:numPr>
          <w:ilvl w:val="0"/>
          <w:numId w:val="4"/>
        </w:numPr>
        <w:shd w:val="clear" w:color="auto" w:fill="FFFFFF"/>
        <w:spacing w:before="0" w:beforeAutospacing="0" w:after="0" w:afterAutospacing="0"/>
        <w:ind w:left="1170"/>
        <w:jc w:val="both"/>
        <w:rPr>
          <w:rFonts w:ascii="Arial" w:hAnsi="Arial" w:cs="Arial"/>
          <w:color w:val="48485E"/>
          <w:sz w:val="22"/>
          <w:szCs w:val="22"/>
        </w:rPr>
      </w:pPr>
      <w:r w:rsidRPr="003314DE">
        <w:rPr>
          <w:rFonts w:ascii="Arial" w:hAnsi="Arial" w:cs="Arial"/>
          <w:color w:val="48485E"/>
          <w:sz w:val="22"/>
          <w:szCs w:val="22"/>
        </w:rPr>
        <w:t>No_Negative_Runs</w:t>
      </w:r>
      <w:r w:rsidR="00A954EA" w:rsidRPr="003314DE">
        <w:rPr>
          <w:rFonts w:ascii="Arial" w:hAnsi="Arial" w:cs="Arial"/>
          <w:color w:val="48485E"/>
          <w:sz w:val="22"/>
          <w:szCs w:val="22"/>
        </w:rPr>
        <w:t xml:space="preserve"> – Highest continuous streak of negative growth</w:t>
      </w:r>
    </w:p>
    <w:p w:rsidR="005B5468" w:rsidRPr="003314DE" w:rsidRDefault="005B5468" w:rsidP="00FD5936">
      <w:pPr>
        <w:pStyle w:val="NormalWeb"/>
        <w:numPr>
          <w:ilvl w:val="0"/>
          <w:numId w:val="4"/>
        </w:numPr>
        <w:shd w:val="clear" w:color="auto" w:fill="FFFFFF"/>
        <w:spacing w:before="0" w:beforeAutospacing="0" w:after="0" w:afterAutospacing="0"/>
        <w:ind w:left="1170"/>
        <w:jc w:val="both"/>
        <w:rPr>
          <w:rFonts w:ascii="Arial" w:hAnsi="Arial" w:cs="Arial"/>
          <w:color w:val="48485E"/>
          <w:sz w:val="22"/>
          <w:szCs w:val="22"/>
        </w:rPr>
      </w:pPr>
      <w:r w:rsidRPr="003314DE">
        <w:rPr>
          <w:rFonts w:ascii="Arial" w:hAnsi="Arial" w:cs="Arial"/>
          <w:color w:val="48485E"/>
          <w:sz w:val="22"/>
          <w:szCs w:val="22"/>
        </w:rPr>
        <w:t>Month_Begin_Price</w:t>
      </w:r>
      <w:r w:rsidR="00A954EA" w:rsidRPr="003314DE">
        <w:rPr>
          <w:rFonts w:ascii="Arial" w:hAnsi="Arial" w:cs="Arial"/>
          <w:color w:val="48485E"/>
          <w:sz w:val="22"/>
          <w:szCs w:val="22"/>
        </w:rPr>
        <w:t xml:space="preserve"> – Ticker price at the beginning of the month</w:t>
      </w:r>
    </w:p>
    <w:p w:rsidR="005B5468" w:rsidRPr="003314DE" w:rsidRDefault="005B5468" w:rsidP="00FD5936">
      <w:pPr>
        <w:pStyle w:val="NormalWeb"/>
        <w:numPr>
          <w:ilvl w:val="0"/>
          <w:numId w:val="4"/>
        </w:numPr>
        <w:shd w:val="clear" w:color="auto" w:fill="FFFFFF"/>
        <w:spacing w:before="0" w:beforeAutospacing="0" w:after="0" w:afterAutospacing="0"/>
        <w:ind w:left="1170"/>
        <w:jc w:val="both"/>
        <w:rPr>
          <w:rFonts w:ascii="Arial" w:hAnsi="Arial" w:cs="Arial"/>
          <w:color w:val="48485E"/>
          <w:sz w:val="22"/>
          <w:szCs w:val="22"/>
        </w:rPr>
      </w:pPr>
      <w:r w:rsidRPr="003314DE">
        <w:rPr>
          <w:rFonts w:ascii="Arial" w:hAnsi="Arial" w:cs="Arial"/>
          <w:color w:val="48485E"/>
          <w:sz w:val="22"/>
          <w:szCs w:val="22"/>
        </w:rPr>
        <w:t>Month_End_Price</w:t>
      </w:r>
      <w:r w:rsidR="00A954EA" w:rsidRPr="003314DE">
        <w:rPr>
          <w:rFonts w:ascii="Arial" w:hAnsi="Arial" w:cs="Arial"/>
          <w:color w:val="48485E"/>
          <w:sz w:val="22"/>
          <w:szCs w:val="22"/>
        </w:rPr>
        <w:t xml:space="preserve"> – Ticker price at the end of the month</w:t>
      </w:r>
    </w:p>
    <w:p w:rsidR="00A954EA" w:rsidRPr="003314DE" w:rsidRDefault="00A954EA" w:rsidP="00FD5936">
      <w:pPr>
        <w:pStyle w:val="NormalWeb"/>
        <w:numPr>
          <w:ilvl w:val="0"/>
          <w:numId w:val="4"/>
        </w:numPr>
        <w:shd w:val="clear" w:color="auto" w:fill="FFFFFF"/>
        <w:spacing w:before="0" w:beforeAutospacing="0" w:after="0" w:afterAutospacing="0"/>
        <w:ind w:left="1170"/>
        <w:jc w:val="both"/>
        <w:rPr>
          <w:rFonts w:ascii="Arial" w:hAnsi="Arial" w:cs="Arial"/>
          <w:color w:val="48485E"/>
          <w:sz w:val="22"/>
          <w:szCs w:val="22"/>
        </w:rPr>
      </w:pPr>
      <w:r w:rsidRPr="003314DE">
        <w:rPr>
          <w:rFonts w:ascii="Arial" w:hAnsi="Arial" w:cs="Arial"/>
          <w:color w:val="48485E"/>
          <w:sz w:val="22"/>
          <w:szCs w:val="22"/>
        </w:rPr>
        <w:t>Range – Month end price – Month begin price</w:t>
      </w:r>
    </w:p>
    <w:p w:rsidR="005B5468" w:rsidRPr="003314DE" w:rsidRDefault="005B5468" w:rsidP="00FD5936">
      <w:pPr>
        <w:pStyle w:val="NormalWeb"/>
        <w:numPr>
          <w:ilvl w:val="0"/>
          <w:numId w:val="4"/>
        </w:numPr>
        <w:shd w:val="clear" w:color="auto" w:fill="FFFFFF"/>
        <w:spacing w:before="0" w:beforeAutospacing="0" w:after="0" w:afterAutospacing="0"/>
        <w:ind w:left="1170"/>
        <w:jc w:val="both"/>
        <w:rPr>
          <w:rFonts w:ascii="Arial" w:hAnsi="Arial" w:cs="Arial"/>
          <w:color w:val="48485E"/>
          <w:sz w:val="22"/>
          <w:szCs w:val="22"/>
        </w:rPr>
      </w:pPr>
      <w:r w:rsidRPr="003314DE">
        <w:rPr>
          <w:rFonts w:ascii="Arial" w:hAnsi="Arial" w:cs="Arial"/>
          <w:color w:val="48485E"/>
          <w:sz w:val="22"/>
          <w:szCs w:val="22"/>
        </w:rPr>
        <w:t>Growth_Ratio</w:t>
      </w:r>
      <w:r w:rsidR="00A954EA" w:rsidRPr="003314DE">
        <w:rPr>
          <w:rFonts w:ascii="Arial" w:hAnsi="Arial" w:cs="Arial"/>
          <w:color w:val="48485E"/>
          <w:sz w:val="22"/>
          <w:szCs w:val="22"/>
        </w:rPr>
        <w:t xml:space="preserve"> – Percentage of growth that was continuous</w:t>
      </w:r>
    </w:p>
    <w:p w:rsidR="005B5468" w:rsidRPr="003314DE" w:rsidRDefault="005B5468" w:rsidP="00FD5936">
      <w:pPr>
        <w:pStyle w:val="NormalWeb"/>
        <w:numPr>
          <w:ilvl w:val="0"/>
          <w:numId w:val="4"/>
        </w:numPr>
        <w:shd w:val="clear" w:color="auto" w:fill="FFFFFF"/>
        <w:spacing w:before="0" w:beforeAutospacing="0" w:after="0" w:afterAutospacing="0"/>
        <w:ind w:left="1170"/>
        <w:jc w:val="both"/>
        <w:rPr>
          <w:rFonts w:ascii="Arial" w:hAnsi="Arial" w:cs="Arial"/>
          <w:color w:val="48485E"/>
          <w:sz w:val="22"/>
          <w:szCs w:val="22"/>
        </w:rPr>
      </w:pPr>
      <w:r w:rsidRPr="003314DE">
        <w:rPr>
          <w:rFonts w:ascii="Arial" w:hAnsi="Arial" w:cs="Arial"/>
          <w:color w:val="48485E"/>
          <w:sz w:val="22"/>
          <w:szCs w:val="22"/>
        </w:rPr>
        <w:t>No_Growth_Ratio</w:t>
      </w:r>
      <w:r w:rsidR="00A954EA" w:rsidRPr="003314DE">
        <w:rPr>
          <w:rFonts w:ascii="Arial" w:hAnsi="Arial" w:cs="Arial"/>
          <w:color w:val="48485E"/>
          <w:sz w:val="22"/>
          <w:szCs w:val="22"/>
        </w:rPr>
        <w:t xml:space="preserve"> – Percentage of negative growth that was continuous</w:t>
      </w:r>
    </w:p>
    <w:p w:rsidR="00667F0F" w:rsidRDefault="00667F0F" w:rsidP="00FD5936">
      <w:pPr>
        <w:pStyle w:val="Heading1"/>
        <w:jc w:val="both"/>
        <w:rPr>
          <w:rFonts w:ascii="Arial" w:hAnsi="Arial" w:cs="Arial"/>
          <w:sz w:val="22"/>
          <w:szCs w:val="22"/>
        </w:rPr>
      </w:pPr>
    </w:p>
    <w:p w:rsidR="00667F0F" w:rsidRDefault="00667F0F" w:rsidP="00FD5936">
      <w:pPr>
        <w:pStyle w:val="Heading1"/>
        <w:jc w:val="both"/>
        <w:rPr>
          <w:rFonts w:ascii="Arial" w:hAnsi="Arial" w:cs="Arial"/>
          <w:sz w:val="22"/>
          <w:szCs w:val="22"/>
        </w:rPr>
      </w:pPr>
    </w:p>
    <w:p w:rsidR="00667F0F" w:rsidRDefault="00667F0F" w:rsidP="00FD5936">
      <w:pPr>
        <w:pStyle w:val="Heading1"/>
        <w:jc w:val="both"/>
        <w:rPr>
          <w:rFonts w:ascii="Arial" w:hAnsi="Arial" w:cs="Arial"/>
          <w:sz w:val="22"/>
          <w:szCs w:val="22"/>
        </w:rPr>
      </w:pPr>
    </w:p>
    <w:p w:rsidR="00667F0F" w:rsidRDefault="00667F0F" w:rsidP="00FD5936">
      <w:pPr>
        <w:pStyle w:val="Heading1"/>
        <w:jc w:val="both"/>
        <w:rPr>
          <w:rFonts w:ascii="Arial" w:hAnsi="Arial" w:cs="Arial"/>
          <w:sz w:val="22"/>
          <w:szCs w:val="22"/>
        </w:rPr>
      </w:pPr>
    </w:p>
    <w:p w:rsidR="00667F0F" w:rsidRDefault="00667F0F" w:rsidP="00FD5936">
      <w:pPr>
        <w:pStyle w:val="Heading1"/>
        <w:jc w:val="both"/>
        <w:rPr>
          <w:rFonts w:ascii="Arial" w:hAnsi="Arial" w:cs="Arial"/>
          <w:sz w:val="22"/>
          <w:szCs w:val="22"/>
        </w:rPr>
      </w:pPr>
    </w:p>
    <w:p w:rsidR="00667F0F" w:rsidRDefault="00667F0F" w:rsidP="00FD5936">
      <w:pPr>
        <w:pStyle w:val="Heading1"/>
        <w:jc w:val="both"/>
        <w:rPr>
          <w:rFonts w:ascii="Arial" w:hAnsi="Arial" w:cs="Arial"/>
          <w:sz w:val="22"/>
          <w:szCs w:val="22"/>
        </w:rPr>
      </w:pPr>
    </w:p>
    <w:p w:rsidR="00667F0F" w:rsidRDefault="00667F0F" w:rsidP="00FD5936">
      <w:pPr>
        <w:pStyle w:val="Heading1"/>
        <w:jc w:val="both"/>
        <w:rPr>
          <w:rFonts w:ascii="Arial" w:hAnsi="Arial" w:cs="Arial"/>
          <w:sz w:val="22"/>
          <w:szCs w:val="22"/>
        </w:rPr>
      </w:pPr>
    </w:p>
    <w:p w:rsidR="00667F0F" w:rsidRDefault="00667F0F" w:rsidP="00FD5936">
      <w:pPr>
        <w:jc w:val="both"/>
      </w:pPr>
    </w:p>
    <w:p w:rsidR="00667F0F" w:rsidRPr="00667F0F" w:rsidRDefault="00667F0F" w:rsidP="00FD5936">
      <w:pPr>
        <w:jc w:val="both"/>
      </w:pPr>
    </w:p>
    <w:p w:rsidR="0006666B" w:rsidRPr="003314DE" w:rsidRDefault="0006666B" w:rsidP="00FD5936">
      <w:pPr>
        <w:pStyle w:val="Heading1"/>
        <w:jc w:val="both"/>
        <w:rPr>
          <w:rFonts w:ascii="Arial" w:hAnsi="Arial" w:cs="Arial"/>
          <w:sz w:val="22"/>
          <w:szCs w:val="22"/>
        </w:rPr>
      </w:pPr>
      <w:bookmarkStart w:id="13" w:name="_Toc480730592"/>
      <w:r w:rsidRPr="003314DE">
        <w:rPr>
          <w:rFonts w:ascii="Arial" w:hAnsi="Arial" w:cs="Arial"/>
          <w:sz w:val="22"/>
          <w:szCs w:val="22"/>
        </w:rPr>
        <w:lastRenderedPageBreak/>
        <w:t>Analysis</w:t>
      </w:r>
      <w:bookmarkEnd w:id="13"/>
    </w:p>
    <w:p w:rsidR="005B5468" w:rsidRPr="003314DE" w:rsidRDefault="00B53902" w:rsidP="00FD5936">
      <w:pPr>
        <w:pStyle w:val="NormalWeb"/>
        <w:shd w:val="clear" w:color="auto" w:fill="FFFFFF"/>
        <w:spacing w:before="0" w:beforeAutospacing="0" w:after="0" w:afterAutospacing="0"/>
        <w:jc w:val="both"/>
        <w:rPr>
          <w:rFonts w:ascii="Arial" w:hAnsi="Arial" w:cs="Arial"/>
          <w:color w:val="48485E"/>
          <w:sz w:val="22"/>
          <w:szCs w:val="22"/>
        </w:rPr>
      </w:pPr>
      <w:r w:rsidRPr="003314DE">
        <w:rPr>
          <w:rFonts w:ascii="Arial" w:hAnsi="Arial" w:cs="Arial"/>
          <w:color w:val="48485E"/>
          <w:sz w:val="22"/>
          <w:szCs w:val="22"/>
        </w:rPr>
        <w:t>A summary table with the findings are as below with information on the recommended portfolio strategies and percentage allocations.</w:t>
      </w:r>
      <w:r w:rsidR="00EB5304" w:rsidRPr="003314DE">
        <w:rPr>
          <w:rFonts w:ascii="Arial" w:hAnsi="Arial" w:cs="Arial"/>
          <w:color w:val="48485E"/>
          <w:sz w:val="22"/>
          <w:szCs w:val="22"/>
        </w:rPr>
        <w:t xml:space="preserve"> Data range from 2013 </w:t>
      </w:r>
      <w:r w:rsidR="00A22005" w:rsidRPr="003314DE">
        <w:rPr>
          <w:rFonts w:ascii="Arial" w:hAnsi="Arial" w:cs="Arial"/>
          <w:color w:val="48485E"/>
          <w:sz w:val="22"/>
          <w:szCs w:val="22"/>
        </w:rPr>
        <w:t>–</w:t>
      </w:r>
      <w:r w:rsidR="00EB5304" w:rsidRPr="003314DE">
        <w:rPr>
          <w:rFonts w:ascii="Arial" w:hAnsi="Arial" w:cs="Arial"/>
          <w:color w:val="48485E"/>
          <w:sz w:val="22"/>
          <w:szCs w:val="22"/>
        </w:rPr>
        <w:t xml:space="preserve"> 2016</w:t>
      </w:r>
      <w:r w:rsidR="00A22005" w:rsidRPr="003314DE">
        <w:rPr>
          <w:rFonts w:ascii="Arial" w:hAnsi="Arial" w:cs="Arial"/>
          <w:color w:val="48485E"/>
          <w:sz w:val="22"/>
          <w:szCs w:val="22"/>
        </w:rPr>
        <w:t>. It is reliable to assume after the analysis that the suggested portfolios do result in good returns if invested over a longer duration.</w:t>
      </w:r>
      <w:r w:rsidR="00D4674D" w:rsidRPr="003314DE">
        <w:rPr>
          <w:rFonts w:ascii="Arial" w:hAnsi="Arial" w:cs="Arial"/>
          <w:color w:val="48485E"/>
          <w:sz w:val="22"/>
          <w:szCs w:val="22"/>
        </w:rPr>
        <w:t xml:space="preserve"> But the analysis was required to validate the data. </w:t>
      </w:r>
    </w:p>
    <w:p w:rsidR="00B53902" w:rsidRPr="003314DE" w:rsidRDefault="00B53902" w:rsidP="00FD5936">
      <w:pPr>
        <w:pStyle w:val="NormalWeb"/>
        <w:shd w:val="clear" w:color="auto" w:fill="FFFFFF"/>
        <w:spacing w:before="0" w:beforeAutospacing="0" w:after="0" w:afterAutospacing="0"/>
        <w:jc w:val="both"/>
        <w:rPr>
          <w:rFonts w:ascii="Arial" w:hAnsi="Arial" w:cs="Arial"/>
          <w:color w:val="48485E"/>
          <w:sz w:val="22"/>
          <w:szCs w:val="22"/>
        </w:rPr>
      </w:pPr>
    </w:p>
    <w:tbl>
      <w:tblPr>
        <w:tblW w:w="10798" w:type="dxa"/>
        <w:tblInd w:w="-635" w:type="dxa"/>
        <w:tblLook w:val="04A0" w:firstRow="1" w:lastRow="0" w:firstColumn="1" w:lastColumn="0" w:noHBand="0" w:noVBand="1"/>
      </w:tblPr>
      <w:tblGrid>
        <w:gridCol w:w="1623"/>
        <w:gridCol w:w="1448"/>
        <w:gridCol w:w="1500"/>
        <w:gridCol w:w="1500"/>
        <w:gridCol w:w="1500"/>
        <w:gridCol w:w="1146"/>
        <w:gridCol w:w="1359"/>
        <w:gridCol w:w="1305"/>
      </w:tblGrid>
      <w:tr w:rsidR="00B53902" w:rsidRPr="003314DE" w:rsidTr="00B53902">
        <w:trPr>
          <w:trHeight w:val="288"/>
        </w:trPr>
        <w:tc>
          <w:tcPr>
            <w:tcW w:w="15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448" w:type="dxa"/>
            <w:tcBorders>
              <w:top w:val="single" w:sz="4" w:space="0" w:color="auto"/>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 Months Positive Growth</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Ticker Price Improvement</w:t>
            </w:r>
          </w:p>
        </w:tc>
        <w:tc>
          <w:tcPr>
            <w:tcW w:w="1375" w:type="dxa"/>
            <w:tcBorders>
              <w:top w:val="single" w:sz="4" w:space="0" w:color="auto"/>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Conservative</w:t>
            </w:r>
          </w:p>
        </w:tc>
        <w:tc>
          <w:tcPr>
            <w:tcW w:w="1375" w:type="dxa"/>
            <w:tcBorders>
              <w:top w:val="single" w:sz="4" w:space="0" w:color="auto"/>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Moderately Conservative</w:t>
            </w:r>
          </w:p>
        </w:tc>
        <w:tc>
          <w:tcPr>
            <w:tcW w:w="1111" w:type="dxa"/>
            <w:tcBorders>
              <w:top w:val="single" w:sz="4" w:space="0" w:color="auto"/>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Moderate</w:t>
            </w:r>
          </w:p>
        </w:tc>
        <w:tc>
          <w:tcPr>
            <w:tcW w:w="1359" w:type="dxa"/>
            <w:tcBorders>
              <w:top w:val="single" w:sz="4" w:space="0" w:color="auto"/>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Moderately Aggressive</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Aggressive</w:t>
            </w:r>
          </w:p>
        </w:tc>
      </w:tr>
      <w:tr w:rsidR="00B53902" w:rsidRPr="003314DE" w:rsidTr="00B53902">
        <w:trPr>
          <w:trHeight w:val="288"/>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RFNGX</w:t>
            </w:r>
          </w:p>
        </w:tc>
        <w:tc>
          <w:tcPr>
            <w:tcW w:w="144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68.75</w:t>
            </w:r>
          </w:p>
        </w:tc>
        <w:tc>
          <w:tcPr>
            <w:tcW w:w="1440"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19.35</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111"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5%</w:t>
            </w:r>
          </w:p>
        </w:tc>
        <w:tc>
          <w:tcPr>
            <w:tcW w:w="1359"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w:t>
            </w:r>
          </w:p>
        </w:tc>
        <w:tc>
          <w:tcPr>
            <w:tcW w:w="1168"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w:t>
            </w:r>
          </w:p>
        </w:tc>
      </w:tr>
      <w:tr w:rsidR="00B53902" w:rsidRPr="003314DE" w:rsidTr="00B53902">
        <w:trPr>
          <w:trHeight w:val="288"/>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VSCIX</w:t>
            </w:r>
          </w:p>
        </w:tc>
        <w:tc>
          <w:tcPr>
            <w:tcW w:w="144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64.58</w:t>
            </w:r>
          </w:p>
        </w:tc>
        <w:tc>
          <w:tcPr>
            <w:tcW w:w="1440"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25.02</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111"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59"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8%</w:t>
            </w:r>
          </w:p>
        </w:tc>
        <w:tc>
          <w:tcPr>
            <w:tcW w:w="1168"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8%</w:t>
            </w:r>
          </w:p>
        </w:tc>
      </w:tr>
      <w:tr w:rsidR="00B53902" w:rsidRPr="003314DE" w:rsidTr="00B53902">
        <w:trPr>
          <w:trHeight w:val="288"/>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VSGIX</w:t>
            </w:r>
          </w:p>
        </w:tc>
        <w:tc>
          <w:tcPr>
            <w:tcW w:w="144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64.58</w:t>
            </w:r>
          </w:p>
        </w:tc>
        <w:tc>
          <w:tcPr>
            <w:tcW w:w="1440"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13.00</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111"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59"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7%</w:t>
            </w:r>
          </w:p>
        </w:tc>
        <w:tc>
          <w:tcPr>
            <w:tcW w:w="1168"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7%</w:t>
            </w:r>
          </w:p>
        </w:tc>
      </w:tr>
      <w:tr w:rsidR="00B53902" w:rsidRPr="003314DE" w:rsidTr="00B53902">
        <w:trPr>
          <w:trHeight w:val="288"/>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SWPPX</w:t>
            </w:r>
          </w:p>
        </w:tc>
        <w:tc>
          <w:tcPr>
            <w:tcW w:w="144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62.50</w:t>
            </w:r>
          </w:p>
        </w:tc>
        <w:tc>
          <w:tcPr>
            <w:tcW w:w="1440"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12.44</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5%</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w:t>
            </w:r>
          </w:p>
        </w:tc>
        <w:tc>
          <w:tcPr>
            <w:tcW w:w="1111"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13%</w:t>
            </w:r>
          </w:p>
        </w:tc>
        <w:tc>
          <w:tcPr>
            <w:tcW w:w="1359"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w:t>
            </w:r>
          </w:p>
        </w:tc>
        <w:tc>
          <w:tcPr>
            <w:tcW w:w="1168"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13%</w:t>
            </w:r>
          </w:p>
        </w:tc>
      </w:tr>
      <w:tr w:rsidR="00B53902" w:rsidRPr="003314DE" w:rsidTr="00B53902">
        <w:trPr>
          <w:trHeight w:val="288"/>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VASVX</w:t>
            </w:r>
          </w:p>
        </w:tc>
        <w:tc>
          <w:tcPr>
            <w:tcW w:w="144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60.42</w:t>
            </w:r>
          </w:p>
        </w:tc>
        <w:tc>
          <w:tcPr>
            <w:tcW w:w="1440"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10.23</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111"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5%</w:t>
            </w:r>
          </w:p>
        </w:tc>
        <w:tc>
          <w:tcPr>
            <w:tcW w:w="1359"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w:t>
            </w:r>
          </w:p>
        </w:tc>
        <w:tc>
          <w:tcPr>
            <w:tcW w:w="1168"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w:t>
            </w:r>
          </w:p>
        </w:tc>
      </w:tr>
      <w:tr w:rsidR="00B53902" w:rsidRPr="003314DE" w:rsidTr="00B53902">
        <w:trPr>
          <w:trHeight w:val="288"/>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VIGIX</w:t>
            </w:r>
          </w:p>
        </w:tc>
        <w:tc>
          <w:tcPr>
            <w:tcW w:w="144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58.33</w:t>
            </w:r>
          </w:p>
        </w:tc>
        <w:tc>
          <w:tcPr>
            <w:tcW w:w="1440"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19.38</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5%</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w:t>
            </w:r>
          </w:p>
        </w:tc>
        <w:tc>
          <w:tcPr>
            <w:tcW w:w="1111"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12%</w:t>
            </w:r>
          </w:p>
        </w:tc>
        <w:tc>
          <w:tcPr>
            <w:tcW w:w="1359"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w:t>
            </w:r>
          </w:p>
        </w:tc>
        <w:tc>
          <w:tcPr>
            <w:tcW w:w="1168"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12%</w:t>
            </w:r>
          </w:p>
        </w:tc>
      </w:tr>
      <w:tr w:rsidR="00B53902" w:rsidRPr="003314DE" w:rsidTr="00B53902">
        <w:trPr>
          <w:trHeight w:val="288"/>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CSRIX</w:t>
            </w:r>
          </w:p>
        </w:tc>
        <w:tc>
          <w:tcPr>
            <w:tcW w:w="144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58.33</w:t>
            </w:r>
          </w:p>
        </w:tc>
        <w:tc>
          <w:tcPr>
            <w:tcW w:w="1440"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7.50</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111"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w:t>
            </w:r>
          </w:p>
        </w:tc>
        <w:tc>
          <w:tcPr>
            <w:tcW w:w="1359"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w:t>
            </w:r>
          </w:p>
        </w:tc>
        <w:tc>
          <w:tcPr>
            <w:tcW w:w="1168"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20%</w:t>
            </w:r>
          </w:p>
        </w:tc>
      </w:tr>
      <w:tr w:rsidR="00B53902" w:rsidRPr="003314DE" w:rsidTr="00B53902">
        <w:trPr>
          <w:trHeight w:val="288"/>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VBTIX</w:t>
            </w:r>
          </w:p>
        </w:tc>
        <w:tc>
          <w:tcPr>
            <w:tcW w:w="144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56.25</w:t>
            </w:r>
          </w:p>
        </w:tc>
        <w:tc>
          <w:tcPr>
            <w:tcW w:w="1440"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0.66</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40%</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30%</w:t>
            </w:r>
          </w:p>
        </w:tc>
        <w:tc>
          <w:tcPr>
            <w:tcW w:w="1111"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25%</w:t>
            </w:r>
          </w:p>
        </w:tc>
        <w:tc>
          <w:tcPr>
            <w:tcW w:w="1359"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w:t>
            </w:r>
          </w:p>
        </w:tc>
        <w:tc>
          <w:tcPr>
            <w:tcW w:w="116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r>
      <w:tr w:rsidR="00B53902" w:rsidRPr="003314DE" w:rsidTr="00B53902">
        <w:trPr>
          <w:trHeight w:val="288"/>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SWISX</w:t>
            </w:r>
          </w:p>
        </w:tc>
        <w:tc>
          <w:tcPr>
            <w:tcW w:w="144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54.17</w:t>
            </w:r>
          </w:p>
        </w:tc>
        <w:tc>
          <w:tcPr>
            <w:tcW w:w="1440"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1.90</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111"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59"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8%</w:t>
            </w:r>
          </w:p>
        </w:tc>
        <w:tc>
          <w:tcPr>
            <w:tcW w:w="1168"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w:t>
            </w:r>
          </w:p>
        </w:tc>
      </w:tr>
      <w:tr w:rsidR="00B53902" w:rsidRPr="003314DE" w:rsidTr="00B53902">
        <w:trPr>
          <w:trHeight w:val="288"/>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LSBDX</w:t>
            </w:r>
          </w:p>
        </w:tc>
        <w:tc>
          <w:tcPr>
            <w:tcW w:w="144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54.17</w:t>
            </w:r>
          </w:p>
        </w:tc>
        <w:tc>
          <w:tcPr>
            <w:tcW w:w="1440"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1.32</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111"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59"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16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r>
      <w:tr w:rsidR="00B53902" w:rsidRPr="003314DE" w:rsidTr="00B53902">
        <w:trPr>
          <w:trHeight w:val="288"/>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RERGX</w:t>
            </w:r>
          </w:p>
        </w:tc>
        <w:tc>
          <w:tcPr>
            <w:tcW w:w="144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50.00</w:t>
            </w:r>
          </w:p>
        </w:tc>
        <w:tc>
          <w:tcPr>
            <w:tcW w:w="1440"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6.00</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w:t>
            </w:r>
          </w:p>
        </w:tc>
        <w:tc>
          <w:tcPr>
            <w:tcW w:w="1111"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w:t>
            </w:r>
          </w:p>
        </w:tc>
        <w:tc>
          <w:tcPr>
            <w:tcW w:w="1359"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7%</w:t>
            </w:r>
          </w:p>
        </w:tc>
        <w:tc>
          <w:tcPr>
            <w:tcW w:w="1168"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w:t>
            </w:r>
          </w:p>
        </w:tc>
      </w:tr>
      <w:tr w:rsidR="00B53902" w:rsidRPr="003314DE" w:rsidTr="00B53902">
        <w:trPr>
          <w:trHeight w:val="288"/>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VIPSX</w:t>
            </w:r>
          </w:p>
        </w:tc>
        <w:tc>
          <w:tcPr>
            <w:tcW w:w="144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50.00</w:t>
            </w:r>
          </w:p>
        </w:tc>
        <w:tc>
          <w:tcPr>
            <w:tcW w:w="1440"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-0.52</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111"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59"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16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r>
      <w:tr w:rsidR="00B53902" w:rsidRPr="003314DE" w:rsidTr="00B53902">
        <w:trPr>
          <w:trHeight w:val="288"/>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DFEMX</w:t>
            </w:r>
          </w:p>
        </w:tc>
        <w:tc>
          <w:tcPr>
            <w:tcW w:w="144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45.83</w:t>
            </w:r>
          </w:p>
        </w:tc>
        <w:tc>
          <w:tcPr>
            <w:tcW w:w="1440"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-2.31</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111"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59"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16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r>
      <w:tr w:rsidR="00B53902" w:rsidRPr="003314DE" w:rsidTr="00B53902">
        <w:trPr>
          <w:trHeight w:val="288"/>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DEMSX</w:t>
            </w:r>
          </w:p>
        </w:tc>
        <w:tc>
          <w:tcPr>
            <w:tcW w:w="144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41.67</w:t>
            </w:r>
          </w:p>
        </w:tc>
        <w:tc>
          <w:tcPr>
            <w:tcW w:w="1440"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-1.02</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111"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59"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16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r>
      <w:tr w:rsidR="00B53902" w:rsidRPr="003314DE" w:rsidTr="00B53902">
        <w:trPr>
          <w:trHeight w:val="288"/>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Morley_Stable</w:t>
            </w:r>
          </w:p>
        </w:tc>
        <w:tc>
          <w:tcPr>
            <w:tcW w:w="144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440"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50%</w:t>
            </w:r>
          </w:p>
        </w:tc>
        <w:tc>
          <w:tcPr>
            <w:tcW w:w="1375"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40%</w:t>
            </w:r>
          </w:p>
        </w:tc>
        <w:tc>
          <w:tcPr>
            <w:tcW w:w="1111"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20%</w:t>
            </w:r>
          </w:p>
        </w:tc>
        <w:tc>
          <w:tcPr>
            <w:tcW w:w="1359" w:type="dxa"/>
            <w:tcBorders>
              <w:top w:val="nil"/>
              <w:left w:val="nil"/>
              <w:bottom w:val="single" w:sz="4" w:space="0" w:color="auto"/>
              <w:right w:val="single" w:sz="4" w:space="0" w:color="auto"/>
            </w:tcBorders>
            <w:shd w:val="clear" w:color="auto" w:fill="auto"/>
            <w:noWrap/>
            <w:vAlign w:val="bottom"/>
            <w:hideMark/>
          </w:tcPr>
          <w:p w:rsidR="00B53902" w:rsidRPr="003314DE" w:rsidRDefault="0043272E" w:rsidP="00F03251">
            <w:pPr>
              <w:spacing w:after="0" w:line="240" w:lineRule="auto"/>
              <w:jc w:val="center"/>
              <w:rPr>
                <w:rFonts w:ascii="Arial" w:eastAsia="Times New Roman" w:hAnsi="Arial" w:cs="Arial"/>
                <w:color w:val="000000"/>
              </w:rPr>
            </w:pPr>
            <w:r w:rsidRPr="003314DE">
              <w:rPr>
                <w:rFonts w:ascii="Arial" w:eastAsia="Times New Roman" w:hAnsi="Arial" w:cs="Arial"/>
                <w:color w:val="000000"/>
              </w:rPr>
              <w:t>10%</w:t>
            </w:r>
          </w:p>
        </w:tc>
        <w:tc>
          <w:tcPr>
            <w:tcW w:w="1168" w:type="dxa"/>
            <w:tcBorders>
              <w:top w:val="nil"/>
              <w:left w:val="nil"/>
              <w:bottom w:val="single" w:sz="4" w:space="0" w:color="auto"/>
              <w:right w:val="single" w:sz="4" w:space="0" w:color="auto"/>
            </w:tcBorders>
            <w:shd w:val="clear" w:color="auto" w:fill="auto"/>
            <w:noWrap/>
            <w:vAlign w:val="bottom"/>
            <w:hideMark/>
          </w:tcPr>
          <w:p w:rsidR="00B53902" w:rsidRPr="003314DE" w:rsidRDefault="00B53902" w:rsidP="00F03251">
            <w:pPr>
              <w:spacing w:after="0" w:line="240" w:lineRule="auto"/>
              <w:jc w:val="center"/>
              <w:rPr>
                <w:rFonts w:ascii="Arial" w:eastAsia="Times New Roman" w:hAnsi="Arial" w:cs="Arial"/>
                <w:color w:val="000000"/>
              </w:rPr>
            </w:pPr>
          </w:p>
        </w:tc>
      </w:tr>
    </w:tbl>
    <w:p w:rsidR="00D4674D" w:rsidRPr="003314DE" w:rsidRDefault="00D4674D" w:rsidP="00FD5936">
      <w:pPr>
        <w:pStyle w:val="NormalWeb"/>
        <w:shd w:val="clear" w:color="auto" w:fill="FFFFFF"/>
        <w:spacing w:before="0" w:beforeAutospacing="0" w:after="0" w:afterAutospacing="0"/>
        <w:jc w:val="both"/>
        <w:rPr>
          <w:rFonts w:ascii="Arial" w:hAnsi="Arial" w:cs="Arial"/>
          <w:noProof/>
          <w:sz w:val="22"/>
          <w:szCs w:val="22"/>
        </w:rPr>
      </w:pPr>
    </w:p>
    <w:p w:rsidR="00765B0D" w:rsidRDefault="00765B0D"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0E2E04" w:rsidRPr="003314DE" w:rsidRDefault="000E2E04" w:rsidP="00FD5936">
      <w:pPr>
        <w:pStyle w:val="NormalWeb"/>
        <w:shd w:val="clear" w:color="auto" w:fill="FFFFFF"/>
        <w:spacing w:before="0" w:beforeAutospacing="0" w:after="0" w:afterAutospacing="0"/>
        <w:jc w:val="both"/>
        <w:rPr>
          <w:rFonts w:ascii="Arial" w:hAnsi="Arial" w:cs="Arial"/>
          <w:noProof/>
          <w:sz w:val="22"/>
          <w:szCs w:val="22"/>
        </w:rPr>
      </w:pPr>
    </w:p>
    <w:p w:rsidR="00765B0D" w:rsidRPr="003314DE" w:rsidRDefault="00765B0D" w:rsidP="00FD5936">
      <w:pPr>
        <w:pStyle w:val="NormalWeb"/>
        <w:shd w:val="clear" w:color="auto" w:fill="FFFFFF"/>
        <w:spacing w:before="0" w:beforeAutospacing="0" w:after="0" w:afterAutospacing="0"/>
        <w:jc w:val="both"/>
        <w:rPr>
          <w:rFonts w:ascii="Arial" w:hAnsi="Arial" w:cs="Arial"/>
          <w:noProof/>
          <w:sz w:val="22"/>
          <w:szCs w:val="22"/>
        </w:rPr>
      </w:pPr>
    </w:p>
    <w:p w:rsidR="00765B0D" w:rsidRPr="003314DE" w:rsidRDefault="00765B0D" w:rsidP="00FD5936">
      <w:pPr>
        <w:pStyle w:val="NormalWeb"/>
        <w:shd w:val="clear" w:color="auto" w:fill="FFFFFF"/>
        <w:spacing w:before="0" w:beforeAutospacing="0" w:after="0" w:afterAutospacing="0"/>
        <w:jc w:val="both"/>
        <w:rPr>
          <w:rFonts w:ascii="Arial" w:hAnsi="Arial" w:cs="Arial"/>
          <w:noProof/>
          <w:sz w:val="22"/>
          <w:szCs w:val="22"/>
        </w:rPr>
      </w:pPr>
    </w:p>
    <w:p w:rsidR="00D4674D" w:rsidRPr="003314DE" w:rsidRDefault="00D4674D" w:rsidP="00FD5936">
      <w:pPr>
        <w:pStyle w:val="NormalWeb"/>
        <w:shd w:val="clear" w:color="auto" w:fill="FFFFFF"/>
        <w:spacing w:before="0" w:beforeAutospacing="0" w:after="0" w:afterAutospacing="0"/>
        <w:jc w:val="both"/>
        <w:rPr>
          <w:rFonts w:ascii="Arial" w:hAnsi="Arial" w:cs="Arial"/>
          <w:noProof/>
          <w:sz w:val="22"/>
          <w:szCs w:val="22"/>
        </w:rPr>
      </w:pPr>
      <w:r w:rsidRPr="003314DE">
        <w:rPr>
          <w:rFonts w:ascii="Arial" w:hAnsi="Arial" w:cs="Arial"/>
          <w:noProof/>
          <w:sz w:val="22"/>
          <w:szCs w:val="22"/>
        </w:rPr>
        <w:lastRenderedPageBreak/>
        <w:t xml:space="preserve">The generic trend on most funds has been an upward movement in </w:t>
      </w:r>
      <w:r w:rsidR="00765B0D" w:rsidRPr="003314DE">
        <w:rPr>
          <w:rFonts w:ascii="Arial" w:hAnsi="Arial" w:cs="Arial"/>
          <w:noProof/>
          <w:sz w:val="22"/>
          <w:szCs w:val="22"/>
        </w:rPr>
        <w:t>the ticker price as shown below while the index change for the most part has a constant variance around zero mean.</w:t>
      </w:r>
    </w:p>
    <w:p w:rsidR="00975C11" w:rsidRPr="003314DE" w:rsidRDefault="00975C11" w:rsidP="00FD5936">
      <w:pPr>
        <w:pStyle w:val="NormalWeb"/>
        <w:shd w:val="clear" w:color="auto" w:fill="FFFFFF"/>
        <w:spacing w:before="0" w:beforeAutospacing="0" w:after="0" w:afterAutospacing="0"/>
        <w:jc w:val="both"/>
        <w:rPr>
          <w:rFonts w:ascii="Arial" w:hAnsi="Arial" w:cs="Arial"/>
          <w:noProof/>
          <w:sz w:val="22"/>
          <w:szCs w:val="22"/>
        </w:rPr>
      </w:pPr>
    </w:p>
    <w:p w:rsidR="005B5468" w:rsidRPr="003314DE" w:rsidRDefault="0043768E" w:rsidP="00FD5936">
      <w:pPr>
        <w:pStyle w:val="NormalWeb"/>
        <w:shd w:val="clear" w:color="auto" w:fill="FFFFFF"/>
        <w:spacing w:before="0" w:beforeAutospacing="0" w:after="0" w:afterAutospacing="0"/>
        <w:jc w:val="both"/>
        <w:rPr>
          <w:rFonts w:ascii="Arial" w:hAnsi="Arial" w:cs="Arial"/>
          <w:color w:val="48485E"/>
          <w:sz w:val="22"/>
          <w:szCs w:val="22"/>
        </w:rPr>
      </w:pPr>
      <w:r w:rsidRPr="003314DE">
        <w:rPr>
          <w:rFonts w:ascii="Arial" w:hAnsi="Arial" w:cs="Arial"/>
          <w:noProof/>
          <w:sz w:val="22"/>
          <w:szCs w:val="22"/>
        </w:rPr>
        <w:drawing>
          <wp:inline distT="0" distB="0" distL="0" distR="0" wp14:anchorId="17D804C2" wp14:editId="15CFEE0D">
            <wp:extent cx="5963920" cy="2443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3920" cy="2443480"/>
                    </a:xfrm>
                    <a:prstGeom prst="rect">
                      <a:avLst/>
                    </a:prstGeom>
                  </pic:spPr>
                </pic:pic>
              </a:graphicData>
            </a:graphic>
          </wp:inline>
        </w:drawing>
      </w:r>
    </w:p>
    <w:p w:rsidR="00522D31" w:rsidRPr="003314DE" w:rsidRDefault="00522D31" w:rsidP="00FD5936">
      <w:pPr>
        <w:pStyle w:val="NormalWeb"/>
        <w:shd w:val="clear" w:color="auto" w:fill="FFFFFF"/>
        <w:spacing w:before="0" w:beforeAutospacing="0" w:after="0" w:afterAutospacing="0"/>
        <w:jc w:val="both"/>
        <w:rPr>
          <w:rFonts w:ascii="Arial" w:hAnsi="Arial" w:cs="Arial"/>
          <w:color w:val="48485E"/>
          <w:sz w:val="22"/>
          <w:szCs w:val="22"/>
        </w:rPr>
      </w:pPr>
    </w:p>
    <w:p w:rsidR="00522D31" w:rsidRPr="003314DE" w:rsidRDefault="00522D31" w:rsidP="00FD5936">
      <w:pPr>
        <w:pStyle w:val="NormalWeb"/>
        <w:shd w:val="clear" w:color="auto" w:fill="FFFFFF"/>
        <w:spacing w:before="0" w:beforeAutospacing="0" w:after="0" w:afterAutospacing="0"/>
        <w:jc w:val="both"/>
        <w:rPr>
          <w:rFonts w:ascii="Arial" w:hAnsi="Arial" w:cs="Arial"/>
          <w:color w:val="48485E"/>
          <w:sz w:val="22"/>
          <w:szCs w:val="22"/>
        </w:rPr>
      </w:pPr>
      <w:r w:rsidRPr="003314DE">
        <w:rPr>
          <w:rFonts w:ascii="Arial" w:hAnsi="Arial" w:cs="Arial"/>
          <w:noProof/>
        </w:rPr>
        <w:drawing>
          <wp:inline distT="0" distB="0" distL="0" distR="0" wp14:anchorId="506A0BE9" wp14:editId="0B8B6448">
            <wp:extent cx="5943600" cy="26873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87320"/>
                    </a:xfrm>
                    <a:prstGeom prst="rect">
                      <a:avLst/>
                    </a:prstGeom>
                  </pic:spPr>
                </pic:pic>
              </a:graphicData>
            </a:graphic>
          </wp:inline>
        </w:drawing>
      </w:r>
    </w:p>
    <w:p w:rsidR="00EB5304" w:rsidRPr="003314DE" w:rsidRDefault="00EB5304" w:rsidP="00FD5936">
      <w:pPr>
        <w:pStyle w:val="NormalWeb"/>
        <w:shd w:val="clear" w:color="auto" w:fill="FFFFFF"/>
        <w:spacing w:before="0" w:beforeAutospacing="0" w:after="0" w:afterAutospacing="0"/>
        <w:jc w:val="both"/>
        <w:rPr>
          <w:rFonts w:ascii="Arial" w:hAnsi="Arial" w:cs="Arial"/>
          <w:color w:val="48485E"/>
          <w:sz w:val="22"/>
          <w:szCs w:val="22"/>
        </w:rPr>
      </w:pPr>
    </w:p>
    <w:p w:rsidR="00EB5304" w:rsidRPr="003314DE" w:rsidRDefault="00D4674D" w:rsidP="00FD5936">
      <w:pPr>
        <w:pStyle w:val="NormalWeb"/>
        <w:jc w:val="both"/>
        <w:rPr>
          <w:rFonts w:ascii="Arial" w:hAnsi="Arial" w:cs="Arial"/>
          <w:color w:val="48485E"/>
          <w:sz w:val="22"/>
          <w:szCs w:val="22"/>
        </w:rPr>
      </w:pPr>
      <w:r w:rsidRPr="003314DE">
        <w:rPr>
          <w:rFonts w:ascii="Arial" w:hAnsi="Arial" w:cs="Arial"/>
          <w:color w:val="48485E"/>
          <w:sz w:val="22"/>
          <w:szCs w:val="22"/>
        </w:rPr>
        <w:t>Special notes from the analysis:</w:t>
      </w:r>
    </w:p>
    <w:p w:rsidR="00EB5304" w:rsidRPr="003314DE" w:rsidRDefault="00EB5304" w:rsidP="00FD5936">
      <w:pPr>
        <w:pStyle w:val="NormalWeb"/>
        <w:jc w:val="both"/>
        <w:rPr>
          <w:rFonts w:ascii="Arial" w:hAnsi="Arial" w:cs="Arial"/>
          <w:color w:val="48485E"/>
          <w:sz w:val="22"/>
          <w:szCs w:val="22"/>
        </w:rPr>
      </w:pPr>
      <w:r w:rsidRPr="003314DE">
        <w:rPr>
          <w:rFonts w:ascii="Arial" w:hAnsi="Arial" w:cs="Arial"/>
          <w:color w:val="48485E"/>
          <w:sz w:val="22"/>
          <w:szCs w:val="22"/>
        </w:rPr>
        <w:t>Tickers VASVX, VSCIX and VSGIX showed positive results in the month of February for all years</w:t>
      </w:r>
    </w:p>
    <w:p w:rsidR="00EB5304" w:rsidRPr="003314DE" w:rsidRDefault="00EB5304" w:rsidP="00FD5936">
      <w:pPr>
        <w:pStyle w:val="NormalWeb"/>
        <w:jc w:val="both"/>
        <w:rPr>
          <w:rFonts w:ascii="Arial" w:hAnsi="Arial" w:cs="Arial"/>
          <w:color w:val="48485E"/>
          <w:sz w:val="22"/>
          <w:szCs w:val="22"/>
        </w:rPr>
      </w:pPr>
      <w:r w:rsidRPr="003314DE">
        <w:rPr>
          <w:rFonts w:ascii="Arial" w:hAnsi="Arial" w:cs="Arial"/>
          <w:color w:val="48485E"/>
          <w:sz w:val="22"/>
          <w:szCs w:val="22"/>
        </w:rPr>
        <w:t>Tickers DEMSX, LSBDX, SWISX showed positive results in the month of February for all years</w:t>
      </w:r>
    </w:p>
    <w:p w:rsidR="00EB5304" w:rsidRPr="003314DE" w:rsidRDefault="00EB5304" w:rsidP="00FD5936">
      <w:pPr>
        <w:pStyle w:val="NormalWeb"/>
        <w:jc w:val="both"/>
        <w:rPr>
          <w:rFonts w:ascii="Arial" w:hAnsi="Arial" w:cs="Arial"/>
          <w:color w:val="48485E"/>
          <w:sz w:val="22"/>
          <w:szCs w:val="22"/>
        </w:rPr>
      </w:pPr>
      <w:r w:rsidRPr="003314DE">
        <w:rPr>
          <w:rFonts w:ascii="Arial" w:hAnsi="Arial" w:cs="Arial"/>
          <w:color w:val="48485E"/>
          <w:sz w:val="22"/>
          <w:szCs w:val="22"/>
        </w:rPr>
        <w:t>Tickers RFNGX, SWPPX, VIGIX, VSCIX, VSGIX showed positive results in the month of May for all years</w:t>
      </w:r>
    </w:p>
    <w:p w:rsidR="00EB5304" w:rsidRPr="003314DE" w:rsidRDefault="00EB5304" w:rsidP="00FD5936">
      <w:pPr>
        <w:pStyle w:val="NormalWeb"/>
        <w:jc w:val="both"/>
        <w:rPr>
          <w:rFonts w:ascii="Arial" w:hAnsi="Arial" w:cs="Arial"/>
          <w:color w:val="48485E"/>
          <w:sz w:val="22"/>
          <w:szCs w:val="22"/>
        </w:rPr>
      </w:pPr>
      <w:r w:rsidRPr="003314DE">
        <w:rPr>
          <w:rFonts w:ascii="Arial" w:hAnsi="Arial" w:cs="Arial"/>
          <w:color w:val="48485E"/>
          <w:sz w:val="22"/>
          <w:szCs w:val="22"/>
        </w:rPr>
        <w:t>Tickers VIPSX showed positive results in the month of July for all years</w:t>
      </w:r>
    </w:p>
    <w:p w:rsidR="00EB5304" w:rsidRPr="003314DE" w:rsidRDefault="00EB5304" w:rsidP="00FD5936">
      <w:pPr>
        <w:pStyle w:val="NormalWeb"/>
        <w:jc w:val="both"/>
        <w:rPr>
          <w:rFonts w:ascii="Arial" w:hAnsi="Arial" w:cs="Arial"/>
          <w:color w:val="48485E"/>
          <w:sz w:val="22"/>
          <w:szCs w:val="22"/>
        </w:rPr>
      </w:pPr>
      <w:r w:rsidRPr="003314DE">
        <w:rPr>
          <w:rFonts w:ascii="Arial" w:hAnsi="Arial" w:cs="Arial"/>
          <w:color w:val="48485E"/>
          <w:sz w:val="22"/>
          <w:szCs w:val="22"/>
        </w:rPr>
        <w:t>Tickers VSCIX, VSGIX showed positive results in the month of November for all years</w:t>
      </w:r>
    </w:p>
    <w:p w:rsidR="006B471E" w:rsidRPr="003314DE" w:rsidRDefault="006B471E" w:rsidP="00FD5936">
      <w:pPr>
        <w:pStyle w:val="Heading1"/>
        <w:jc w:val="both"/>
        <w:rPr>
          <w:rFonts w:ascii="Arial" w:hAnsi="Arial" w:cs="Arial"/>
          <w:sz w:val="22"/>
          <w:szCs w:val="22"/>
        </w:rPr>
      </w:pPr>
      <w:bookmarkStart w:id="14" w:name="_Toc480730593"/>
      <w:r w:rsidRPr="003314DE">
        <w:rPr>
          <w:rFonts w:ascii="Arial" w:hAnsi="Arial" w:cs="Arial"/>
          <w:sz w:val="22"/>
          <w:szCs w:val="22"/>
        </w:rPr>
        <w:lastRenderedPageBreak/>
        <w:t>Linear Regression Analysis</w:t>
      </w:r>
      <w:bookmarkEnd w:id="14"/>
    </w:p>
    <w:p w:rsidR="002878A1" w:rsidRPr="003314DE" w:rsidRDefault="002878A1" w:rsidP="00FD5936">
      <w:pPr>
        <w:jc w:val="both"/>
        <w:rPr>
          <w:rFonts w:ascii="Arial" w:hAnsi="Arial" w:cs="Arial"/>
        </w:rPr>
      </w:pPr>
    </w:p>
    <w:p w:rsidR="00AC4357" w:rsidRPr="003314DE" w:rsidRDefault="004F187A" w:rsidP="00FD5936">
      <w:pPr>
        <w:pStyle w:val="NormalWeb"/>
        <w:shd w:val="clear" w:color="auto" w:fill="FFFFFF"/>
        <w:spacing w:before="0" w:beforeAutospacing="0" w:after="0" w:afterAutospacing="0"/>
        <w:jc w:val="both"/>
        <w:rPr>
          <w:rFonts w:ascii="Arial" w:hAnsi="Arial" w:cs="Arial"/>
          <w:color w:val="48485E"/>
          <w:sz w:val="22"/>
          <w:szCs w:val="22"/>
        </w:rPr>
      </w:pPr>
      <w:r w:rsidRPr="003314DE">
        <w:rPr>
          <w:rFonts w:ascii="Arial" w:hAnsi="Arial" w:cs="Arial"/>
          <w:color w:val="48485E"/>
          <w:sz w:val="22"/>
          <w:szCs w:val="22"/>
        </w:rPr>
        <w:t>The approach to better understand data was to conduct a linear regression and the results were as follows:</w:t>
      </w:r>
    </w:p>
    <w:p w:rsidR="004F187A" w:rsidRPr="003314DE" w:rsidRDefault="004F187A" w:rsidP="00FD5936">
      <w:pPr>
        <w:pStyle w:val="NormalWeb"/>
        <w:shd w:val="clear" w:color="auto" w:fill="FFFFFF"/>
        <w:spacing w:before="0" w:beforeAutospacing="0" w:after="0" w:afterAutospacing="0"/>
        <w:jc w:val="both"/>
        <w:rPr>
          <w:rFonts w:ascii="Arial" w:hAnsi="Arial" w:cs="Arial"/>
          <w:color w:val="48485E"/>
          <w:sz w:val="22"/>
          <w:szCs w:val="22"/>
        </w:rPr>
      </w:pP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Call:</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lm(formula = Month_End_Price ~ No_Growth_Days + No_No_Growth_Days +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    No_Positive_Runs + No_Negative_Runs + Ticker + as.factor(Month),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    data = summary_funds_df, subset = Year == 2013 | Year ==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        2014 | Year == 2015 | Year == 2016)</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Residuals:</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    Min      1Q  Median      3Q     Max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-12.179  -1.153   0.181   1.802   9.890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Coefficients:</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                     Estimate Std. Error t value Pr(&gt;|t|)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(Intercept)         40.514731   3.919584  10.336  &lt; 2e-16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No_Growth_Days       0.008633   0.199753   0.043 0.965541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No_No_Growth_Days   -0.095325   0.194167  -0.491 0.623635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No_Positive_Runs    -0.081839   0.119711  -0.684 0.494448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No_Negative_Runs    -0.034348   0.126505  -0.272 0.786078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TickerDEMSX        -21.816533   0.716826 -30.435  &lt; 2e-16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TickerDFEMX        -17.004421   0.711973 -23.884  &lt; 2e-16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TickerLSBDX        -27.668558   0.718996 -38.482  &lt; 2e-16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TickerRERGX          4.305813   0.707481   6.086 1.99e-09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TickerRFNGX          5.534063   0.706293   7.835 1.94e-14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TickerSWISX        -23.238023   0.708030 -32.821  &lt; 2e-16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TickerSWPPX        -11.575618   0.707363 -16.364  &lt; 2e-16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TickerVASVX        -15.571401   0.707061 -22.023  &lt; 2e-16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TickerVBTIX        -30.687745   0.715969 -42.862  &lt; 2e-16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TickerVIGIX          8.984572   0.706822  12.711  &lt; 2e-16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TickerVIPSX        -27.846904   0.714582 -38.969  &lt; 2e-16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TickerVSCIX         11.072119   0.707595  15.648  &lt; 2e-16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TickerVSGIX         -7.411023   0.707886 -10.469  &lt; 2e-16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as.factor(Month)2    0.720255   0.685955   1.050 0.294111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as.factor(Month)3    1.483569   0.685866   2.163 0.030904 *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as.factor(Month)4    1.751903   0.687796   2.547 0.011093 *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as.factor(Month)5    1.904342   0.669730   2.843 0.004605 **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as.factor(Month)6    1.929973   0.685350   2.816 0.005011 **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as.factor(Month)7    2.427354   0.701631   3.460 0.000577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as.factor(Month)8    1.954140   0.716502   2.727 0.006559 **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 xml:space="preserve">as.factor(Month)9    1.833611   0.664794   2.758 0.005978 **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as.factor(Month)10   2.562745   0.756838   3.386 0.000752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as.factor(Month)11   2.786380   0.658866   4.229 2.69e-05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as.factor(Month)12   2.673894   0.699507   3.823 0.000145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Signif. codes:  0 ‘***’ 0.001 ‘**’ 0.01 ‘*’ 0.05 ‘.’ 0.1 ‘ ’ 1</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Residual standard error: 3.46 on 643 degrees of freedom</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Multiple R-squared:  0.9458,</w:t>
      </w:r>
      <w:r w:rsidRPr="0054346D">
        <w:rPr>
          <w:rFonts w:ascii="Arial" w:eastAsia="Times New Roman" w:hAnsi="Arial" w:cs="Arial"/>
          <w:color w:val="000000"/>
          <w:sz w:val="20"/>
          <w:szCs w:val="20"/>
        </w:rPr>
        <w:tab/>
        <w:t xml:space="preserve">Adjusted R-squared:  0.9434 </w:t>
      </w:r>
    </w:p>
    <w:p w:rsidR="004F187A" w:rsidRPr="0054346D" w:rsidRDefault="004F187A" w:rsidP="00FD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Arial" w:eastAsia="Times New Roman" w:hAnsi="Arial" w:cs="Arial"/>
          <w:color w:val="000000"/>
          <w:sz w:val="20"/>
          <w:szCs w:val="20"/>
        </w:rPr>
      </w:pPr>
      <w:r w:rsidRPr="0054346D">
        <w:rPr>
          <w:rFonts w:ascii="Arial" w:eastAsia="Times New Roman" w:hAnsi="Arial" w:cs="Arial"/>
          <w:color w:val="000000"/>
          <w:sz w:val="20"/>
          <w:szCs w:val="20"/>
        </w:rPr>
        <w:t>F-statistic: 400.7 on 28 and 643 DF,  p-value: &lt; 2.2e-16</w:t>
      </w:r>
    </w:p>
    <w:p w:rsidR="004F187A" w:rsidRPr="003314DE" w:rsidRDefault="004F187A" w:rsidP="00FD5936">
      <w:pPr>
        <w:pStyle w:val="NormalWeb"/>
        <w:shd w:val="clear" w:color="auto" w:fill="FFFFFF"/>
        <w:spacing w:before="0" w:beforeAutospacing="0" w:after="0" w:afterAutospacing="0"/>
        <w:jc w:val="both"/>
        <w:rPr>
          <w:rFonts w:ascii="Arial" w:hAnsi="Arial" w:cs="Arial"/>
          <w:color w:val="48485E"/>
          <w:sz w:val="22"/>
          <w:szCs w:val="22"/>
        </w:rPr>
      </w:pPr>
    </w:p>
    <w:p w:rsidR="00A30663" w:rsidRPr="003314DE" w:rsidRDefault="00A22005" w:rsidP="00FD5936">
      <w:pPr>
        <w:jc w:val="both"/>
        <w:rPr>
          <w:rFonts w:ascii="Arial" w:hAnsi="Arial" w:cs="Arial"/>
        </w:rPr>
      </w:pPr>
      <w:r w:rsidRPr="003314DE">
        <w:rPr>
          <w:rFonts w:ascii="Arial" w:hAnsi="Arial" w:cs="Arial"/>
        </w:rPr>
        <w:lastRenderedPageBreak/>
        <w:t xml:space="preserve">While testing for assumptions of linear regression, </w:t>
      </w:r>
      <w:r w:rsidR="0088097F" w:rsidRPr="003314DE">
        <w:rPr>
          <w:rFonts w:ascii="Arial" w:hAnsi="Arial" w:cs="Arial"/>
        </w:rPr>
        <w:t>it was found that while the data fit well into the model, the premise for using a multiple linear regression would not be accurate as</w:t>
      </w:r>
      <w:r w:rsidR="00AB436B" w:rsidRPr="003314DE">
        <w:rPr>
          <w:rFonts w:ascii="Arial" w:hAnsi="Arial" w:cs="Arial"/>
        </w:rPr>
        <w:t xml:space="preserve"> explained by diagnostics</w:t>
      </w:r>
      <w:r w:rsidR="00A038CD">
        <w:rPr>
          <w:rFonts w:ascii="Arial" w:hAnsi="Arial" w:cs="Arial"/>
        </w:rPr>
        <w:t>(</w:t>
      </w:r>
      <w:r w:rsidR="00F716FA">
        <w:rPr>
          <w:rFonts w:ascii="Arial" w:hAnsi="Arial" w:cs="Arial"/>
        </w:rPr>
        <w:t>A</w:t>
      </w:r>
      <w:r w:rsidR="00A038CD">
        <w:rPr>
          <w:rFonts w:ascii="Arial" w:hAnsi="Arial" w:cs="Arial"/>
        </w:rPr>
        <w:t>ppendix section 1)</w:t>
      </w:r>
      <w:r w:rsidR="00AB436B" w:rsidRPr="003314DE">
        <w:rPr>
          <w:rFonts w:ascii="Arial" w:hAnsi="Arial" w:cs="Arial"/>
        </w:rPr>
        <w:t xml:space="preserve"> owing to the non-linear character of the data set.</w:t>
      </w:r>
    </w:p>
    <w:p w:rsidR="00004156" w:rsidRPr="003314DE" w:rsidRDefault="00004156" w:rsidP="00FD5936">
      <w:pPr>
        <w:pStyle w:val="Heading1"/>
        <w:jc w:val="both"/>
        <w:rPr>
          <w:rFonts w:ascii="Arial" w:hAnsi="Arial" w:cs="Arial"/>
          <w:sz w:val="22"/>
          <w:szCs w:val="22"/>
        </w:rPr>
      </w:pPr>
      <w:bookmarkStart w:id="15" w:name="_Toc480730594"/>
      <w:r w:rsidRPr="003314DE">
        <w:rPr>
          <w:rFonts w:ascii="Arial" w:hAnsi="Arial" w:cs="Arial"/>
          <w:sz w:val="22"/>
          <w:szCs w:val="22"/>
        </w:rPr>
        <w:t>Time Series Modelling</w:t>
      </w:r>
      <w:bookmarkEnd w:id="15"/>
    </w:p>
    <w:p w:rsidR="00AA0EAC" w:rsidRDefault="00AA0EAC" w:rsidP="00FD5936">
      <w:pPr>
        <w:jc w:val="both"/>
        <w:rPr>
          <w:rFonts w:ascii="Arial" w:hAnsi="Arial" w:cs="Arial"/>
        </w:rPr>
      </w:pPr>
    </w:p>
    <w:p w:rsidR="00AD6242" w:rsidRPr="003314DE" w:rsidRDefault="0011384A" w:rsidP="00FD5936">
      <w:pPr>
        <w:jc w:val="both"/>
        <w:rPr>
          <w:rFonts w:ascii="Arial" w:hAnsi="Arial" w:cs="Arial"/>
          <w:noProof/>
        </w:rPr>
      </w:pPr>
      <w:r w:rsidRPr="003314DE">
        <w:rPr>
          <w:rFonts w:ascii="Arial" w:hAnsi="Arial" w:cs="Arial"/>
        </w:rPr>
        <w:t xml:space="preserve">Since the data is </w:t>
      </w:r>
      <w:r w:rsidR="002B768C" w:rsidRPr="003314DE">
        <w:rPr>
          <w:rFonts w:ascii="Arial" w:hAnsi="Arial" w:cs="Arial"/>
        </w:rPr>
        <w:t>a time series, the next step wa</w:t>
      </w:r>
      <w:r w:rsidRPr="003314DE">
        <w:rPr>
          <w:rFonts w:ascii="Arial" w:hAnsi="Arial" w:cs="Arial"/>
        </w:rPr>
        <w:t xml:space="preserve">s to perform </w:t>
      </w:r>
      <w:r w:rsidR="00E65242" w:rsidRPr="003314DE">
        <w:rPr>
          <w:rFonts w:ascii="Arial" w:hAnsi="Arial" w:cs="Arial"/>
        </w:rPr>
        <w:t xml:space="preserve">a version of </w:t>
      </w:r>
      <w:r w:rsidRPr="003314DE">
        <w:rPr>
          <w:rFonts w:ascii="Arial" w:hAnsi="Arial" w:cs="Arial"/>
        </w:rPr>
        <w:t>time series modelling</w:t>
      </w:r>
      <w:r w:rsidR="00E65242" w:rsidRPr="003314DE">
        <w:rPr>
          <w:rFonts w:ascii="Arial" w:hAnsi="Arial" w:cs="Arial"/>
        </w:rPr>
        <w:t xml:space="preserve"> that can provide a reliable forecast for the tick</w:t>
      </w:r>
      <w:r w:rsidR="006B471E" w:rsidRPr="003314DE">
        <w:rPr>
          <w:rFonts w:ascii="Arial" w:hAnsi="Arial" w:cs="Arial"/>
        </w:rPr>
        <w:t xml:space="preserve">ers. </w:t>
      </w:r>
      <w:r w:rsidR="00604160" w:rsidRPr="003314DE">
        <w:rPr>
          <w:rFonts w:ascii="Arial" w:hAnsi="Arial" w:cs="Arial"/>
        </w:rPr>
        <w:t xml:space="preserve">To check to see if an ARIMA model or one of its variants can be applied, we test for autocorrelation and partial autocorrelation on the ticker price. </w:t>
      </w:r>
      <w:r w:rsidR="00F716FA">
        <w:rPr>
          <w:rFonts w:ascii="Arial" w:hAnsi="Arial" w:cs="Arial"/>
        </w:rPr>
        <w:t>From the diagnostics (Appendix section</w:t>
      </w:r>
      <w:r w:rsidR="00AA0EAC">
        <w:rPr>
          <w:rFonts w:ascii="Arial" w:hAnsi="Arial" w:cs="Arial"/>
        </w:rPr>
        <w:t xml:space="preserve"> 2), it was found that </w:t>
      </w:r>
      <w:r w:rsidR="00E61DC8" w:rsidRPr="003314DE">
        <w:rPr>
          <w:rFonts w:ascii="Arial" w:hAnsi="Arial" w:cs="Arial"/>
          <w:noProof/>
        </w:rPr>
        <w:t>the ACF is exponentially decaying and there is a significant spike at lag p in PACF, but none be</w:t>
      </w:r>
      <w:r w:rsidR="00AA0EAC">
        <w:rPr>
          <w:rFonts w:ascii="Arial" w:hAnsi="Arial" w:cs="Arial"/>
          <w:noProof/>
        </w:rPr>
        <w:t xml:space="preserve">yond that in most of the models. Therefore, </w:t>
      </w:r>
      <w:r w:rsidR="00E61DC8" w:rsidRPr="003314DE">
        <w:rPr>
          <w:rFonts w:ascii="Arial" w:hAnsi="Arial" w:cs="Arial"/>
          <w:noProof/>
        </w:rPr>
        <w:t xml:space="preserve">the data may follow an ARIMA(p, d, 0) model. </w:t>
      </w:r>
    </w:p>
    <w:p w:rsidR="00990171" w:rsidRPr="003314DE" w:rsidRDefault="00990171" w:rsidP="00FD5936">
      <w:pPr>
        <w:jc w:val="both"/>
        <w:rPr>
          <w:rFonts w:ascii="Arial" w:hAnsi="Arial" w:cs="Arial"/>
          <w:noProof/>
        </w:rPr>
      </w:pPr>
    </w:p>
    <w:p w:rsidR="00D1216D" w:rsidRPr="003314DE" w:rsidRDefault="00990171" w:rsidP="00FD5936">
      <w:pPr>
        <w:jc w:val="both"/>
        <w:rPr>
          <w:rFonts w:ascii="Arial" w:hAnsi="Arial" w:cs="Arial"/>
          <w:noProof/>
        </w:rPr>
      </w:pPr>
      <w:r w:rsidRPr="003314DE">
        <w:rPr>
          <w:rFonts w:ascii="Arial" w:hAnsi="Arial" w:cs="Arial"/>
          <w:noProof/>
        </w:rPr>
        <w:t>In using the Auto.Arima function to automatically detect the appropriate model, the following results were obtained.</w:t>
      </w:r>
    </w:p>
    <w:tbl>
      <w:tblPr>
        <w:tblW w:w="8185" w:type="dxa"/>
        <w:tblLayout w:type="fixed"/>
        <w:tblLook w:val="04A0" w:firstRow="1" w:lastRow="0" w:firstColumn="1" w:lastColumn="0" w:noHBand="0" w:noVBand="1"/>
      </w:tblPr>
      <w:tblGrid>
        <w:gridCol w:w="1011"/>
        <w:gridCol w:w="2674"/>
        <w:gridCol w:w="4500"/>
      </w:tblGrid>
      <w:tr w:rsidR="007053B2" w:rsidRPr="003314DE" w:rsidTr="006E64E6">
        <w:trPr>
          <w:trHeight w:val="288"/>
        </w:trPr>
        <w:tc>
          <w:tcPr>
            <w:tcW w:w="101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7053B2" w:rsidRPr="003314DE" w:rsidRDefault="007053B2" w:rsidP="006E64E6">
            <w:pPr>
              <w:spacing w:after="0" w:line="240" w:lineRule="auto"/>
              <w:jc w:val="center"/>
              <w:rPr>
                <w:rFonts w:ascii="Arial" w:eastAsia="Times New Roman" w:hAnsi="Arial" w:cs="Arial"/>
                <w:color w:val="006100"/>
              </w:rPr>
            </w:pPr>
            <w:r w:rsidRPr="003314DE">
              <w:rPr>
                <w:rFonts w:ascii="Arial" w:eastAsia="Times New Roman" w:hAnsi="Arial" w:cs="Arial"/>
                <w:color w:val="006100"/>
              </w:rPr>
              <w:t>Ticker</w:t>
            </w:r>
          </w:p>
        </w:tc>
        <w:tc>
          <w:tcPr>
            <w:tcW w:w="2674" w:type="dxa"/>
            <w:tcBorders>
              <w:top w:val="single" w:sz="4" w:space="0" w:color="auto"/>
              <w:left w:val="nil"/>
              <w:bottom w:val="single" w:sz="4" w:space="0" w:color="auto"/>
              <w:right w:val="single" w:sz="4" w:space="0" w:color="auto"/>
            </w:tcBorders>
            <w:shd w:val="clear" w:color="000000" w:fill="C6EFCE"/>
            <w:noWrap/>
            <w:vAlign w:val="bottom"/>
            <w:hideMark/>
          </w:tcPr>
          <w:p w:rsidR="007053B2" w:rsidRPr="003314DE" w:rsidRDefault="007053B2" w:rsidP="006E64E6">
            <w:pPr>
              <w:spacing w:after="0" w:line="240" w:lineRule="auto"/>
              <w:jc w:val="center"/>
              <w:rPr>
                <w:rFonts w:ascii="Arial" w:eastAsia="Times New Roman" w:hAnsi="Arial" w:cs="Arial"/>
                <w:color w:val="006100"/>
              </w:rPr>
            </w:pPr>
            <w:r w:rsidRPr="003314DE">
              <w:rPr>
                <w:rFonts w:ascii="Arial" w:eastAsia="Times New Roman" w:hAnsi="Arial" w:cs="Arial"/>
                <w:color w:val="006100"/>
              </w:rPr>
              <w:t>(p, d, q) Model Selected</w:t>
            </w:r>
          </w:p>
        </w:tc>
        <w:tc>
          <w:tcPr>
            <w:tcW w:w="4500" w:type="dxa"/>
            <w:tcBorders>
              <w:top w:val="single" w:sz="4" w:space="0" w:color="auto"/>
              <w:left w:val="nil"/>
              <w:bottom w:val="single" w:sz="4" w:space="0" w:color="auto"/>
              <w:right w:val="single" w:sz="4" w:space="0" w:color="auto"/>
            </w:tcBorders>
            <w:shd w:val="clear" w:color="000000" w:fill="C6EFCE"/>
          </w:tcPr>
          <w:p w:rsidR="007053B2" w:rsidRPr="003314DE" w:rsidRDefault="006E64E6" w:rsidP="006E64E6">
            <w:pPr>
              <w:spacing w:after="0" w:line="240" w:lineRule="auto"/>
              <w:jc w:val="center"/>
              <w:rPr>
                <w:rFonts w:ascii="Arial" w:eastAsia="Times New Roman" w:hAnsi="Arial" w:cs="Arial"/>
                <w:color w:val="006100"/>
              </w:rPr>
            </w:pPr>
            <w:r>
              <w:rPr>
                <w:rFonts w:ascii="Arial" w:eastAsia="Times New Roman" w:hAnsi="Arial" w:cs="Arial"/>
                <w:color w:val="006100"/>
              </w:rPr>
              <w:t>Model Formula</w:t>
            </w:r>
          </w:p>
        </w:tc>
      </w:tr>
      <w:tr w:rsidR="007053B2" w:rsidRPr="003314DE" w:rsidTr="006E64E6">
        <w:trPr>
          <w:trHeight w:val="288"/>
        </w:trPr>
        <w:tc>
          <w:tcPr>
            <w:tcW w:w="1011" w:type="dxa"/>
            <w:tcBorders>
              <w:top w:val="nil"/>
              <w:left w:val="single" w:sz="4" w:space="0" w:color="auto"/>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VIGIX</w:t>
            </w:r>
          </w:p>
        </w:tc>
        <w:tc>
          <w:tcPr>
            <w:tcW w:w="2674" w:type="dxa"/>
            <w:tcBorders>
              <w:top w:val="nil"/>
              <w:left w:val="nil"/>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(0, 1, 0)</w:t>
            </w:r>
          </w:p>
        </w:tc>
        <w:tc>
          <w:tcPr>
            <w:tcW w:w="4500" w:type="dxa"/>
            <w:tcBorders>
              <w:top w:val="nil"/>
              <w:left w:val="nil"/>
              <w:bottom w:val="single" w:sz="4" w:space="0" w:color="auto"/>
              <w:right w:val="single" w:sz="4" w:space="0" w:color="auto"/>
            </w:tcBorders>
          </w:tcPr>
          <w:p w:rsidR="007053B2" w:rsidRPr="003314DE" w:rsidRDefault="006E64E6" w:rsidP="006E64E6">
            <w:pPr>
              <w:spacing w:after="0" w:line="240" w:lineRule="auto"/>
              <w:jc w:val="center"/>
              <w:rPr>
                <w:rFonts w:ascii="Arial" w:eastAsia="Times New Roman" w:hAnsi="Arial" w:cs="Arial"/>
                <w:color w:val="000000"/>
              </w:rPr>
            </w:pPr>
            <w:r w:rsidRPr="006E64E6">
              <w:rPr>
                <w:rFonts w:ascii="Arial" w:eastAsia="Times New Roman" w:hAnsi="Arial" w:cs="Arial"/>
                <w:color w:val="000000"/>
              </w:rPr>
              <w:t>auto.arima(vigix_df[,2],seasonal=FALSE)</w:t>
            </w:r>
          </w:p>
        </w:tc>
      </w:tr>
      <w:tr w:rsidR="007053B2" w:rsidRPr="003314DE" w:rsidTr="006E64E6">
        <w:trPr>
          <w:trHeight w:val="288"/>
        </w:trPr>
        <w:tc>
          <w:tcPr>
            <w:tcW w:w="1011" w:type="dxa"/>
            <w:tcBorders>
              <w:top w:val="nil"/>
              <w:left w:val="single" w:sz="4" w:space="0" w:color="auto"/>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SWPPX</w:t>
            </w:r>
          </w:p>
        </w:tc>
        <w:tc>
          <w:tcPr>
            <w:tcW w:w="2674" w:type="dxa"/>
            <w:tcBorders>
              <w:top w:val="nil"/>
              <w:left w:val="nil"/>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(1, 1, 1)</w:t>
            </w:r>
          </w:p>
        </w:tc>
        <w:tc>
          <w:tcPr>
            <w:tcW w:w="4500" w:type="dxa"/>
            <w:tcBorders>
              <w:top w:val="nil"/>
              <w:left w:val="nil"/>
              <w:bottom w:val="single" w:sz="4" w:space="0" w:color="auto"/>
              <w:right w:val="single" w:sz="4" w:space="0" w:color="auto"/>
            </w:tcBorders>
          </w:tcPr>
          <w:p w:rsidR="007053B2" w:rsidRPr="003314DE" w:rsidRDefault="006E64E6" w:rsidP="006E64E6">
            <w:pPr>
              <w:spacing w:after="0" w:line="240" w:lineRule="auto"/>
              <w:jc w:val="center"/>
              <w:rPr>
                <w:rFonts w:ascii="Arial" w:eastAsia="Times New Roman" w:hAnsi="Arial" w:cs="Arial"/>
                <w:color w:val="000000"/>
              </w:rPr>
            </w:pPr>
            <w:r w:rsidRPr="006E64E6">
              <w:rPr>
                <w:rFonts w:ascii="Arial" w:eastAsia="Times New Roman" w:hAnsi="Arial" w:cs="Arial"/>
                <w:color w:val="000000"/>
              </w:rPr>
              <w:t>auto.arima(</w:t>
            </w:r>
            <w:r>
              <w:rPr>
                <w:rFonts w:ascii="Arial" w:eastAsia="Times New Roman" w:hAnsi="Arial" w:cs="Arial"/>
                <w:color w:val="000000"/>
              </w:rPr>
              <w:t>swppx</w:t>
            </w:r>
            <w:r w:rsidRPr="006E64E6">
              <w:rPr>
                <w:rFonts w:ascii="Arial" w:eastAsia="Times New Roman" w:hAnsi="Arial" w:cs="Arial"/>
                <w:color w:val="000000"/>
              </w:rPr>
              <w:t>_df[,2],seasonal=FALSE)</w:t>
            </w:r>
          </w:p>
        </w:tc>
      </w:tr>
      <w:tr w:rsidR="007053B2" w:rsidRPr="003314DE" w:rsidTr="006E64E6">
        <w:trPr>
          <w:trHeight w:val="288"/>
        </w:trPr>
        <w:tc>
          <w:tcPr>
            <w:tcW w:w="1011" w:type="dxa"/>
            <w:tcBorders>
              <w:top w:val="nil"/>
              <w:left w:val="single" w:sz="4" w:space="0" w:color="auto"/>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RFNGX</w:t>
            </w:r>
          </w:p>
        </w:tc>
        <w:tc>
          <w:tcPr>
            <w:tcW w:w="2674" w:type="dxa"/>
            <w:tcBorders>
              <w:top w:val="nil"/>
              <w:left w:val="nil"/>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(0, 1, 0)</w:t>
            </w:r>
          </w:p>
        </w:tc>
        <w:tc>
          <w:tcPr>
            <w:tcW w:w="4500" w:type="dxa"/>
            <w:tcBorders>
              <w:top w:val="nil"/>
              <w:left w:val="nil"/>
              <w:bottom w:val="single" w:sz="4" w:space="0" w:color="auto"/>
              <w:right w:val="single" w:sz="4" w:space="0" w:color="auto"/>
            </w:tcBorders>
          </w:tcPr>
          <w:p w:rsidR="007053B2" w:rsidRPr="003314DE" w:rsidRDefault="006E64E6" w:rsidP="006E64E6">
            <w:pPr>
              <w:spacing w:after="0" w:line="240" w:lineRule="auto"/>
              <w:jc w:val="center"/>
              <w:rPr>
                <w:rFonts w:ascii="Arial" w:eastAsia="Times New Roman" w:hAnsi="Arial" w:cs="Arial"/>
                <w:color w:val="000000"/>
              </w:rPr>
            </w:pPr>
            <w:r w:rsidRPr="006E64E6">
              <w:rPr>
                <w:rFonts w:ascii="Arial" w:eastAsia="Times New Roman" w:hAnsi="Arial" w:cs="Arial"/>
                <w:color w:val="000000"/>
              </w:rPr>
              <w:t>auto.arima(</w:t>
            </w:r>
            <w:r>
              <w:rPr>
                <w:rFonts w:ascii="Arial" w:eastAsia="Times New Roman" w:hAnsi="Arial" w:cs="Arial"/>
                <w:color w:val="000000"/>
              </w:rPr>
              <w:t>rfngx</w:t>
            </w:r>
            <w:r w:rsidRPr="006E64E6">
              <w:rPr>
                <w:rFonts w:ascii="Arial" w:eastAsia="Times New Roman" w:hAnsi="Arial" w:cs="Arial"/>
                <w:color w:val="000000"/>
              </w:rPr>
              <w:t>_df[,2],seasonal=FALSE)</w:t>
            </w:r>
          </w:p>
        </w:tc>
      </w:tr>
      <w:tr w:rsidR="007053B2" w:rsidRPr="003314DE" w:rsidTr="006E64E6">
        <w:trPr>
          <w:trHeight w:val="288"/>
        </w:trPr>
        <w:tc>
          <w:tcPr>
            <w:tcW w:w="1011" w:type="dxa"/>
            <w:tcBorders>
              <w:top w:val="nil"/>
              <w:left w:val="single" w:sz="4" w:space="0" w:color="auto"/>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VASVX</w:t>
            </w:r>
          </w:p>
        </w:tc>
        <w:tc>
          <w:tcPr>
            <w:tcW w:w="2674" w:type="dxa"/>
            <w:tcBorders>
              <w:top w:val="nil"/>
              <w:left w:val="nil"/>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(1, 1, 0)</w:t>
            </w:r>
          </w:p>
        </w:tc>
        <w:tc>
          <w:tcPr>
            <w:tcW w:w="4500" w:type="dxa"/>
            <w:tcBorders>
              <w:top w:val="nil"/>
              <w:left w:val="nil"/>
              <w:bottom w:val="single" w:sz="4" w:space="0" w:color="auto"/>
              <w:right w:val="single" w:sz="4" w:space="0" w:color="auto"/>
            </w:tcBorders>
          </w:tcPr>
          <w:p w:rsidR="007053B2" w:rsidRPr="003314DE" w:rsidRDefault="006E64E6" w:rsidP="006E64E6">
            <w:pPr>
              <w:spacing w:after="0" w:line="240" w:lineRule="auto"/>
              <w:jc w:val="center"/>
              <w:rPr>
                <w:rFonts w:ascii="Arial" w:eastAsia="Times New Roman" w:hAnsi="Arial" w:cs="Arial"/>
                <w:color w:val="000000"/>
              </w:rPr>
            </w:pPr>
            <w:r w:rsidRPr="006E64E6">
              <w:rPr>
                <w:rFonts w:ascii="Arial" w:eastAsia="Times New Roman" w:hAnsi="Arial" w:cs="Arial"/>
                <w:color w:val="000000"/>
              </w:rPr>
              <w:t>auto.arima(</w:t>
            </w:r>
            <w:r>
              <w:rPr>
                <w:rFonts w:ascii="Arial" w:eastAsia="Times New Roman" w:hAnsi="Arial" w:cs="Arial"/>
                <w:color w:val="000000"/>
              </w:rPr>
              <w:t>vasvx</w:t>
            </w:r>
            <w:r w:rsidRPr="006E64E6">
              <w:rPr>
                <w:rFonts w:ascii="Arial" w:eastAsia="Times New Roman" w:hAnsi="Arial" w:cs="Arial"/>
                <w:color w:val="000000"/>
              </w:rPr>
              <w:t>_df[,2],seasonal=FALSE)</w:t>
            </w:r>
          </w:p>
        </w:tc>
      </w:tr>
      <w:tr w:rsidR="007053B2" w:rsidRPr="003314DE" w:rsidTr="006E64E6">
        <w:trPr>
          <w:trHeight w:val="288"/>
        </w:trPr>
        <w:tc>
          <w:tcPr>
            <w:tcW w:w="1011" w:type="dxa"/>
            <w:tcBorders>
              <w:top w:val="nil"/>
              <w:left w:val="single" w:sz="4" w:space="0" w:color="auto"/>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VSGIX</w:t>
            </w:r>
          </w:p>
        </w:tc>
        <w:tc>
          <w:tcPr>
            <w:tcW w:w="2674" w:type="dxa"/>
            <w:tcBorders>
              <w:top w:val="nil"/>
              <w:left w:val="nil"/>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(0, 1, 0)</w:t>
            </w:r>
          </w:p>
        </w:tc>
        <w:tc>
          <w:tcPr>
            <w:tcW w:w="4500" w:type="dxa"/>
            <w:tcBorders>
              <w:top w:val="nil"/>
              <w:left w:val="nil"/>
              <w:bottom w:val="single" w:sz="4" w:space="0" w:color="auto"/>
              <w:right w:val="single" w:sz="4" w:space="0" w:color="auto"/>
            </w:tcBorders>
          </w:tcPr>
          <w:p w:rsidR="007053B2" w:rsidRPr="003314DE" w:rsidRDefault="006E64E6" w:rsidP="006E64E6">
            <w:pPr>
              <w:spacing w:after="0" w:line="240" w:lineRule="auto"/>
              <w:jc w:val="center"/>
              <w:rPr>
                <w:rFonts w:ascii="Arial" w:eastAsia="Times New Roman" w:hAnsi="Arial" w:cs="Arial"/>
                <w:color w:val="000000"/>
              </w:rPr>
            </w:pPr>
            <w:r w:rsidRPr="006E64E6">
              <w:rPr>
                <w:rFonts w:ascii="Arial" w:eastAsia="Times New Roman" w:hAnsi="Arial" w:cs="Arial"/>
                <w:color w:val="000000"/>
              </w:rPr>
              <w:t>auto.arima(</w:t>
            </w:r>
            <w:r>
              <w:rPr>
                <w:rFonts w:ascii="Arial" w:eastAsia="Times New Roman" w:hAnsi="Arial" w:cs="Arial"/>
                <w:color w:val="000000"/>
              </w:rPr>
              <w:t>vsgix</w:t>
            </w:r>
            <w:r w:rsidRPr="006E64E6">
              <w:rPr>
                <w:rFonts w:ascii="Arial" w:eastAsia="Times New Roman" w:hAnsi="Arial" w:cs="Arial"/>
                <w:color w:val="000000"/>
              </w:rPr>
              <w:t>_df[,2],seasonal=FALSE)</w:t>
            </w:r>
          </w:p>
        </w:tc>
      </w:tr>
      <w:tr w:rsidR="007053B2" w:rsidRPr="003314DE" w:rsidTr="006E64E6">
        <w:trPr>
          <w:trHeight w:val="288"/>
        </w:trPr>
        <w:tc>
          <w:tcPr>
            <w:tcW w:w="1011" w:type="dxa"/>
            <w:tcBorders>
              <w:top w:val="nil"/>
              <w:left w:val="single" w:sz="4" w:space="0" w:color="auto"/>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VSCIX</w:t>
            </w:r>
          </w:p>
        </w:tc>
        <w:tc>
          <w:tcPr>
            <w:tcW w:w="2674" w:type="dxa"/>
            <w:tcBorders>
              <w:top w:val="nil"/>
              <w:left w:val="nil"/>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(0, 1, 0)</w:t>
            </w:r>
          </w:p>
        </w:tc>
        <w:tc>
          <w:tcPr>
            <w:tcW w:w="4500" w:type="dxa"/>
            <w:tcBorders>
              <w:top w:val="nil"/>
              <w:left w:val="nil"/>
              <w:bottom w:val="single" w:sz="4" w:space="0" w:color="auto"/>
              <w:right w:val="single" w:sz="4" w:space="0" w:color="auto"/>
            </w:tcBorders>
          </w:tcPr>
          <w:p w:rsidR="007053B2" w:rsidRPr="003314DE" w:rsidRDefault="006E64E6" w:rsidP="006E64E6">
            <w:pPr>
              <w:spacing w:after="0" w:line="240" w:lineRule="auto"/>
              <w:jc w:val="center"/>
              <w:rPr>
                <w:rFonts w:ascii="Arial" w:eastAsia="Times New Roman" w:hAnsi="Arial" w:cs="Arial"/>
                <w:color w:val="000000"/>
              </w:rPr>
            </w:pPr>
            <w:r w:rsidRPr="006E64E6">
              <w:rPr>
                <w:rFonts w:ascii="Arial" w:eastAsia="Times New Roman" w:hAnsi="Arial" w:cs="Arial"/>
                <w:color w:val="000000"/>
              </w:rPr>
              <w:t>auto.arima(</w:t>
            </w:r>
            <w:r>
              <w:rPr>
                <w:rFonts w:ascii="Arial" w:eastAsia="Times New Roman" w:hAnsi="Arial" w:cs="Arial"/>
                <w:color w:val="000000"/>
              </w:rPr>
              <w:t>vscix</w:t>
            </w:r>
            <w:r w:rsidRPr="006E64E6">
              <w:rPr>
                <w:rFonts w:ascii="Arial" w:eastAsia="Times New Roman" w:hAnsi="Arial" w:cs="Arial"/>
                <w:color w:val="000000"/>
              </w:rPr>
              <w:t>_df[,2],seasonal=FALSE)</w:t>
            </w:r>
          </w:p>
        </w:tc>
      </w:tr>
      <w:tr w:rsidR="007053B2" w:rsidRPr="003314DE" w:rsidTr="006E64E6">
        <w:trPr>
          <w:trHeight w:val="288"/>
        </w:trPr>
        <w:tc>
          <w:tcPr>
            <w:tcW w:w="1011" w:type="dxa"/>
            <w:tcBorders>
              <w:top w:val="nil"/>
              <w:left w:val="single" w:sz="4" w:space="0" w:color="auto"/>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CSRIX</w:t>
            </w:r>
          </w:p>
        </w:tc>
        <w:tc>
          <w:tcPr>
            <w:tcW w:w="2674" w:type="dxa"/>
            <w:tcBorders>
              <w:top w:val="nil"/>
              <w:left w:val="nil"/>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(0, 1, 0)</w:t>
            </w:r>
          </w:p>
        </w:tc>
        <w:tc>
          <w:tcPr>
            <w:tcW w:w="4500" w:type="dxa"/>
            <w:tcBorders>
              <w:top w:val="nil"/>
              <w:left w:val="nil"/>
              <w:bottom w:val="single" w:sz="4" w:space="0" w:color="auto"/>
              <w:right w:val="single" w:sz="4" w:space="0" w:color="auto"/>
            </w:tcBorders>
          </w:tcPr>
          <w:p w:rsidR="007053B2" w:rsidRPr="003314DE" w:rsidRDefault="006E64E6" w:rsidP="006E64E6">
            <w:pPr>
              <w:spacing w:after="0" w:line="240" w:lineRule="auto"/>
              <w:jc w:val="center"/>
              <w:rPr>
                <w:rFonts w:ascii="Arial" w:eastAsia="Times New Roman" w:hAnsi="Arial" w:cs="Arial"/>
                <w:color w:val="000000"/>
              </w:rPr>
            </w:pPr>
            <w:r w:rsidRPr="006E64E6">
              <w:rPr>
                <w:rFonts w:ascii="Arial" w:eastAsia="Times New Roman" w:hAnsi="Arial" w:cs="Arial"/>
                <w:color w:val="000000"/>
              </w:rPr>
              <w:t>auto.arima(</w:t>
            </w:r>
            <w:r>
              <w:rPr>
                <w:rFonts w:ascii="Arial" w:eastAsia="Times New Roman" w:hAnsi="Arial" w:cs="Arial"/>
                <w:color w:val="000000"/>
              </w:rPr>
              <w:t>csrix</w:t>
            </w:r>
            <w:r w:rsidRPr="006E64E6">
              <w:rPr>
                <w:rFonts w:ascii="Arial" w:eastAsia="Times New Roman" w:hAnsi="Arial" w:cs="Arial"/>
                <w:color w:val="000000"/>
              </w:rPr>
              <w:t>_df[,2],seasonal=FALSE)</w:t>
            </w:r>
          </w:p>
        </w:tc>
      </w:tr>
      <w:tr w:rsidR="007053B2" w:rsidRPr="003314DE" w:rsidTr="006E64E6">
        <w:trPr>
          <w:trHeight w:val="288"/>
        </w:trPr>
        <w:tc>
          <w:tcPr>
            <w:tcW w:w="1011" w:type="dxa"/>
            <w:tcBorders>
              <w:top w:val="nil"/>
              <w:left w:val="single" w:sz="4" w:space="0" w:color="auto"/>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SWISX</w:t>
            </w:r>
          </w:p>
        </w:tc>
        <w:tc>
          <w:tcPr>
            <w:tcW w:w="2674" w:type="dxa"/>
            <w:tcBorders>
              <w:top w:val="nil"/>
              <w:left w:val="nil"/>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(0, 1, 0)</w:t>
            </w:r>
          </w:p>
        </w:tc>
        <w:tc>
          <w:tcPr>
            <w:tcW w:w="4500" w:type="dxa"/>
            <w:tcBorders>
              <w:top w:val="nil"/>
              <w:left w:val="nil"/>
              <w:bottom w:val="single" w:sz="4" w:space="0" w:color="auto"/>
              <w:right w:val="single" w:sz="4" w:space="0" w:color="auto"/>
            </w:tcBorders>
          </w:tcPr>
          <w:p w:rsidR="007053B2" w:rsidRPr="003314DE" w:rsidRDefault="006E64E6" w:rsidP="006E64E6">
            <w:pPr>
              <w:spacing w:after="0" w:line="240" w:lineRule="auto"/>
              <w:jc w:val="center"/>
              <w:rPr>
                <w:rFonts w:ascii="Arial" w:eastAsia="Times New Roman" w:hAnsi="Arial" w:cs="Arial"/>
                <w:color w:val="000000"/>
              </w:rPr>
            </w:pPr>
            <w:r w:rsidRPr="006E64E6">
              <w:rPr>
                <w:rFonts w:ascii="Arial" w:eastAsia="Times New Roman" w:hAnsi="Arial" w:cs="Arial"/>
                <w:color w:val="000000"/>
              </w:rPr>
              <w:t>auto.arima(</w:t>
            </w:r>
            <w:r>
              <w:rPr>
                <w:rFonts w:ascii="Arial" w:eastAsia="Times New Roman" w:hAnsi="Arial" w:cs="Arial"/>
                <w:color w:val="000000"/>
              </w:rPr>
              <w:t>swisx</w:t>
            </w:r>
            <w:r w:rsidRPr="006E64E6">
              <w:rPr>
                <w:rFonts w:ascii="Arial" w:eastAsia="Times New Roman" w:hAnsi="Arial" w:cs="Arial"/>
                <w:color w:val="000000"/>
              </w:rPr>
              <w:t>_df[,2],seasonal=FALSE)</w:t>
            </w:r>
          </w:p>
        </w:tc>
      </w:tr>
      <w:tr w:rsidR="007053B2" w:rsidRPr="003314DE" w:rsidTr="006E64E6">
        <w:trPr>
          <w:trHeight w:val="288"/>
        </w:trPr>
        <w:tc>
          <w:tcPr>
            <w:tcW w:w="1011" w:type="dxa"/>
            <w:tcBorders>
              <w:top w:val="nil"/>
              <w:left w:val="single" w:sz="4" w:space="0" w:color="auto"/>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RERGX</w:t>
            </w:r>
          </w:p>
        </w:tc>
        <w:tc>
          <w:tcPr>
            <w:tcW w:w="2674" w:type="dxa"/>
            <w:tcBorders>
              <w:top w:val="nil"/>
              <w:left w:val="nil"/>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(0, 1, 1)</w:t>
            </w:r>
          </w:p>
        </w:tc>
        <w:tc>
          <w:tcPr>
            <w:tcW w:w="4500" w:type="dxa"/>
            <w:tcBorders>
              <w:top w:val="nil"/>
              <w:left w:val="nil"/>
              <w:bottom w:val="single" w:sz="4" w:space="0" w:color="auto"/>
              <w:right w:val="single" w:sz="4" w:space="0" w:color="auto"/>
            </w:tcBorders>
          </w:tcPr>
          <w:p w:rsidR="007053B2" w:rsidRPr="003314DE" w:rsidRDefault="006E64E6" w:rsidP="006E64E6">
            <w:pPr>
              <w:spacing w:after="0" w:line="240" w:lineRule="auto"/>
              <w:jc w:val="center"/>
              <w:rPr>
                <w:rFonts w:ascii="Arial" w:eastAsia="Times New Roman" w:hAnsi="Arial" w:cs="Arial"/>
                <w:color w:val="000000"/>
              </w:rPr>
            </w:pPr>
            <w:r w:rsidRPr="006E64E6">
              <w:rPr>
                <w:rFonts w:ascii="Arial" w:eastAsia="Times New Roman" w:hAnsi="Arial" w:cs="Arial"/>
                <w:color w:val="000000"/>
              </w:rPr>
              <w:t>auto.arima(</w:t>
            </w:r>
            <w:r>
              <w:rPr>
                <w:rFonts w:ascii="Arial" w:eastAsia="Times New Roman" w:hAnsi="Arial" w:cs="Arial"/>
                <w:color w:val="000000"/>
              </w:rPr>
              <w:t>rergx</w:t>
            </w:r>
            <w:r w:rsidRPr="006E64E6">
              <w:rPr>
                <w:rFonts w:ascii="Arial" w:eastAsia="Times New Roman" w:hAnsi="Arial" w:cs="Arial"/>
                <w:color w:val="000000"/>
              </w:rPr>
              <w:t>_df[,2],seasonal=FALSE)</w:t>
            </w:r>
          </w:p>
        </w:tc>
      </w:tr>
      <w:tr w:rsidR="007053B2" w:rsidRPr="003314DE" w:rsidTr="006E64E6">
        <w:trPr>
          <w:trHeight w:val="288"/>
        </w:trPr>
        <w:tc>
          <w:tcPr>
            <w:tcW w:w="1011" w:type="dxa"/>
            <w:tcBorders>
              <w:top w:val="nil"/>
              <w:left w:val="single" w:sz="4" w:space="0" w:color="auto"/>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DFEMX</w:t>
            </w:r>
          </w:p>
        </w:tc>
        <w:tc>
          <w:tcPr>
            <w:tcW w:w="2674" w:type="dxa"/>
            <w:tcBorders>
              <w:top w:val="nil"/>
              <w:left w:val="nil"/>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(0, 1, 1)</w:t>
            </w:r>
          </w:p>
        </w:tc>
        <w:tc>
          <w:tcPr>
            <w:tcW w:w="4500" w:type="dxa"/>
            <w:tcBorders>
              <w:top w:val="nil"/>
              <w:left w:val="nil"/>
              <w:bottom w:val="single" w:sz="4" w:space="0" w:color="auto"/>
              <w:right w:val="single" w:sz="4" w:space="0" w:color="auto"/>
            </w:tcBorders>
          </w:tcPr>
          <w:p w:rsidR="007053B2" w:rsidRPr="003314DE" w:rsidRDefault="006E64E6" w:rsidP="006E64E6">
            <w:pPr>
              <w:spacing w:after="0" w:line="240" w:lineRule="auto"/>
              <w:jc w:val="center"/>
              <w:rPr>
                <w:rFonts w:ascii="Arial" w:eastAsia="Times New Roman" w:hAnsi="Arial" w:cs="Arial"/>
                <w:color w:val="000000"/>
              </w:rPr>
            </w:pPr>
            <w:r w:rsidRPr="006E64E6">
              <w:rPr>
                <w:rFonts w:ascii="Arial" w:eastAsia="Times New Roman" w:hAnsi="Arial" w:cs="Arial"/>
                <w:color w:val="000000"/>
              </w:rPr>
              <w:t>auto.arima(</w:t>
            </w:r>
            <w:r>
              <w:rPr>
                <w:rFonts w:ascii="Arial" w:eastAsia="Times New Roman" w:hAnsi="Arial" w:cs="Arial"/>
                <w:color w:val="000000"/>
              </w:rPr>
              <w:t>dfemx</w:t>
            </w:r>
            <w:r w:rsidRPr="006E64E6">
              <w:rPr>
                <w:rFonts w:ascii="Arial" w:eastAsia="Times New Roman" w:hAnsi="Arial" w:cs="Arial"/>
                <w:color w:val="000000"/>
              </w:rPr>
              <w:t>_df[,2],seasonal=FALSE)</w:t>
            </w:r>
          </w:p>
        </w:tc>
      </w:tr>
      <w:tr w:rsidR="007053B2" w:rsidRPr="003314DE" w:rsidTr="006E64E6">
        <w:trPr>
          <w:trHeight w:val="288"/>
        </w:trPr>
        <w:tc>
          <w:tcPr>
            <w:tcW w:w="1011" w:type="dxa"/>
            <w:tcBorders>
              <w:top w:val="nil"/>
              <w:left w:val="single" w:sz="4" w:space="0" w:color="auto"/>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DEMSX</w:t>
            </w:r>
          </w:p>
        </w:tc>
        <w:tc>
          <w:tcPr>
            <w:tcW w:w="2674" w:type="dxa"/>
            <w:tcBorders>
              <w:top w:val="nil"/>
              <w:left w:val="nil"/>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(0, 1, 1)</w:t>
            </w:r>
          </w:p>
        </w:tc>
        <w:tc>
          <w:tcPr>
            <w:tcW w:w="4500" w:type="dxa"/>
            <w:tcBorders>
              <w:top w:val="nil"/>
              <w:left w:val="nil"/>
              <w:bottom w:val="single" w:sz="4" w:space="0" w:color="auto"/>
              <w:right w:val="single" w:sz="4" w:space="0" w:color="auto"/>
            </w:tcBorders>
          </w:tcPr>
          <w:p w:rsidR="007053B2" w:rsidRPr="003314DE" w:rsidRDefault="006E64E6" w:rsidP="006E64E6">
            <w:pPr>
              <w:spacing w:after="0" w:line="240" w:lineRule="auto"/>
              <w:jc w:val="center"/>
              <w:rPr>
                <w:rFonts w:ascii="Arial" w:eastAsia="Times New Roman" w:hAnsi="Arial" w:cs="Arial"/>
                <w:color w:val="000000"/>
              </w:rPr>
            </w:pPr>
            <w:r w:rsidRPr="006E64E6">
              <w:rPr>
                <w:rFonts w:ascii="Arial" w:eastAsia="Times New Roman" w:hAnsi="Arial" w:cs="Arial"/>
                <w:color w:val="000000"/>
              </w:rPr>
              <w:t>auto.arima(</w:t>
            </w:r>
            <w:r>
              <w:rPr>
                <w:rFonts w:ascii="Arial" w:eastAsia="Times New Roman" w:hAnsi="Arial" w:cs="Arial"/>
                <w:color w:val="000000"/>
              </w:rPr>
              <w:t>demsx</w:t>
            </w:r>
            <w:r w:rsidRPr="006E64E6">
              <w:rPr>
                <w:rFonts w:ascii="Arial" w:eastAsia="Times New Roman" w:hAnsi="Arial" w:cs="Arial"/>
                <w:color w:val="000000"/>
              </w:rPr>
              <w:t>_df[,2],seasonal=FALSE)</w:t>
            </w:r>
          </w:p>
        </w:tc>
      </w:tr>
      <w:tr w:rsidR="007053B2" w:rsidRPr="003314DE" w:rsidTr="006E64E6">
        <w:trPr>
          <w:trHeight w:val="288"/>
        </w:trPr>
        <w:tc>
          <w:tcPr>
            <w:tcW w:w="1011" w:type="dxa"/>
            <w:tcBorders>
              <w:top w:val="nil"/>
              <w:left w:val="single" w:sz="4" w:space="0" w:color="auto"/>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LSBDX</w:t>
            </w:r>
          </w:p>
        </w:tc>
        <w:tc>
          <w:tcPr>
            <w:tcW w:w="2674" w:type="dxa"/>
            <w:tcBorders>
              <w:top w:val="nil"/>
              <w:left w:val="nil"/>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(2, 1, 0)</w:t>
            </w:r>
          </w:p>
        </w:tc>
        <w:tc>
          <w:tcPr>
            <w:tcW w:w="4500" w:type="dxa"/>
            <w:tcBorders>
              <w:top w:val="nil"/>
              <w:left w:val="nil"/>
              <w:bottom w:val="single" w:sz="4" w:space="0" w:color="auto"/>
              <w:right w:val="single" w:sz="4" w:space="0" w:color="auto"/>
            </w:tcBorders>
          </w:tcPr>
          <w:p w:rsidR="007053B2" w:rsidRPr="003314DE" w:rsidRDefault="006E64E6" w:rsidP="006E64E6">
            <w:pPr>
              <w:spacing w:after="0" w:line="240" w:lineRule="auto"/>
              <w:jc w:val="center"/>
              <w:rPr>
                <w:rFonts w:ascii="Arial" w:eastAsia="Times New Roman" w:hAnsi="Arial" w:cs="Arial"/>
                <w:color w:val="000000"/>
              </w:rPr>
            </w:pPr>
            <w:r w:rsidRPr="006E64E6">
              <w:rPr>
                <w:rFonts w:ascii="Arial" w:eastAsia="Times New Roman" w:hAnsi="Arial" w:cs="Arial"/>
                <w:color w:val="000000"/>
              </w:rPr>
              <w:t>auto.arima(</w:t>
            </w:r>
            <w:r>
              <w:rPr>
                <w:rFonts w:ascii="Arial" w:eastAsia="Times New Roman" w:hAnsi="Arial" w:cs="Arial"/>
                <w:color w:val="000000"/>
              </w:rPr>
              <w:t>lsbdx</w:t>
            </w:r>
            <w:r w:rsidRPr="006E64E6">
              <w:rPr>
                <w:rFonts w:ascii="Arial" w:eastAsia="Times New Roman" w:hAnsi="Arial" w:cs="Arial"/>
                <w:color w:val="000000"/>
              </w:rPr>
              <w:t>_df[,2],seasonal=FALSE)</w:t>
            </w:r>
          </w:p>
        </w:tc>
      </w:tr>
      <w:tr w:rsidR="007053B2" w:rsidRPr="003314DE" w:rsidTr="006E64E6">
        <w:trPr>
          <w:trHeight w:val="288"/>
        </w:trPr>
        <w:tc>
          <w:tcPr>
            <w:tcW w:w="1011" w:type="dxa"/>
            <w:tcBorders>
              <w:top w:val="nil"/>
              <w:left w:val="single" w:sz="4" w:space="0" w:color="auto"/>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VBTIX</w:t>
            </w:r>
          </w:p>
        </w:tc>
        <w:tc>
          <w:tcPr>
            <w:tcW w:w="2674" w:type="dxa"/>
            <w:tcBorders>
              <w:top w:val="nil"/>
              <w:left w:val="nil"/>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(0, 1, 0)</w:t>
            </w:r>
          </w:p>
        </w:tc>
        <w:tc>
          <w:tcPr>
            <w:tcW w:w="4500" w:type="dxa"/>
            <w:tcBorders>
              <w:top w:val="nil"/>
              <w:left w:val="nil"/>
              <w:bottom w:val="single" w:sz="4" w:space="0" w:color="auto"/>
              <w:right w:val="single" w:sz="4" w:space="0" w:color="auto"/>
            </w:tcBorders>
          </w:tcPr>
          <w:p w:rsidR="007053B2" w:rsidRPr="003314DE" w:rsidRDefault="006E64E6" w:rsidP="006E64E6">
            <w:pPr>
              <w:spacing w:after="0" w:line="240" w:lineRule="auto"/>
              <w:jc w:val="center"/>
              <w:rPr>
                <w:rFonts w:ascii="Arial" w:eastAsia="Times New Roman" w:hAnsi="Arial" w:cs="Arial"/>
                <w:color w:val="000000"/>
              </w:rPr>
            </w:pPr>
            <w:r w:rsidRPr="006E64E6">
              <w:rPr>
                <w:rFonts w:ascii="Arial" w:eastAsia="Times New Roman" w:hAnsi="Arial" w:cs="Arial"/>
                <w:color w:val="000000"/>
              </w:rPr>
              <w:t>auto.arima(</w:t>
            </w:r>
            <w:r>
              <w:rPr>
                <w:rFonts w:ascii="Arial" w:eastAsia="Times New Roman" w:hAnsi="Arial" w:cs="Arial"/>
                <w:color w:val="000000"/>
              </w:rPr>
              <w:t>vbtix</w:t>
            </w:r>
            <w:r w:rsidRPr="006E64E6">
              <w:rPr>
                <w:rFonts w:ascii="Arial" w:eastAsia="Times New Roman" w:hAnsi="Arial" w:cs="Arial"/>
                <w:color w:val="000000"/>
              </w:rPr>
              <w:t>_df[,2],seasonal=FALSE)</w:t>
            </w:r>
          </w:p>
        </w:tc>
      </w:tr>
      <w:tr w:rsidR="007053B2" w:rsidRPr="003314DE" w:rsidTr="006E64E6">
        <w:trPr>
          <w:trHeight w:val="288"/>
        </w:trPr>
        <w:tc>
          <w:tcPr>
            <w:tcW w:w="1011" w:type="dxa"/>
            <w:tcBorders>
              <w:top w:val="nil"/>
              <w:left w:val="single" w:sz="4" w:space="0" w:color="auto"/>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VIPSX</w:t>
            </w:r>
          </w:p>
        </w:tc>
        <w:tc>
          <w:tcPr>
            <w:tcW w:w="2674" w:type="dxa"/>
            <w:tcBorders>
              <w:top w:val="nil"/>
              <w:left w:val="nil"/>
              <w:bottom w:val="single" w:sz="4" w:space="0" w:color="auto"/>
              <w:right w:val="single" w:sz="4" w:space="0" w:color="auto"/>
            </w:tcBorders>
            <w:shd w:val="clear" w:color="auto" w:fill="auto"/>
            <w:noWrap/>
            <w:vAlign w:val="bottom"/>
            <w:hideMark/>
          </w:tcPr>
          <w:p w:rsidR="007053B2" w:rsidRPr="003314DE" w:rsidRDefault="007053B2" w:rsidP="006E64E6">
            <w:pPr>
              <w:spacing w:after="0" w:line="240" w:lineRule="auto"/>
              <w:jc w:val="center"/>
              <w:rPr>
                <w:rFonts w:ascii="Arial" w:eastAsia="Times New Roman" w:hAnsi="Arial" w:cs="Arial"/>
                <w:color w:val="000000"/>
              </w:rPr>
            </w:pPr>
            <w:r w:rsidRPr="003314DE">
              <w:rPr>
                <w:rFonts w:ascii="Arial" w:eastAsia="Times New Roman" w:hAnsi="Arial" w:cs="Arial"/>
                <w:color w:val="000000"/>
              </w:rPr>
              <w:t>(2, 1, 2)</w:t>
            </w:r>
          </w:p>
        </w:tc>
        <w:tc>
          <w:tcPr>
            <w:tcW w:w="4500" w:type="dxa"/>
            <w:tcBorders>
              <w:top w:val="nil"/>
              <w:left w:val="nil"/>
              <w:bottom w:val="single" w:sz="4" w:space="0" w:color="auto"/>
              <w:right w:val="single" w:sz="4" w:space="0" w:color="auto"/>
            </w:tcBorders>
          </w:tcPr>
          <w:p w:rsidR="007053B2" w:rsidRPr="003314DE" w:rsidRDefault="006E64E6" w:rsidP="006E64E6">
            <w:pPr>
              <w:spacing w:after="0" w:line="240" w:lineRule="auto"/>
              <w:jc w:val="center"/>
              <w:rPr>
                <w:rFonts w:ascii="Arial" w:eastAsia="Times New Roman" w:hAnsi="Arial" w:cs="Arial"/>
                <w:color w:val="000000"/>
              </w:rPr>
            </w:pPr>
            <w:r w:rsidRPr="006E64E6">
              <w:rPr>
                <w:rFonts w:ascii="Arial" w:eastAsia="Times New Roman" w:hAnsi="Arial" w:cs="Arial"/>
                <w:color w:val="000000"/>
              </w:rPr>
              <w:t>auto.arima(</w:t>
            </w:r>
            <w:r>
              <w:rPr>
                <w:rFonts w:ascii="Arial" w:eastAsia="Times New Roman" w:hAnsi="Arial" w:cs="Arial"/>
                <w:color w:val="000000"/>
              </w:rPr>
              <w:t>vipsx</w:t>
            </w:r>
            <w:r w:rsidRPr="006E64E6">
              <w:rPr>
                <w:rFonts w:ascii="Arial" w:eastAsia="Times New Roman" w:hAnsi="Arial" w:cs="Arial"/>
                <w:color w:val="000000"/>
              </w:rPr>
              <w:t>_df[,2],seasonal=FALSE)</w:t>
            </w:r>
          </w:p>
        </w:tc>
      </w:tr>
    </w:tbl>
    <w:p w:rsidR="00FA141D" w:rsidRDefault="00FA141D" w:rsidP="00FD5936">
      <w:pPr>
        <w:jc w:val="both"/>
        <w:rPr>
          <w:rFonts w:ascii="Arial" w:hAnsi="Arial" w:cs="Arial"/>
          <w:noProof/>
        </w:rPr>
      </w:pPr>
    </w:p>
    <w:p w:rsidR="00496D21" w:rsidRDefault="00496D21" w:rsidP="00FD5936">
      <w:pPr>
        <w:jc w:val="both"/>
        <w:rPr>
          <w:rFonts w:ascii="Arial" w:hAnsi="Arial" w:cs="Arial"/>
          <w:noProof/>
        </w:rPr>
      </w:pPr>
    </w:p>
    <w:p w:rsidR="00496D21" w:rsidRDefault="00496D21" w:rsidP="00FD5936">
      <w:pPr>
        <w:jc w:val="both"/>
        <w:rPr>
          <w:rFonts w:ascii="Arial" w:hAnsi="Arial" w:cs="Arial"/>
          <w:noProof/>
        </w:rPr>
      </w:pPr>
    </w:p>
    <w:p w:rsidR="00496D21" w:rsidRDefault="00496D21" w:rsidP="00FD5936">
      <w:pPr>
        <w:jc w:val="both"/>
        <w:rPr>
          <w:rFonts w:ascii="Arial" w:hAnsi="Arial" w:cs="Arial"/>
          <w:noProof/>
        </w:rPr>
      </w:pPr>
    </w:p>
    <w:p w:rsidR="00496D21" w:rsidRDefault="00496D21" w:rsidP="00FD5936">
      <w:pPr>
        <w:jc w:val="both"/>
        <w:rPr>
          <w:rFonts w:ascii="Arial" w:hAnsi="Arial" w:cs="Arial"/>
          <w:noProof/>
        </w:rPr>
      </w:pPr>
    </w:p>
    <w:p w:rsidR="00496D21" w:rsidRDefault="00496D21" w:rsidP="00FD5936">
      <w:pPr>
        <w:jc w:val="both"/>
        <w:rPr>
          <w:rFonts w:ascii="Arial" w:hAnsi="Arial" w:cs="Arial"/>
          <w:noProof/>
        </w:rPr>
      </w:pPr>
    </w:p>
    <w:p w:rsidR="00496D21" w:rsidRDefault="00496D21" w:rsidP="00FD5936">
      <w:pPr>
        <w:jc w:val="both"/>
        <w:rPr>
          <w:rFonts w:ascii="Arial" w:hAnsi="Arial" w:cs="Arial"/>
          <w:noProof/>
        </w:rPr>
      </w:pPr>
    </w:p>
    <w:p w:rsidR="00081C31" w:rsidRPr="003314DE" w:rsidRDefault="00E4691A" w:rsidP="00FD5936">
      <w:pPr>
        <w:pStyle w:val="Heading1"/>
        <w:jc w:val="both"/>
        <w:rPr>
          <w:rFonts w:ascii="Arial" w:hAnsi="Arial" w:cs="Arial"/>
          <w:noProof/>
          <w:sz w:val="22"/>
          <w:szCs w:val="22"/>
        </w:rPr>
      </w:pPr>
      <w:bookmarkStart w:id="16" w:name="_Toc480730595"/>
      <w:r w:rsidRPr="003314DE">
        <w:rPr>
          <w:rFonts w:ascii="Arial" w:hAnsi="Arial" w:cs="Arial"/>
          <w:noProof/>
          <w:sz w:val="22"/>
          <w:szCs w:val="22"/>
        </w:rPr>
        <w:lastRenderedPageBreak/>
        <w:t>Forecasting</w:t>
      </w:r>
      <w:r w:rsidR="008A2343" w:rsidRPr="003314DE">
        <w:rPr>
          <w:rFonts w:ascii="Arial" w:hAnsi="Arial" w:cs="Arial"/>
          <w:noProof/>
          <w:sz w:val="22"/>
          <w:szCs w:val="22"/>
        </w:rPr>
        <w:t xml:space="preserve"> </w:t>
      </w:r>
      <w:r w:rsidR="003706AB" w:rsidRPr="003314DE">
        <w:rPr>
          <w:rFonts w:ascii="Arial" w:hAnsi="Arial" w:cs="Arial"/>
          <w:noProof/>
          <w:sz w:val="22"/>
          <w:szCs w:val="22"/>
        </w:rPr>
        <w:t>&amp;</w:t>
      </w:r>
      <w:r w:rsidR="008A2343" w:rsidRPr="003314DE">
        <w:rPr>
          <w:rFonts w:ascii="Arial" w:hAnsi="Arial" w:cs="Arial"/>
          <w:noProof/>
          <w:sz w:val="22"/>
          <w:szCs w:val="22"/>
        </w:rPr>
        <w:t xml:space="preserve"> </w:t>
      </w:r>
      <w:r w:rsidR="003706AB" w:rsidRPr="003314DE">
        <w:rPr>
          <w:rFonts w:ascii="Arial" w:hAnsi="Arial" w:cs="Arial"/>
          <w:noProof/>
          <w:sz w:val="22"/>
          <w:szCs w:val="22"/>
        </w:rPr>
        <w:t>Conclusion</w:t>
      </w:r>
      <w:bookmarkEnd w:id="16"/>
    </w:p>
    <w:p w:rsidR="00FB592A" w:rsidRPr="003314DE" w:rsidRDefault="00A73D00" w:rsidP="00FD5936">
      <w:pPr>
        <w:jc w:val="both"/>
        <w:rPr>
          <w:rFonts w:ascii="Arial" w:hAnsi="Arial" w:cs="Arial"/>
        </w:rPr>
      </w:pPr>
      <w:r w:rsidRPr="003314DE">
        <w:rPr>
          <w:rFonts w:ascii="Arial" w:hAnsi="Arial" w:cs="Arial"/>
        </w:rPr>
        <w:t xml:space="preserve">In analyzing </w:t>
      </w:r>
      <w:r w:rsidR="00F716FA">
        <w:rPr>
          <w:rFonts w:ascii="Arial" w:hAnsi="Arial" w:cs="Arial"/>
        </w:rPr>
        <w:t xml:space="preserve">residual </w:t>
      </w:r>
      <w:r w:rsidRPr="003314DE">
        <w:rPr>
          <w:rFonts w:ascii="Arial" w:hAnsi="Arial" w:cs="Arial"/>
        </w:rPr>
        <w:t>diagnostics</w:t>
      </w:r>
      <w:r w:rsidR="00D65B82">
        <w:rPr>
          <w:rFonts w:ascii="Arial" w:hAnsi="Arial" w:cs="Arial"/>
        </w:rPr>
        <w:t xml:space="preserve"> </w:t>
      </w:r>
      <w:r w:rsidR="008F5386">
        <w:rPr>
          <w:rFonts w:ascii="Arial" w:hAnsi="Arial" w:cs="Arial"/>
        </w:rPr>
        <w:t xml:space="preserve">(Appendix section </w:t>
      </w:r>
      <w:r w:rsidR="008F5386">
        <w:rPr>
          <w:rFonts w:ascii="Arial" w:hAnsi="Arial" w:cs="Arial"/>
        </w:rPr>
        <w:t>3</w:t>
      </w:r>
      <w:r w:rsidR="008F5386">
        <w:rPr>
          <w:rFonts w:ascii="Arial" w:hAnsi="Arial" w:cs="Arial"/>
        </w:rPr>
        <w:t>)</w:t>
      </w:r>
      <w:r w:rsidRPr="003314DE">
        <w:rPr>
          <w:rFonts w:ascii="Arial" w:hAnsi="Arial" w:cs="Arial"/>
        </w:rPr>
        <w:t xml:space="preserve">, the residuals for the most part seem to be uncorrelated to each other and seem to have a constant </w:t>
      </w:r>
      <w:r w:rsidR="006A5E6F" w:rsidRPr="003314DE">
        <w:rPr>
          <w:rFonts w:ascii="Arial" w:hAnsi="Arial" w:cs="Arial"/>
        </w:rPr>
        <w:t xml:space="preserve">variance and a mean close to zero. With the assumption that </w:t>
      </w:r>
      <w:r w:rsidR="001F078D" w:rsidRPr="003314DE">
        <w:rPr>
          <w:rFonts w:ascii="Arial" w:hAnsi="Arial" w:cs="Arial"/>
        </w:rPr>
        <w:t>the models are accurate, a separate data frame was created with a forecast of 90 data points to account for the testing data set from Jan 2017 – Mar 2017.</w:t>
      </w:r>
      <w:r w:rsidR="00FB592A" w:rsidRPr="003314DE">
        <w:rPr>
          <w:rFonts w:ascii="Arial" w:hAnsi="Arial" w:cs="Arial"/>
        </w:rPr>
        <w:t xml:space="preserve"> </w:t>
      </w:r>
      <w:r w:rsidR="00B74CED" w:rsidRPr="003314DE">
        <w:rPr>
          <w:rFonts w:ascii="Arial" w:hAnsi="Arial" w:cs="Arial"/>
        </w:rPr>
        <w:t>The data frame was summarized to take into factor the first and last data points and a range variable was defined that describes the positive or negative movement of the ticker within the forecasted data frame for each ticker within the 90 day period. The result looked as below</w:t>
      </w:r>
      <w:r w:rsidR="008A2343" w:rsidRPr="003314DE">
        <w:rPr>
          <w:rFonts w:ascii="Arial" w:hAnsi="Arial" w:cs="Arial"/>
        </w:rPr>
        <w:t xml:space="preserve"> for each ticker. </w:t>
      </w:r>
    </w:p>
    <w:p w:rsidR="00B74CED" w:rsidRPr="003314DE" w:rsidRDefault="00FD1595" w:rsidP="00FD5936">
      <w:pPr>
        <w:jc w:val="both"/>
        <w:rPr>
          <w:rFonts w:ascii="Arial" w:hAnsi="Arial" w:cs="Arial"/>
        </w:rPr>
      </w:pPr>
      <w:r w:rsidRPr="003314DE">
        <w:rPr>
          <w:rFonts w:ascii="Arial" w:hAnsi="Arial" w:cs="Arial"/>
          <w:noProof/>
        </w:rPr>
        <w:drawing>
          <wp:inline distT="0" distB="0" distL="0" distR="0" wp14:anchorId="610C7CDF" wp14:editId="0284EC07">
            <wp:extent cx="5943600" cy="3143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4325"/>
                    </a:xfrm>
                    <a:prstGeom prst="rect">
                      <a:avLst/>
                    </a:prstGeom>
                  </pic:spPr>
                </pic:pic>
              </a:graphicData>
            </a:graphic>
          </wp:inline>
        </w:drawing>
      </w:r>
    </w:p>
    <w:p w:rsidR="001160E3" w:rsidRDefault="001160E3" w:rsidP="00FD5936">
      <w:pPr>
        <w:jc w:val="both"/>
        <w:rPr>
          <w:rFonts w:ascii="Arial" w:hAnsi="Arial" w:cs="Arial"/>
        </w:rPr>
      </w:pPr>
    </w:p>
    <w:p w:rsidR="00002D20" w:rsidRPr="003314DE" w:rsidRDefault="00015ED7" w:rsidP="00FD5936">
      <w:pPr>
        <w:jc w:val="both"/>
        <w:rPr>
          <w:rFonts w:ascii="Arial" w:hAnsi="Arial" w:cs="Arial"/>
        </w:rPr>
      </w:pPr>
      <w:r w:rsidRPr="003314DE">
        <w:rPr>
          <w:rFonts w:ascii="Arial" w:hAnsi="Arial" w:cs="Arial"/>
        </w:rPr>
        <w:t>The forecasted range for</w:t>
      </w:r>
      <w:r w:rsidR="00002D20" w:rsidRPr="003314DE">
        <w:rPr>
          <w:rFonts w:ascii="Arial" w:hAnsi="Arial" w:cs="Arial"/>
        </w:rPr>
        <w:t xml:space="preserve"> ticker values </w:t>
      </w:r>
      <w:r w:rsidRPr="003314DE">
        <w:rPr>
          <w:rFonts w:ascii="Arial" w:hAnsi="Arial" w:cs="Arial"/>
        </w:rPr>
        <w:t>portrayed</w:t>
      </w:r>
      <w:r w:rsidR="00EF2BF2" w:rsidRPr="003314DE">
        <w:rPr>
          <w:rFonts w:ascii="Arial" w:hAnsi="Arial" w:cs="Arial"/>
        </w:rPr>
        <w:t xml:space="preserve"> a </w:t>
      </w:r>
      <w:r w:rsidR="00002D20" w:rsidRPr="003314DE">
        <w:rPr>
          <w:rFonts w:ascii="Arial" w:hAnsi="Arial" w:cs="Arial"/>
        </w:rPr>
        <w:t>negative growth</w:t>
      </w:r>
      <w:r w:rsidR="00EF2BF2" w:rsidRPr="003314DE">
        <w:rPr>
          <w:rFonts w:ascii="Arial" w:hAnsi="Arial" w:cs="Arial"/>
        </w:rPr>
        <w:t xml:space="preserve"> </w:t>
      </w:r>
      <w:r w:rsidRPr="003314DE">
        <w:rPr>
          <w:rFonts w:ascii="Arial" w:hAnsi="Arial" w:cs="Arial"/>
        </w:rPr>
        <w:t>outlook</w:t>
      </w:r>
      <w:r w:rsidR="00002D20" w:rsidRPr="003314DE">
        <w:rPr>
          <w:rFonts w:ascii="Arial" w:hAnsi="Arial" w:cs="Arial"/>
        </w:rPr>
        <w:t xml:space="preserve"> </w:t>
      </w:r>
      <w:r w:rsidR="00EF2BF2" w:rsidRPr="003314DE">
        <w:rPr>
          <w:rFonts w:ascii="Arial" w:hAnsi="Arial" w:cs="Arial"/>
        </w:rPr>
        <w:t xml:space="preserve">for </w:t>
      </w:r>
      <w:r w:rsidRPr="003314DE">
        <w:rPr>
          <w:rFonts w:ascii="Arial" w:hAnsi="Arial" w:cs="Arial"/>
        </w:rPr>
        <w:t>the</w:t>
      </w:r>
      <w:r w:rsidR="00EF2BF2" w:rsidRPr="003314DE">
        <w:rPr>
          <w:rFonts w:ascii="Arial" w:hAnsi="Arial" w:cs="Arial"/>
        </w:rPr>
        <w:t xml:space="preserve"> 90 day period</w:t>
      </w:r>
      <w:r w:rsidR="008A2343" w:rsidRPr="003314DE">
        <w:rPr>
          <w:rFonts w:ascii="Arial" w:hAnsi="Arial" w:cs="Arial"/>
        </w:rPr>
        <w:t xml:space="preserve"> for all tickers.</w:t>
      </w:r>
      <w:r w:rsidR="00EF2BF2" w:rsidRPr="003314DE">
        <w:rPr>
          <w:rFonts w:ascii="Arial" w:hAnsi="Arial" w:cs="Arial"/>
        </w:rPr>
        <w:t xml:space="preserve"> In comparing this observation with the actual data between Jan 2017 – March 2017, it was validated that the negative growth </w:t>
      </w:r>
      <w:r w:rsidR="00FD1595" w:rsidRPr="003314DE">
        <w:rPr>
          <w:rFonts w:ascii="Arial" w:hAnsi="Arial" w:cs="Arial"/>
        </w:rPr>
        <w:t xml:space="preserve">outlook </w:t>
      </w:r>
      <w:r w:rsidR="00F4334F" w:rsidRPr="003314DE">
        <w:rPr>
          <w:rFonts w:ascii="Arial" w:hAnsi="Arial" w:cs="Arial"/>
        </w:rPr>
        <w:t>forecasted was in sync with</w:t>
      </w:r>
      <w:r w:rsidR="00FD1595" w:rsidRPr="003314DE">
        <w:rPr>
          <w:rFonts w:ascii="Arial" w:hAnsi="Arial" w:cs="Arial"/>
        </w:rPr>
        <w:t xml:space="preserve"> the actual performance of the tickers in the sense tha</w:t>
      </w:r>
      <w:r w:rsidR="00F4334F" w:rsidRPr="003314DE">
        <w:rPr>
          <w:rFonts w:ascii="Arial" w:hAnsi="Arial" w:cs="Arial"/>
        </w:rPr>
        <w:t xml:space="preserve">t the value of all ticker prices </w:t>
      </w:r>
      <w:r w:rsidR="00281BBF" w:rsidRPr="003314DE">
        <w:rPr>
          <w:rFonts w:ascii="Arial" w:hAnsi="Arial" w:cs="Arial"/>
        </w:rPr>
        <w:t xml:space="preserve">dropped </w:t>
      </w:r>
      <w:r w:rsidR="003706AB" w:rsidRPr="003314DE">
        <w:rPr>
          <w:rFonts w:ascii="Arial" w:hAnsi="Arial" w:cs="Arial"/>
        </w:rPr>
        <w:t xml:space="preserve">as of March 31 2017, when compared to Jan 1 2017. </w:t>
      </w:r>
    </w:p>
    <w:p w:rsidR="00FD1595" w:rsidRPr="003314DE" w:rsidRDefault="00FD1595" w:rsidP="00FD5936">
      <w:pPr>
        <w:jc w:val="both"/>
        <w:rPr>
          <w:rFonts w:ascii="Arial" w:hAnsi="Arial" w:cs="Arial"/>
        </w:rPr>
      </w:pPr>
      <w:r w:rsidRPr="003314DE">
        <w:rPr>
          <w:rFonts w:ascii="Arial" w:hAnsi="Arial" w:cs="Arial"/>
          <w:noProof/>
        </w:rPr>
        <w:drawing>
          <wp:inline distT="0" distB="0" distL="0" distR="0" wp14:anchorId="5EEDF7B0" wp14:editId="5E5BD574">
            <wp:extent cx="5943600" cy="53784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7845"/>
                    </a:xfrm>
                    <a:prstGeom prst="rect">
                      <a:avLst/>
                    </a:prstGeom>
                  </pic:spPr>
                </pic:pic>
              </a:graphicData>
            </a:graphic>
          </wp:inline>
        </w:drawing>
      </w:r>
    </w:p>
    <w:p w:rsidR="008A2343" w:rsidRDefault="00CD44F0" w:rsidP="00FD5936">
      <w:pPr>
        <w:jc w:val="both"/>
        <w:rPr>
          <w:rFonts w:ascii="Arial" w:hAnsi="Arial" w:cs="Arial"/>
        </w:rPr>
      </w:pPr>
      <w:r>
        <w:rPr>
          <w:rFonts w:ascii="Arial" w:hAnsi="Arial" w:cs="Arial"/>
        </w:rPr>
        <w:t>In comparing the forecasted vs actual range for all tickers it was found that the forecasted ranges for funds VSCIX, VASVX, LSBDX and VIPSX resembled closely to the actual and therefore were best fitted by the ARIMA models.</w:t>
      </w:r>
    </w:p>
    <w:p w:rsidR="000B4166" w:rsidRDefault="000C15AE" w:rsidP="00FD5936">
      <w:pPr>
        <w:jc w:val="both"/>
        <w:rPr>
          <w:rFonts w:ascii="Arial" w:hAnsi="Arial" w:cs="Arial"/>
        </w:rPr>
      </w:pPr>
      <w:r>
        <w:rPr>
          <w:noProof/>
        </w:rPr>
        <w:drawing>
          <wp:inline distT="0" distB="0" distL="0" distR="0" wp14:anchorId="252C4EA7" wp14:editId="429898D7">
            <wp:extent cx="5943600" cy="1808480"/>
            <wp:effectExtent l="0" t="0" r="0" b="1270"/>
            <wp:docPr id="127" name="Chart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166" w:rsidRDefault="000B4166" w:rsidP="00FD5936">
      <w:pPr>
        <w:jc w:val="both"/>
        <w:rPr>
          <w:rFonts w:ascii="Arial" w:hAnsi="Arial" w:cs="Arial"/>
        </w:rPr>
      </w:pPr>
    </w:p>
    <w:p w:rsidR="000B4166" w:rsidRDefault="000B4166" w:rsidP="00FD5936">
      <w:pPr>
        <w:jc w:val="both"/>
        <w:rPr>
          <w:rFonts w:ascii="Arial" w:hAnsi="Arial" w:cs="Arial"/>
        </w:rPr>
      </w:pPr>
    </w:p>
    <w:p w:rsidR="000B4166" w:rsidRDefault="000B4166" w:rsidP="00FD5936">
      <w:pPr>
        <w:jc w:val="both"/>
        <w:rPr>
          <w:rFonts w:ascii="Arial" w:hAnsi="Arial" w:cs="Arial"/>
        </w:rPr>
      </w:pPr>
    </w:p>
    <w:p w:rsidR="000B4166" w:rsidRDefault="000B4166" w:rsidP="00FD5936">
      <w:pPr>
        <w:jc w:val="both"/>
        <w:rPr>
          <w:rFonts w:ascii="Arial" w:hAnsi="Arial" w:cs="Arial"/>
        </w:rPr>
      </w:pPr>
    </w:p>
    <w:p w:rsidR="000B4166" w:rsidRDefault="000B4166" w:rsidP="00FD5936">
      <w:pPr>
        <w:jc w:val="both"/>
        <w:rPr>
          <w:rFonts w:ascii="Arial" w:hAnsi="Arial" w:cs="Arial"/>
        </w:rPr>
      </w:pPr>
    </w:p>
    <w:p w:rsidR="000B4166" w:rsidRDefault="000B4166" w:rsidP="00FD5936">
      <w:pPr>
        <w:jc w:val="both"/>
        <w:rPr>
          <w:rFonts w:ascii="Arial" w:hAnsi="Arial" w:cs="Arial"/>
        </w:rPr>
      </w:pPr>
    </w:p>
    <w:p w:rsidR="000B4166" w:rsidRDefault="000B4166" w:rsidP="00FD5936">
      <w:pPr>
        <w:jc w:val="both"/>
        <w:rPr>
          <w:rFonts w:ascii="Arial" w:hAnsi="Arial" w:cs="Arial"/>
        </w:rPr>
      </w:pPr>
    </w:p>
    <w:p w:rsidR="00FB592A" w:rsidRDefault="00D61023" w:rsidP="00FD5936">
      <w:pPr>
        <w:pStyle w:val="Heading2"/>
        <w:jc w:val="both"/>
        <w:rPr>
          <w:rFonts w:ascii="Arial" w:hAnsi="Arial" w:cs="Arial"/>
        </w:rPr>
      </w:pPr>
      <w:bookmarkStart w:id="17" w:name="_Toc480730596"/>
      <w:bookmarkStart w:id="18" w:name="_GoBack"/>
      <w:bookmarkEnd w:id="18"/>
      <w:r w:rsidRPr="003314DE">
        <w:rPr>
          <w:rFonts w:ascii="Arial" w:hAnsi="Arial" w:cs="Arial"/>
        </w:rPr>
        <w:lastRenderedPageBreak/>
        <w:t>Appendix</w:t>
      </w:r>
      <w:bookmarkEnd w:id="17"/>
    </w:p>
    <w:p w:rsidR="00803B82" w:rsidRDefault="00803B82" w:rsidP="00803B82">
      <w:pPr>
        <w:pStyle w:val="ListParagraph"/>
        <w:numPr>
          <w:ilvl w:val="0"/>
          <w:numId w:val="6"/>
        </w:numPr>
      </w:pPr>
      <w:r>
        <w:t>Linear Regression Diagnostics</w:t>
      </w:r>
    </w:p>
    <w:p w:rsidR="00803B82" w:rsidRPr="00803B82" w:rsidRDefault="00803B82" w:rsidP="00803B82">
      <w:pPr>
        <w:ind w:left="360"/>
        <w:jc w:val="both"/>
        <w:rPr>
          <w:rFonts w:ascii="Arial" w:hAnsi="Arial" w:cs="Arial"/>
          <w:noProof/>
        </w:rPr>
      </w:pPr>
    </w:p>
    <w:p w:rsidR="00803B82" w:rsidRPr="00803B82" w:rsidRDefault="00803B82" w:rsidP="00803B82">
      <w:pPr>
        <w:ind w:left="360"/>
        <w:jc w:val="both"/>
        <w:rPr>
          <w:rFonts w:ascii="Arial" w:hAnsi="Arial" w:cs="Arial"/>
        </w:rPr>
      </w:pPr>
      <w:r w:rsidRPr="003314DE">
        <w:rPr>
          <w:noProof/>
        </w:rPr>
        <w:drawing>
          <wp:inline distT="0" distB="0" distL="0" distR="0" wp14:anchorId="5052C4BB" wp14:editId="1252138D">
            <wp:extent cx="2912110" cy="1826292"/>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9071" cy="1862015"/>
                    </a:xfrm>
                    <a:prstGeom prst="rect">
                      <a:avLst/>
                    </a:prstGeom>
                  </pic:spPr>
                </pic:pic>
              </a:graphicData>
            </a:graphic>
          </wp:inline>
        </w:drawing>
      </w:r>
      <w:r w:rsidRPr="003314DE">
        <w:rPr>
          <w:noProof/>
        </w:rPr>
        <w:drawing>
          <wp:inline distT="0" distB="0" distL="0" distR="0" wp14:anchorId="71C4C4FD" wp14:editId="24C603AA">
            <wp:extent cx="254000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5904" cy="1909428"/>
                    </a:xfrm>
                    <a:prstGeom prst="rect">
                      <a:avLst/>
                    </a:prstGeom>
                  </pic:spPr>
                </pic:pic>
              </a:graphicData>
            </a:graphic>
          </wp:inline>
        </w:drawing>
      </w:r>
    </w:p>
    <w:p w:rsidR="00D61023" w:rsidRPr="00BB0730" w:rsidRDefault="00C12821" w:rsidP="00FD5936">
      <w:pPr>
        <w:pStyle w:val="ListParagraph"/>
        <w:numPr>
          <w:ilvl w:val="0"/>
          <w:numId w:val="6"/>
        </w:numPr>
        <w:jc w:val="both"/>
        <w:rPr>
          <w:rFonts w:ascii="Arial" w:hAnsi="Arial" w:cs="Arial"/>
        </w:rPr>
      </w:pPr>
      <w:r w:rsidRPr="00BB0730">
        <w:rPr>
          <w:rFonts w:ascii="Arial" w:hAnsi="Arial" w:cs="Arial"/>
        </w:rPr>
        <w:t xml:space="preserve">ACF and PACF Plots </w:t>
      </w:r>
      <w:r w:rsidR="00BB0730" w:rsidRPr="00BB0730">
        <w:rPr>
          <w:rFonts w:ascii="Arial" w:hAnsi="Arial" w:cs="Arial"/>
        </w:rPr>
        <w:t>of all Ticker Symbols</w:t>
      </w:r>
    </w:p>
    <w:p w:rsidR="00C12821" w:rsidRPr="003314DE" w:rsidRDefault="00C12821" w:rsidP="00FD5936">
      <w:pPr>
        <w:ind w:left="1440" w:firstLine="720"/>
        <w:jc w:val="both"/>
        <w:rPr>
          <w:rFonts w:ascii="Arial" w:hAnsi="Arial" w:cs="Arial"/>
        </w:rPr>
      </w:pPr>
      <w:r w:rsidRPr="003314DE">
        <w:rPr>
          <w:rFonts w:ascii="Arial" w:hAnsi="Arial" w:cs="Arial"/>
        </w:rPr>
        <w:t>VIGIX</w:t>
      </w:r>
      <w:r w:rsidRPr="003314DE">
        <w:rPr>
          <w:rFonts w:ascii="Arial" w:hAnsi="Arial" w:cs="Arial"/>
        </w:rPr>
        <w:tab/>
      </w:r>
      <w:r w:rsidRPr="003314DE">
        <w:rPr>
          <w:rFonts w:ascii="Arial" w:hAnsi="Arial" w:cs="Arial"/>
        </w:rPr>
        <w:tab/>
      </w:r>
      <w:r w:rsidRPr="003314DE">
        <w:rPr>
          <w:rFonts w:ascii="Arial" w:hAnsi="Arial" w:cs="Arial"/>
        </w:rPr>
        <w:tab/>
      </w:r>
      <w:r w:rsidRPr="003314DE">
        <w:rPr>
          <w:rFonts w:ascii="Arial" w:hAnsi="Arial" w:cs="Arial"/>
        </w:rPr>
        <w:tab/>
      </w:r>
      <w:r w:rsidRPr="003314DE">
        <w:rPr>
          <w:rFonts w:ascii="Arial" w:hAnsi="Arial" w:cs="Arial"/>
        </w:rPr>
        <w:tab/>
      </w:r>
      <w:r w:rsidRPr="003314DE">
        <w:rPr>
          <w:rFonts w:ascii="Arial" w:hAnsi="Arial" w:cs="Arial"/>
        </w:rPr>
        <w:tab/>
        <w:t xml:space="preserve">    SWPPX</w:t>
      </w:r>
    </w:p>
    <w:p w:rsidR="00C12821" w:rsidRPr="003314DE" w:rsidRDefault="00C12821" w:rsidP="00FD5936">
      <w:pPr>
        <w:jc w:val="both"/>
        <w:rPr>
          <w:rFonts w:ascii="Arial" w:hAnsi="Arial" w:cs="Arial"/>
        </w:rPr>
      </w:pPr>
      <w:r w:rsidRPr="003314DE">
        <w:rPr>
          <w:rFonts w:ascii="Arial" w:hAnsi="Arial" w:cs="Arial"/>
          <w:noProof/>
        </w:rPr>
        <w:drawing>
          <wp:inline distT="0" distB="0" distL="0" distR="0" wp14:anchorId="48722EDC" wp14:editId="5F7C7EB1">
            <wp:extent cx="2898856" cy="134815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9786" cy="1353237"/>
                    </a:xfrm>
                    <a:prstGeom prst="rect">
                      <a:avLst/>
                    </a:prstGeom>
                  </pic:spPr>
                </pic:pic>
              </a:graphicData>
            </a:graphic>
          </wp:inline>
        </w:drawing>
      </w:r>
      <w:r w:rsidRPr="003314DE">
        <w:rPr>
          <w:rFonts w:ascii="Arial" w:hAnsi="Arial" w:cs="Arial"/>
        </w:rPr>
        <w:t xml:space="preserve"> </w:t>
      </w:r>
      <w:r w:rsidRPr="003314DE">
        <w:rPr>
          <w:rFonts w:ascii="Arial" w:hAnsi="Arial" w:cs="Arial"/>
          <w:noProof/>
        </w:rPr>
        <w:drawing>
          <wp:inline distT="0" distB="0" distL="0" distR="0" wp14:anchorId="46154529" wp14:editId="390B0F36">
            <wp:extent cx="2849917" cy="135401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3766" cy="1374848"/>
                    </a:xfrm>
                    <a:prstGeom prst="rect">
                      <a:avLst/>
                    </a:prstGeom>
                  </pic:spPr>
                </pic:pic>
              </a:graphicData>
            </a:graphic>
          </wp:inline>
        </w:drawing>
      </w:r>
    </w:p>
    <w:p w:rsidR="00C12821" w:rsidRPr="003314DE" w:rsidRDefault="00C12821" w:rsidP="00FD5936">
      <w:pPr>
        <w:jc w:val="both"/>
        <w:rPr>
          <w:rFonts w:ascii="Arial" w:hAnsi="Arial" w:cs="Arial"/>
          <w:noProof/>
        </w:rPr>
      </w:pPr>
      <w:r w:rsidRPr="003314DE">
        <w:rPr>
          <w:rFonts w:ascii="Arial" w:hAnsi="Arial" w:cs="Arial"/>
          <w:noProof/>
        </w:rPr>
        <w:tab/>
      </w:r>
      <w:r w:rsidRPr="003314DE">
        <w:rPr>
          <w:rFonts w:ascii="Arial" w:hAnsi="Arial" w:cs="Arial"/>
          <w:noProof/>
        </w:rPr>
        <w:tab/>
      </w:r>
      <w:r w:rsidRPr="003314DE">
        <w:rPr>
          <w:rFonts w:ascii="Arial" w:hAnsi="Arial" w:cs="Arial"/>
          <w:noProof/>
        </w:rPr>
        <w:tab/>
        <w:t>RFNGX</w:t>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t xml:space="preserve">    VASVX</w:t>
      </w:r>
    </w:p>
    <w:p w:rsidR="00C12821" w:rsidRDefault="00C12821" w:rsidP="00FD5936">
      <w:pPr>
        <w:jc w:val="both"/>
        <w:rPr>
          <w:rFonts w:ascii="Arial" w:hAnsi="Arial" w:cs="Arial"/>
          <w:noProof/>
        </w:rPr>
      </w:pPr>
      <w:r w:rsidRPr="003314DE">
        <w:rPr>
          <w:rFonts w:ascii="Arial" w:hAnsi="Arial" w:cs="Arial"/>
          <w:noProof/>
        </w:rPr>
        <w:drawing>
          <wp:inline distT="0" distB="0" distL="0" distR="0" wp14:anchorId="785351DF" wp14:editId="2F78CE40">
            <wp:extent cx="2898775" cy="139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0708" cy="1405123"/>
                    </a:xfrm>
                    <a:prstGeom prst="rect">
                      <a:avLst/>
                    </a:prstGeom>
                  </pic:spPr>
                </pic:pic>
              </a:graphicData>
            </a:graphic>
          </wp:inline>
        </w:drawing>
      </w:r>
      <w:r w:rsidRPr="003314DE">
        <w:rPr>
          <w:rFonts w:ascii="Arial" w:hAnsi="Arial" w:cs="Arial"/>
          <w:noProof/>
        </w:rPr>
        <w:t xml:space="preserve"> </w:t>
      </w:r>
      <w:r w:rsidRPr="003314DE">
        <w:rPr>
          <w:rFonts w:ascii="Arial" w:hAnsi="Arial" w:cs="Arial"/>
          <w:noProof/>
        </w:rPr>
        <w:drawing>
          <wp:inline distT="0" distB="0" distL="0" distR="0" wp14:anchorId="488D3901" wp14:editId="6CD0A757">
            <wp:extent cx="2883877" cy="1355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2391" cy="1392894"/>
                    </a:xfrm>
                    <a:prstGeom prst="rect">
                      <a:avLst/>
                    </a:prstGeom>
                  </pic:spPr>
                </pic:pic>
              </a:graphicData>
            </a:graphic>
          </wp:inline>
        </w:drawing>
      </w:r>
    </w:p>
    <w:p w:rsidR="0060124D" w:rsidRDefault="0060124D" w:rsidP="00FD5936">
      <w:pPr>
        <w:jc w:val="both"/>
        <w:rPr>
          <w:rFonts w:ascii="Arial" w:hAnsi="Arial" w:cs="Arial"/>
          <w:noProof/>
        </w:rPr>
      </w:pPr>
    </w:p>
    <w:p w:rsidR="0060124D" w:rsidRDefault="0060124D" w:rsidP="00FD5936">
      <w:pPr>
        <w:jc w:val="both"/>
        <w:rPr>
          <w:rFonts w:ascii="Arial" w:hAnsi="Arial" w:cs="Arial"/>
          <w:noProof/>
        </w:rPr>
      </w:pPr>
    </w:p>
    <w:p w:rsidR="0060124D" w:rsidRDefault="0060124D" w:rsidP="00FD5936">
      <w:pPr>
        <w:jc w:val="both"/>
        <w:rPr>
          <w:rFonts w:ascii="Arial" w:hAnsi="Arial" w:cs="Arial"/>
          <w:noProof/>
        </w:rPr>
      </w:pPr>
    </w:p>
    <w:p w:rsidR="0060124D" w:rsidRDefault="0060124D" w:rsidP="00FD5936">
      <w:pPr>
        <w:jc w:val="both"/>
        <w:rPr>
          <w:rFonts w:ascii="Arial" w:hAnsi="Arial" w:cs="Arial"/>
          <w:noProof/>
        </w:rPr>
      </w:pPr>
    </w:p>
    <w:p w:rsidR="0060124D" w:rsidRPr="003314DE" w:rsidRDefault="0060124D" w:rsidP="00FD5936">
      <w:pPr>
        <w:jc w:val="both"/>
        <w:rPr>
          <w:rFonts w:ascii="Arial" w:hAnsi="Arial" w:cs="Arial"/>
          <w:noProof/>
        </w:rPr>
      </w:pPr>
    </w:p>
    <w:p w:rsidR="00C12821" w:rsidRPr="003314DE" w:rsidRDefault="00C12821" w:rsidP="00FD5936">
      <w:pPr>
        <w:jc w:val="both"/>
        <w:rPr>
          <w:rFonts w:ascii="Arial" w:hAnsi="Arial" w:cs="Arial"/>
          <w:noProof/>
        </w:rPr>
      </w:pPr>
      <w:r w:rsidRPr="003314DE">
        <w:rPr>
          <w:rFonts w:ascii="Arial" w:hAnsi="Arial" w:cs="Arial"/>
          <w:noProof/>
        </w:rPr>
        <w:tab/>
      </w:r>
      <w:r w:rsidRPr="003314DE">
        <w:rPr>
          <w:rFonts w:ascii="Arial" w:hAnsi="Arial" w:cs="Arial"/>
          <w:noProof/>
        </w:rPr>
        <w:tab/>
      </w:r>
      <w:r w:rsidRPr="003314DE">
        <w:rPr>
          <w:rFonts w:ascii="Arial" w:hAnsi="Arial" w:cs="Arial"/>
          <w:noProof/>
        </w:rPr>
        <w:tab/>
        <w:t>VSGIX</w:t>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t xml:space="preserve">       VSCIX</w:t>
      </w:r>
      <w:r w:rsidRPr="003314DE">
        <w:rPr>
          <w:rFonts w:ascii="Arial" w:hAnsi="Arial" w:cs="Arial"/>
          <w:noProof/>
        </w:rPr>
        <w:tab/>
      </w:r>
    </w:p>
    <w:p w:rsidR="00C12821" w:rsidRPr="003314DE" w:rsidRDefault="00C12821" w:rsidP="00FD5936">
      <w:pPr>
        <w:jc w:val="both"/>
        <w:rPr>
          <w:rFonts w:ascii="Arial" w:hAnsi="Arial" w:cs="Arial"/>
          <w:noProof/>
        </w:rPr>
      </w:pPr>
      <w:r w:rsidRPr="003314DE">
        <w:rPr>
          <w:rFonts w:ascii="Arial" w:hAnsi="Arial" w:cs="Arial"/>
          <w:noProof/>
        </w:rPr>
        <w:lastRenderedPageBreak/>
        <w:drawing>
          <wp:inline distT="0" distB="0" distL="0" distR="0" wp14:anchorId="1BB0957E" wp14:editId="6063B101">
            <wp:extent cx="2907323" cy="135768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0478" cy="1368496"/>
                    </a:xfrm>
                    <a:prstGeom prst="rect">
                      <a:avLst/>
                    </a:prstGeom>
                  </pic:spPr>
                </pic:pic>
              </a:graphicData>
            </a:graphic>
          </wp:inline>
        </w:drawing>
      </w:r>
      <w:r w:rsidRPr="003314DE">
        <w:rPr>
          <w:rFonts w:ascii="Arial" w:hAnsi="Arial" w:cs="Arial"/>
          <w:noProof/>
        </w:rPr>
        <w:t xml:space="preserve"> </w:t>
      </w:r>
      <w:r w:rsidRPr="003314DE">
        <w:rPr>
          <w:rFonts w:ascii="Arial" w:hAnsi="Arial" w:cs="Arial"/>
          <w:noProof/>
        </w:rPr>
        <w:drawing>
          <wp:inline distT="0" distB="0" distL="0" distR="0" wp14:anchorId="6B8A4FF9" wp14:editId="342AF0C7">
            <wp:extent cx="2930769" cy="1347966"/>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4113" cy="1386299"/>
                    </a:xfrm>
                    <a:prstGeom prst="rect">
                      <a:avLst/>
                    </a:prstGeom>
                  </pic:spPr>
                </pic:pic>
              </a:graphicData>
            </a:graphic>
          </wp:inline>
        </w:drawing>
      </w:r>
    </w:p>
    <w:p w:rsidR="00C12821" w:rsidRPr="003314DE" w:rsidRDefault="00C12821" w:rsidP="00FD5936">
      <w:pPr>
        <w:jc w:val="both"/>
        <w:rPr>
          <w:rFonts w:ascii="Arial" w:hAnsi="Arial" w:cs="Arial"/>
          <w:noProof/>
        </w:rPr>
      </w:pPr>
      <w:r w:rsidRPr="003314DE">
        <w:rPr>
          <w:rFonts w:ascii="Arial" w:hAnsi="Arial" w:cs="Arial"/>
          <w:noProof/>
        </w:rPr>
        <w:tab/>
      </w:r>
      <w:r w:rsidRPr="003314DE">
        <w:rPr>
          <w:rFonts w:ascii="Arial" w:hAnsi="Arial" w:cs="Arial"/>
          <w:noProof/>
        </w:rPr>
        <w:tab/>
      </w:r>
      <w:r w:rsidRPr="003314DE">
        <w:rPr>
          <w:rFonts w:ascii="Arial" w:hAnsi="Arial" w:cs="Arial"/>
          <w:noProof/>
        </w:rPr>
        <w:tab/>
        <w:t>CSRIX</w:t>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t xml:space="preserve">      SWISX</w:t>
      </w:r>
      <w:r w:rsidRPr="003314DE">
        <w:rPr>
          <w:rFonts w:ascii="Arial" w:hAnsi="Arial" w:cs="Arial"/>
          <w:noProof/>
        </w:rPr>
        <w:tab/>
      </w:r>
    </w:p>
    <w:p w:rsidR="00C12821" w:rsidRPr="003314DE" w:rsidRDefault="00C12821" w:rsidP="00FD5936">
      <w:pPr>
        <w:jc w:val="both"/>
        <w:rPr>
          <w:rFonts w:ascii="Arial" w:hAnsi="Arial" w:cs="Arial"/>
          <w:noProof/>
        </w:rPr>
      </w:pPr>
      <w:r w:rsidRPr="003314DE">
        <w:rPr>
          <w:rFonts w:ascii="Arial" w:hAnsi="Arial" w:cs="Arial"/>
          <w:noProof/>
        </w:rPr>
        <w:drawing>
          <wp:inline distT="0" distB="0" distL="0" distR="0" wp14:anchorId="6E63DCBB" wp14:editId="0817D4FE">
            <wp:extent cx="2930769" cy="1387732"/>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8296" cy="1405501"/>
                    </a:xfrm>
                    <a:prstGeom prst="rect">
                      <a:avLst/>
                    </a:prstGeom>
                  </pic:spPr>
                </pic:pic>
              </a:graphicData>
            </a:graphic>
          </wp:inline>
        </w:drawing>
      </w:r>
      <w:r w:rsidRPr="003314DE">
        <w:rPr>
          <w:rFonts w:ascii="Arial" w:hAnsi="Arial" w:cs="Arial"/>
          <w:noProof/>
        </w:rPr>
        <w:t xml:space="preserve"> </w:t>
      </w:r>
      <w:r w:rsidRPr="003314DE">
        <w:rPr>
          <w:rFonts w:ascii="Arial" w:hAnsi="Arial" w:cs="Arial"/>
          <w:noProof/>
        </w:rPr>
        <w:drawing>
          <wp:inline distT="0" distB="0" distL="0" distR="0" wp14:anchorId="1552CCD9" wp14:editId="248959A1">
            <wp:extent cx="2927081" cy="13716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9837" cy="1377577"/>
                    </a:xfrm>
                    <a:prstGeom prst="rect">
                      <a:avLst/>
                    </a:prstGeom>
                  </pic:spPr>
                </pic:pic>
              </a:graphicData>
            </a:graphic>
          </wp:inline>
        </w:drawing>
      </w:r>
    </w:p>
    <w:p w:rsidR="00C12821" w:rsidRPr="003314DE" w:rsidRDefault="00C12821" w:rsidP="00FD5936">
      <w:pPr>
        <w:jc w:val="both"/>
        <w:rPr>
          <w:rFonts w:ascii="Arial" w:hAnsi="Arial" w:cs="Arial"/>
          <w:noProof/>
        </w:rPr>
      </w:pPr>
      <w:r w:rsidRPr="003314DE">
        <w:rPr>
          <w:rFonts w:ascii="Arial" w:hAnsi="Arial" w:cs="Arial"/>
          <w:noProof/>
        </w:rPr>
        <w:tab/>
      </w:r>
      <w:r w:rsidRPr="003314DE">
        <w:rPr>
          <w:rFonts w:ascii="Arial" w:hAnsi="Arial" w:cs="Arial"/>
          <w:noProof/>
        </w:rPr>
        <w:tab/>
      </w:r>
      <w:r w:rsidRPr="003314DE">
        <w:rPr>
          <w:rFonts w:ascii="Arial" w:hAnsi="Arial" w:cs="Arial"/>
          <w:noProof/>
        </w:rPr>
        <w:tab/>
        <w:t>RERGX</w:t>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t xml:space="preserve">       DFEMX</w:t>
      </w:r>
      <w:r w:rsidRPr="003314DE">
        <w:rPr>
          <w:rFonts w:ascii="Arial" w:hAnsi="Arial" w:cs="Arial"/>
          <w:noProof/>
        </w:rPr>
        <w:tab/>
      </w:r>
    </w:p>
    <w:p w:rsidR="00C12821" w:rsidRPr="003314DE" w:rsidRDefault="00C12821" w:rsidP="00FD5936">
      <w:pPr>
        <w:jc w:val="both"/>
        <w:rPr>
          <w:rFonts w:ascii="Arial" w:hAnsi="Arial" w:cs="Arial"/>
          <w:noProof/>
        </w:rPr>
      </w:pPr>
      <w:r w:rsidRPr="003314DE">
        <w:rPr>
          <w:rFonts w:ascii="Arial" w:hAnsi="Arial" w:cs="Arial"/>
          <w:noProof/>
        </w:rPr>
        <w:drawing>
          <wp:inline distT="0" distB="0" distL="0" distR="0" wp14:anchorId="44404330" wp14:editId="705E7023">
            <wp:extent cx="2951934" cy="1400907"/>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0071" cy="1414260"/>
                    </a:xfrm>
                    <a:prstGeom prst="rect">
                      <a:avLst/>
                    </a:prstGeom>
                  </pic:spPr>
                </pic:pic>
              </a:graphicData>
            </a:graphic>
          </wp:inline>
        </w:drawing>
      </w:r>
      <w:r w:rsidRPr="003314DE">
        <w:rPr>
          <w:rFonts w:ascii="Arial" w:hAnsi="Arial" w:cs="Arial"/>
          <w:noProof/>
        </w:rPr>
        <w:t xml:space="preserve"> </w:t>
      </w:r>
      <w:r w:rsidRPr="003314DE">
        <w:rPr>
          <w:rFonts w:ascii="Arial" w:hAnsi="Arial" w:cs="Arial"/>
          <w:noProof/>
        </w:rPr>
        <w:drawing>
          <wp:inline distT="0" distB="0" distL="0" distR="0" wp14:anchorId="7200D789" wp14:editId="2559A778">
            <wp:extent cx="2952601" cy="1400908"/>
            <wp:effectExtent l="0" t="0" r="63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3285" cy="1415467"/>
                    </a:xfrm>
                    <a:prstGeom prst="rect">
                      <a:avLst/>
                    </a:prstGeom>
                  </pic:spPr>
                </pic:pic>
              </a:graphicData>
            </a:graphic>
          </wp:inline>
        </w:drawing>
      </w:r>
    </w:p>
    <w:p w:rsidR="00C12821" w:rsidRPr="003314DE" w:rsidRDefault="00C12821" w:rsidP="00FD5936">
      <w:pPr>
        <w:jc w:val="both"/>
        <w:rPr>
          <w:rFonts w:ascii="Arial" w:hAnsi="Arial" w:cs="Arial"/>
          <w:noProof/>
        </w:rPr>
      </w:pPr>
      <w:r w:rsidRPr="003314DE">
        <w:rPr>
          <w:rFonts w:ascii="Arial" w:hAnsi="Arial" w:cs="Arial"/>
          <w:noProof/>
        </w:rPr>
        <w:tab/>
      </w:r>
      <w:r w:rsidRPr="003314DE">
        <w:rPr>
          <w:rFonts w:ascii="Arial" w:hAnsi="Arial" w:cs="Arial"/>
          <w:noProof/>
        </w:rPr>
        <w:tab/>
      </w:r>
      <w:r w:rsidRPr="003314DE">
        <w:rPr>
          <w:rFonts w:ascii="Arial" w:hAnsi="Arial" w:cs="Arial"/>
          <w:noProof/>
        </w:rPr>
        <w:tab/>
        <w:t>DEMSX</w:t>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t xml:space="preserve">       LSBDX</w:t>
      </w:r>
    </w:p>
    <w:p w:rsidR="00C12821" w:rsidRDefault="00C12821" w:rsidP="00FD5936">
      <w:pPr>
        <w:jc w:val="both"/>
        <w:rPr>
          <w:rFonts w:ascii="Arial" w:hAnsi="Arial" w:cs="Arial"/>
          <w:noProof/>
        </w:rPr>
      </w:pPr>
      <w:r w:rsidRPr="003314DE">
        <w:rPr>
          <w:rFonts w:ascii="Arial" w:hAnsi="Arial" w:cs="Arial"/>
          <w:noProof/>
        </w:rPr>
        <w:drawing>
          <wp:inline distT="0" distB="0" distL="0" distR="0" wp14:anchorId="7B7A7471" wp14:editId="23D208B1">
            <wp:extent cx="2963602" cy="139504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5760" cy="1405476"/>
                    </a:xfrm>
                    <a:prstGeom prst="rect">
                      <a:avLst/>
                    </a:prstGeom>
                  </pic:spPr>
                </pic:pic>
              </a:graphicData>
            </a:graphic>
          </wp:inline>
        </w:drawing>
      </w:r>
      <w:r w:rsidRPr="003314DE">
        <w:rPr>
          <w:rFonts w:ascii="Arial" w:hAnsi="Arial" w:cs="Arial"/>
          <w:noProof/>
        </w:rPr>
        <w:t xml:space="preserve"> </w:t>
      </w:r>
      <w:r w:rsidRPr="003314DE">
        <w:rPr>
          <w:rFonts w:ascii="Arial" w:hAnsi="Arial" w:cs="Arial"/>
          <w:noProof/>
        </w:rPr>
        <w:drawing>
          <wp:inline distT="0" distB="0" distL="0" distR="0" wp14:anchorId="4BA428AB" wp14:editId="73B91510">
            <wp:extent cx="2842846" cy="132575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2582" cy="1339617"/>
                    </a:xfrm>
                    <a:prstGeom prst="rect">
                      <a:avLst/>
                    </a:prstGeom>
                  </pic:spPr>
                </pic:pic>
              </a:graphicData>
            </a:graphic>
          </wp:inline>
        </w:drawing>
      </w:r>
    </w:p>
    <w:p w:rsidR="00FD4171" w:rsidRDefault="00FD4171" w:rsidP="00FD5936">
      <w:pPr>
        <w:jc w:val="both"/>
        <w:rPr>
          <w:rFonts w:ascii="Arial" w:hAnsi="Arial" w:cs="Arial"/>
          <w:noProof/>
        </w:rPr>
      </w:pPr>
    </w:p>
    <w:p w:rsidR="00FD4171" w:rsidRDefault="00FD4171" w:rsidP="00FD5936">
      <w:pPr>
        <w:jc w:val="both"/>
        <w:rPr>
          <w:rFonts w:ascii="Arial" w:hAnsi="Arial" w:cs="Arial"/>
          <w:noProof/>
        </w:rPr>
      </w:pPr>
    </w:p>
    <w:p w:rsidR="00FD4171" w:rsidRDefault="00FD4171" w:rsidP="00FD5936">
      <w:pPr>
        <w:jc w:val="both"/>
        <w:rPr>
          <w:rFonts w:ascii="Arial" w:hAnsi="Arial" w:cs="Arial"/>
          <w:noProof/>
        </w:rPr>
      </w:pPr>
    </w:p>
    <w:p w:rsidR="00FD4171" w:rsidRPr="003314DE" w:rsidRDefault="00FD4171" w:rsidP="00FD5936">
      <w:pPr>
        <w:jc w:val="both"/>
        <w:rPr>
          <w:rFonts w:ascii="Arial" w:hAnsi="Arial" w:cs="Arial"/>
          <w:noProof/>
        </w:rPr>
      </w:pPr>
    </w:p>
    <w:p w:rsidR="00C12821" w:rsidRPr="003314DE" w:rsidRDefault="00C12821" w:rsidP="00FD5936">
      <w:pPr>
        <w:jc w:val="both"/>
        <w:rPr>
          <w:rFonts w:ascii="Arial" w:hAnsi="Arial" w:cs="Arial"/>
          <w:noProof/>
        </w:rPr>
      </w:pPr>
      <w:r w:rsidRPr="003314DE">
        <w:rPr>
          <w:rFonts w:ascii="Arial" w:hAnsi="Arial" w:cs="Arial"/>
          <w:noProof/>
        </w:rPr>
        <w:tab/>
      </w:r>
      <w:r w:rsidRPr="003314DE">
        <w:rPr>
          <w:rFonts w:ascii="Arial" w:hAnsi="Arial" w:cs="Arial"/>
          <w:noProof/>
        </w:rPr>
        <w:tab/>
      </w:r>
      <w:r w:rsidRPr="003314DE">
        <w:rPr>
          <w:rFonts w:ascii="Arial" w:hAnsi="Arial" w:cs="Arial"/>
          <w:noProof/>
        </w:rPr>
        <w:tab/>
        <w:t>VBTIX</w:t>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r>
      <w:r w:rsidRPr="003314DE">
        <w:rPr>
          <w:rFonts w:ascii="Arial" w:hAnsi="Arial" w:cs="Arial"/>
          <w:noProof/>
        </w:rPr>
        <w:tab/>
        <w:t xml:space="preserve">        VIPSX</w:t>
      </w:r>
    </w:p>
    <w:p w:rsidR="00C12821" w:rsidRPr="003314DE" w:rsidRDefault="00C12821" w:rsidP="00FD5936">
      <w:pPr>
        <w:jc w:val="both"/>
        <w:rPr>
          <w:rFonts w:ascii="Arial" w:hAnsi="Arial" w:cs="Arial"/>
          <w:noProof/>
        </w:rPr>
      </w:pPr>
      <w:r w:rsidRPr="003314DE">
        <w:rPr>
          <w:rFonts w:ascii="Arial" w:hAnsi="Arial" w:cs="Arial"/>
          <w:noProof/>
        </w:rPr>
        <w:lastRenderedPageBreak/>
        <w:drawing>
          <wp:inline distT="0" distB="0" distL="0" distR="0" wp14:anchorId="1E6A0B10" wp14:editId="65372F37">
            <wp:extent cx="2964937" cy="13716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9107" cy="1387407"/>
                    </a:xfrm>
                    <a:prstGeom prst="rect">
                      <a:avLst/>
                    </a:prstGeom>
                  </pic:spPr>
                </pic:pic>
              </a:graphicData>
            </a:graphic>
          </wp:inline>
        </w:drawing>
      </w:r>
      <w:r w:rsidRPr="003314DE">
        <w:rPr>
          <w:rFonts w:ascii="Arial" w:hAnsi="Arial" w:cs="Arial"/>
          <w:noProof/>
        </w:rPr>
        <w:t xml:space="preserve"> </w:t>
      </w:r>
      <w:r w:rsidRPr="003314DE">
        <w:rPr>
          <w:rFonts w:ascii="Arial" w:hAnsi="Arial" w:cs="Arial"/>
          <w:noProof/>
        </w:rPr>
        <w:drawing>
          <wp:inline distT="0" distB="0" distL="0" distR="0" wp14:anchorId="111B38FC" wp14:editId="5C65D384">
            <wp:extent cx="2904349" cy="138918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653" cy="1412289"/>
                    </a:xfrm>
                    <a:prstGeom prst="rect">
                      <a:avLst/>
                    </a:prstGeom>
                  </pic:spPr>
                </pic:pic>
              </a:graphicData>
            </a:graphic>
          </wp:inline>
        </w:drawing>
      </w:r>
    </w:p>
    <w:p w:rsidR="00C12821" w:rsidRDefault="00C12821" w:rsidP="00FD5936">
      <w:pPr>
        <w:jc w:val="both"/>
        <w:rPr>
          <w:rFonts w:ascii="Arial" w:hAnsi="Arial" w:cs="Arial"/>
        </w:rPr>
      </w:pPr>
    </w:p>
    <w:p w:rsidR="00E37596" w:rsidRDefault="00E37596" w:rsidP="00FD5936">
      <w:pPr>
        <w:pStyle w:val="ListParagraph"/>
        <w:numPr>
          <w:ilvl w:val="0"/>
          <w:numId w:val="6"/>
        </w:numPr>
        <w:jc w:val="both"/>
        <w:rPr>
          <w:rFonts w:ascii="Arial" w:hAnsi="Arial" w:cs="Arial"/>
        </w:rPr>
      </w:pPr>
      <w:r>
        <w:rPr>
          <w:rFonts w:ascii="Arial" w:hAnsi="Arial" w:cs="Arial"/>
        </w:rPr>
        <w:t>Residual Diagnostics</w:t>
      </w:r>
    </w:p>
    <w:p w:rsidR="00E37596" w:rsidRPr="00E37596" w:rsidRDefault="00E37596" w:rsidP="00FD5936">
      <w:pPr>
        <w:pStyle w:val="ListParagraph"/>
        <w:jc w:val="both"/>
        <w:rPr>
          <w:rFonts w:ascii="Arial" w:hAnsi="Arial" w:cs="Arial"/>
          <w:noProof/>
        </w:rPr>
      </w:pPr>
      <w:r w:rsidRPr="003314DE">
        <w:rPr>
          <w:noProof/>
        </w:rPr>
        <w:drawing>
          <wp:inline distT="0" distB="0" distL="0" distR="0" wp14:anchorId="141F5C36" wp14:editId="12213945">
            <wp:extent cx="4246880" cy="3185160"/>
            <wp:effectExtent l="0" t="0" r="127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8784" cy="3186588"/>
                    </a:xfrm>
                    <a:prstGeom prst="rect">
                      <a:avLst/>
                    </a:prstGeom>
                  </pic:spPr>
                </pic:pic>
              </a:graphicData>
            </a:graphic>
          </wp:inline>
        </w:drawing>
      </w:r>
    </w:p>
    <w:p w:rsidR="00E37596" w:rsidRPr="00E37596" w:rsidRDefault="00E37596" w:rsidP="00FD5936">
      <w:pPr>
        <w:pStyle w:val="ListParagraph"/>
        <w:jc w:val="both"/>
        <w:rPr>
          <w:rFonts w:ascii="Arial" w:hAnsi="Arial" w:cs="Arial"/>
          <w:noProof/>
        </w:rPr>
      </w:pPr>
      <w:r w:rsidRPr="003314DE">
        <w:rPr>
          <w:noProof/>
        </w:rPr>
        <w:lastRenderedPageBreak/>
        <w:drawing>
          <wp:inline distT="0" distB="0" distL="0" distR="0" wp14:anchorId="1F9EC1A4" wp14:editId="2877858C">
            <wp:extent cx="4229947" cy="3172460"/>
            <wp:effectExtent l="0" t="0" r="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2864" cy="3182147"/>
                    </a:xfrm>
                    <a:prstGeom prst="rect">
                      <a:avLst/>
                    </a:prstGeom>
                  </pic:spPr>
                </pic:pic>
              </a:graphicData>
            </a:graphic>
          </wp:inline>
        </w:drawing>
      </w:r>
    </w:p>
    <w:p w:rsidR="00E37596" w:rsidRPr="00E37596" w:rsidRDefault="00E37596" w:rsidP="00FD5936">
      <w:pPr>
        <w:pStyle w:val="ListParagraph"/>
        <w:jc w:val="both"/>
        <w:rPr>
          <w:rFonts w:ascii="Arial" w:hAnsi="Arial" w:cs="Arial"/>
          <w:noProof/>
        </w:rPr>
      </w:pPr>
      <w:r w:rsidRPr="00E37596">
        <w:rPr>
          <w:rFonts w:ascii="Arial" w:hAnsi="Arial" w:cs="Arial"/>
          <w:noProof/>
        </w:rPr>
        <w:t xml:space="preserve">  </w:t>
      </w:r>
      <w:r w:rsidRPr="003314DE">
        <w:rPr>
          <w:noProof/>
        </w:rPr>
        <w:drawing>
          <wp:inline distT="0" distB="0" distL="0" distR="0" wp14:anchorId="0C4B24F4" wp14:editId="39D556FE">
            <wp:extent cx="4165388" cy="3124042"/>
            <wp:effectExtent l="0" t="0" r="6985"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9173" cy="3149381"/>
                    </a:xfrm>
                    <a:prstGeom prst="rect">
                      <a:avLst/>
                    </a:prstGeom>
                  </pic:spPr>
                </pic:pic>
              </a:graphicData>
            </a:graphic>
          </wp:inline>
        </w:drawing>
      </w:r>
    </w:p>
    <w:p w:rsidR="00E37596" w:rsidRPr="00E37596" w:rsidRDefault="00E37596" w:rsidP="00FD5936">
      <w:pPr>
        <w:pStyle w:val="ListParagraph"/>
        <w:jc w:val="both"/>
        <w:rPr>
          <w:rFonts w:ascii="Arial" w:hAnsi="Arial" w:cs="Arial"/>
          <w:noProof/>
        </w:rPr>
      </w:pPr>
      <w:r w:rsidRPr="00E37596">
        <w:rPr>
          <w:rFonts w:ascii="Arial" w:hAnsi="Arial" w:cs="Arial"/>
          <w:noProof/>
        </w:rPr>
        <w:t xml:space="preserve"> </w:t>
      </w:r>
      <w:r w:rsidRPr="003314DE">
        <w:rPr>
          <w:noProof/>
        </w:rPr>
        <w:drawing>
          <wp:inline distT="0" distB="0" distL="0" distR="0" wp14:anchorId="48772A83" wp14:editId="1EA6AE12">
            <wp:extent cx="4206240" cy="650240"/>
            <wp:effectExtent l="0" t="0" r="381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6641" cy="650302"/>
                    </a:xfrm>
                    <a:prstGeom prst="rect">
                      <a:avLst/>
                    </a:prstGeom>
                  </pic:spPr>
                </pic:pic>
              </a:graphicData>
            </a:graphic>
          </wp:inline>
        </w:drawing>
      </w:r>
    </w:p>
    <w:p w:rsidR="00E37596" w:rsidRPr="00E37596" w:rsidRDefault="00E37596" w:rsidP="00FD5936">
      <w:pPr>
        <w:pStyle w:val="ListParagraph"/>
        <w:jc w:val="both"/>
        <w:rPr>
          <w:rFonts w:ascii="Arial" w:hAnsi="Arial" w:cs="Arial"/>
        </w:rPr>
      </w:pPr>
    </w:p>
    <w:sectPr w:rsidR="00E37596" w:rsidRPr="00E37596" w:rsidSect="00E652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2851" w:rsidRDefault="00CA2851" w:rsidP="0088097F">
      <w:pPr>
        <w:spacing w:after="0" w:line="240" w:lineRule="auto"/>
      </w:pPr>
      <w:r>
        <w:separator/>
      </w:r>
    </w:p>
  </w:endnote>
  <w:endnote w:type="continuationSeparator" w:id="0">
    <w:p w:rsidR="00CA2851" w:rsidRDefault="00CA2851" w:rsidP="00880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2851" w:rsidRDefault="00CA2851" w:rsidP="0088097F">
      <w:pPr>
        <w:spacing w:after="0" w:line="240" w:lineRule="auto"/>
      </w:pPr>
      <w:r>
        <w:separator/>
      </w:r>
    </w:p>
  </w:footnote>
  <w:footnote w:type="continuationSeparator" w:id="0">
    <w:p w:rsidR="00CA2851" w:rsidRDefault="00CA2851" w:rsidP="008809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F0A44"/>
    <w:multiLevelType w:val="hybridMultilevel"/>
    <w:tmpl w:val="2902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255097"/>
    <w:multiLevelType w:val="multilevel"/>
    <w:tmpl w:val="F0FA4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6613B6"/>
    <w:multiLevelType w:val="hybridMultilevel"/>
    <w:tmpl w:val="BBEA92A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5FAF18F3"/>
    <w:multiLevelType w:val="hybridMultilevel"/>
    <w:tmpl w:val="B70CE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CA2501"/>
    <w:multiLevelType w:val="hybridMultilevel"/>
    <w:tmpl w:val="8AD8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1A4B80"/>
    <w:multiLevelType w:val="hybridMultilevel"/>
    <w:tmpl w:val="5F047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EA4"/>
    <w:rsid w:val="00001234"/>
    <w:rsid w:val="00002D20"/>
    <w:rsid w:val="00004156"/>
    <w:rsid w:val="00007050"/>
    <w:rsid w:val="00014DA9"/>
    <w:rsid w:val="00015ED7"/>
    <w:rsid w:val="0001727D"/>
    <w:rsid w:val="0006666B"/>
    <w:rsid w:val="000750D2"/>
    <w:rsid w:val="00076DC6"/>
    <w:rsid w:val="00081C31"/>
    <w:rsid w:val="000842EF"/>
    <w:rsid w:val="00087CE6"/>
    <w:rsid w:val="000B4166"/>
    <w:rsid w:val="000C15AE"/>
    <w:rsid w:val="000C7CC5"/>
    <w:rsid w:val="000D5341"/>
    <w:rsid w:val="000E2E04"/>
    <w:rsid w:val="000F1CC5"/>
    <w:rsid w:val="0011384A"/>
    <w:rsid w:val="00114041"/>
    <w:rsid w:val="001160E3"/>
    <w:rsid w:val="00122536"/>
    <w:rsid w:val="0013187F"/>
    <w:rsid w:val="00131C5B"/>
    <w:rsid w:val="00145C78"/>
    <w:rsid w:val="00147EA4"/>
    <w:rsid w:val="0016130E"/>
    <w:rsid w:val="001619A4"/>
    <w:rsid w:val="0016620B"/>
    <w:rsid w:val="001718B7"/>
    <w:rsid w:val="00184AC4"/>
    <w:rsid w:val="00196C53"/>
    <w:rsid w:val="001B0F66"/>
    <w:rsid w:val="001B5947"/>
    <w:rsid w:val="001C6C27"/>
    <w:rsid w:val="001F078D"/>
    <w:rsid w:val="00236718"/>
    <w:rsid w:val="00240087"/>
    <w:rsid w:val="00245F16"/>
    <w:rsid w:val="00246627"/>
    <w:rsid w:val="002538B7"/>
    <w:rsid w:val="00255FAF"/>
    <w:rsid w:val="00267042"/>
    <w:rsid w:val="00281BBF"/>
    <w:rsid w:val="002878A1"/>
    <w:rsid w:val="00296A06"/>
    <w:rsid w:val="002B768C"/>
    <w:rsid w:val="002D2E10"/>
    <w:rsid w:val="002E6D6F"/>
    <w:rsid w:val="002F55A0"/>
    <w:rsid w:val="002F63C5"/>
    <w:rsid w:val="003073C9"/>
    <w:rsid w:val="003121C0"/>
    <w:rsid w:val="00323602"/>
    <w:rsid w:val="003314DE"/>
    <w:rsid w:val="003706AB"/>
    <w:rsid w:val="00381633"/>
    <w:rsid w:val="003905C1"/>
    <w:rsid w:val="003A46F1"/>
    <w:rsid w:val="003B5A9D"/>
    <w:rsid w:val="003D5D3D"/>
    <w:rsid w:val="003E1C3B"/>
    <w:rsid w:val="003E461C"/>
    <w:rsid w:val="003F4313"/>
    <w:rsid w:val="00400FCC"/>
    <w:rsid w:val="0041157A"/>
    <w:rsid w:val="0043272E"/>
    <w:rsid w:val="0043768E"/>
    <w:rsid w:val="0044304A"/>
    <w:rsid w:val="00445487"/>
    <w:rsid w:val="00492D9A"/>
    <w:rsid w:val="004934CC"/>
    <w:rsid w:val="00496D21"/>
    <w:rsid w:val="004A6716"/>
    <w:rsid w:val="004E1BFA"/>
    <w:rsid w:val="004F1483"/>
    <w:rsid w:val="004F187A"/>
    <w:rsid w:val="005064D7"/>
    <w:rsid w:val="0052224E"/>
    <w:rsid w:val="00522D31"/>
    <w:rsid w:val="00531EA0"/>
    <w:rsid w:val="0054346D"/>
    <w:rsid w:val="0055012C"/>
    <w:rsid w:val="00572A58"/>
    <w:rsid w:val="005903D6"/>
    <w:rsid w:val="00591BE3"/>
    <w:rsid w:val="00591C8C"/>
    <w:rsid w:val="005B2D20"/>
    <w:rsid w:val="005B5468"/>
    <w:rsid w:val="005B7D22"/>
    <w:rsid w:val="005C21B2"/>
    <w:rsid w:val="005D3296"/>
    <w:rsid w:val="005E4D67"/>
    <w:rsid w:val="005F2855"/>
    <w:rsid w:val="0060124D"/>
    <w:rsid w:val="00604160"/>
    <w:rsid w:val="0064294F"/>
    <w:rsid w:val="00667F0F"/>
    <w:rsid w:val="006704E1"/>
    <w:rsid w:val="006731B7"/>
    <w:rsid w:val="00690E49"/>
    <w:rsid w:val="006A5E6F"/>
    <w:rsid w:val="006B471E"/>
    <w:rsid w:val="006B6537"/>
    <w:rsid w:val="006C3E22"/>
    <w:rsid w:val="006D3DA1"/>
    <w:rsid w:val="006E2DB4"/>
    <w:rsid w:val="006E64E6"/>
    <w:rsid w:val="00701CC0"/>
    <w:rsid w:val="007053B2"/>
    <w:rsid w:val="007405B1"/>
    <w:rsid w:val="00765B0D"/>
    <w:rsid w:val="00773B2E"/>
    <w:rsid w:val="00773BD3"/>
    <w:rsid w:val="00791E7E"/>
    <w:rsid w:val="00803B82"/>
    <w:rsid w:val="00810B42"/>
    <w:rsid w:val="0081300E"/>
    <w:rsid w:val="008276C1"/>
    <w:rsid w:val="00827CDE"/>
    <w:rsid w:val="00833EFC"/>
    <w:rsid w:val="0088097F"/>
    <w:rsid w:val="00886286"/>
    <w:rsid w:val="0089021E"/>
    <w:rsid w:val="008A0CAE"/>
    <w:rsid w:val="008A0F1B"/>
    <w:rsid w:val="008A2343"/>
    <w:rsid w:val="008B6FD3"/>
    <w:rsid w:val="008C2832"/>
    <w:rsid w:val="008D6F1C"/>
    <w:rsid w:val="008D7DAD"/>
    <w:rsid w:val="008E5513"/>
    <w:rsid w:val="008F5386"/>
    <w:rsid w:val="00917458"/>
    <w:rsid w:val="00927F1A"/>
    <w:rsid w:val="00933D75"/>
    <w:rsid w:val="00975C11"/>
    <w:rsid w:val="00981DA6"/>
    <w:rsid w:val="00983F53"/>
    <w:rsid w:val="00990171"/>
    <w:rsid w:val="00997A0E"/>
    <w:rsid w:val="009A0889"/>
    <w:rsid w:val="009A4C15"/>
    <w:rsid w:val="00A02390"/>
    <w:rsid w:val="00A038CD"/>
    <w:rsid w:val="00A03D33"/>
    <w:rsid w:val="00A22005"/>
    <w:rsid w:val="00A30663"/>
    <w:rsid w:val="00A33D0C"/>
    <w:rsid w:val="00A43598"/>
    <w:rsid w:val="00A4702C"/>
    <w:rsid w:val="00A52F58"/>
    <w:rsid w:val="00A57393"/>
    <w:rsid w:val="00A73D00"/>
    <w:rsid w:val="00A7773A"/>
    <w:rsid w:val="00A954EA"/>
    <w:rsid w:val="00A96D25"/>
    <w:rsid w:val="00AA0EAC"/>
    <w:rsid w:val="00AB387A"/>
    <w:rsid w:val="00AB436B"/>
    <w:rsid w:val="00AC4357"/>
    <w:rsid w:val="00AD6242"/>
    <w:rsid w:val="00AE4291"/>
    <w:rsid w:val="00B02AD9"/>
    <w:rsid w:val="00B05A7F"/>
    <w:rsid w:val="00B41666"/>
    <w:rsid w:val="00B53902"/>
    <w:rsid w:val="00B72BDE"/>
    <w:rsid w:val="00B73814"/>
    <w:rsid w:val="00B74CED"/>
    <w:rsid w:val="00B91974"/>
    <w:rsid w:val="00BB0730"/>
    <w:rsid w:val="00BB17D2"/>
    <w:rsid w:val="00BC0E14"/>
    <w:rsid w:val="00BC43C9"/>
    <w:rsid w:val="00BE4977"/>
    <w:rsid w:val="00C10C42"/>
    <w:rsid w:val="00C12821"/>
    <w:rsid w:val="00C36F34"/>
    <w:rsid w:val="00C56B7D"/>
    <w:rsid w:val="00C5759A"/>
    <w:rsid w:val="00C654CA"/>
    <w:rsid w:val="00C816C0"/>
    <w:rsid w:val="00C833BC"/>
    <w:rsid w:val="00CA2851"/>
    <w:rsid w:val="00CB53CA"/>
    <w:rsid w:val="00CB7AEF"/>
    <w:rsid w:val="00CC1364"/>
    <w:rsid w:val="00CD2403"/>
    <w:rsid w:val="00CD26A1"/>
    <w:rsid w:val="00CD44F0"/>
    <w:rsid w:val="00CE19F8"/>
    <w:rsid w:val="00CF0708"/>
    <w:rsid w:val="00CF6ECA"/>
    <w:rsid w:val="00D1216D"/>
    <w:rsid w:val="00D177FF"/>
    <w:rsid w:val="00D22BC5"/>
    <w:rsid w:val="00D24A54"/>
    <w:rsid w:val="00D35525"/>
    <w:rsid w:val="00D4674D"/>
    <w:rsid w:val="00D61023"/>
    <w:rsid w:val="00D65B82"/>
    <w:rsid w:val="00D84997"/>
    <w:rsid w:val="00DA7084"/>
    <w:rsid w:val="00DB382B"/>
    <w:rsid w:val="00DC356A"/>
    <w:rsid w:val="00DD7594"/>
    <w:rsid w:val="00DE3A04"/>
    <w:rsid w:val="00E07576"/>
    <w:rsid w:val="00E1700A"/>
    <w:rsid w:val="00E209B6"/>
    <w:rsid w:val="00E304BC"/>
    <w:rsid w:val="00E37596"/>
    <w:rsid w:val="00E43560"/>
    <w:rsid w:val="00E4691A"/>
    <w:rsid w:val="00E51649"/>
    <w:rsid w:val="00E61DC8"/>
    <w:rsid w:val="00E65242"/>
    <w:rsid w:val="00E712E0"/>
    <w:rsid w:val="00E937D6"/>
    <w:rsid w:val="00E96F56"/>
    <w:rsid w:val="00EB5304"/>
    <w:rsid w:val="00EC1BFB"/>
    <w:rsid w:val="00EE4860"/>
    <w:rsid w:val="00EF28BB"/>
    <w:rsid w:val="00EF2BF2"/>
    <w:rsid w:val="00F01470"/>
    <w:rsid w:val="00F03251"/>
    <w:rsid w:val="00F328BD"/>
    <w:rsid w:val="00F355BD"/>
    <w:rsid w:val="00F36008"/>
    <w:rsid w:val="00F4334F"/>
    <w:rsid w:val="00F716FA"/>
    <w:rsid w:val="00FA141D"/>
    <w:rsid w:val="00FA3608"/>
    <w:rsid w:val="00FB0AE6"/>
    <w:rsid w:val="00FB592A"/>
    <w:rsid w:val="00FC1B1C"/>
    <w:rsid w:val="00FC3215"/>
    <w:rsid w:val="00FD083C"/>
    <w:rsid w:val="00FD1595"/>
    <w:rsid w:val="00FD4171"/>
    <w:rsid w:val="00FD5936"/>
    <w:rsid w:val="00FD6117"/>
    <w:rsid w:val="00FE4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6B6483-E646-4EB8-8F98-9EAE69F53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43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225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C43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C4357"/>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827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76C1"/>
    <w:rPr>
      <w:rFonts w:ascii="Courier New" w:eastAsia="Times New Roman" w:hAnsi="Courier New" w:cs="Courier New"/>
      <w:sz w:val="20"/>
      <w:szCs w:val="20"/>
    </w:rPr>
  </w:style>
  <w:style w:type="character" w:customStyle="1" w:styleId="gcwxi2kcpjb">
    <w:name w:val="gcwxi2kcpjb"/>
    <w:basedOn w:val="DefaultParagraphFont"/>
    <w:rsid w:val="008276C1"/>
  </w:style>
  <w:style w:type="paragraph" w:styleId="Header">
    <w:name w:val="header"/>
    <w:basedOn w:val="Normal"/>
    <w:link w:val="HeaderChar"/>
    <w:uiPriority w:val="99"/>
    <w:unhideWhenUsed/>
    <w:rsid w:val="00880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F"/>
  </w:style>
  <w:style w:type="paragraph" w:styleId="Footer">
    <w:name w:val="footer"/>
    <w:basedOn w:val="Normal"/>
    <w:link w:val="FooterChar"/>
    <w:uiPriority w:val="99"/>
    <w:unhideWhenUsed/>
    <w:rsid w:val="008809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F"/>
  </w:style>
  <w:style w:type="paragraph" w:styleId="NoSpacing">
    <w:name w:val="No Spacing"/>
    <w:link w:val="NoSpacingChar"/>
    <w:uiPriority w:val="1"/>
    <w:qFormat/>
    <w:rsid w:val="00E65242"/>
    <w:pPr>
      <w:spacing w:after="0" w:line="240" w:lineRule="auto"/>
    </w:pPr>
    <w:rPr>
      <w:rFonts w:eastAsiaTheme="minorEastAsia"/>
    </w:rPr>
  </w:style>
  <w:style w:type="character" w:customStyle="1" w:styleId="NoSpacingChar">
    <w:name w:val="No Spacing Char"/>
    <w:basedOn w:val="DefaultParagraphFont"/>
    <w:link w:val="NoSpacing"/>
    <w:uiPriority w:val="1"/>
    <w:rsid w:val="00E65242"/>
    <w:rPr>
      <w:rFonts w:eastAsiaTheme="minorEastAsia"/>
    </w:rPr>
  </w:style>
  <w:style w:type="character" w:customStyle="1" w:styleId="gcwxi2kcpkb">
    <w:name w:val="gcwxi2kcpkb"/>
    <w:basedOn w:val="DefaultParagraphFont"/>
    <w:rsid w:val="00990171"/>
  </w:style>
  <w:style w:type="character" w:customStyle="1" w:styleId="Heading2Char">
    <w:name w:val="Heading 2 Char"/>
    <w:basedOn w:val="DefaultParagraphFont"/>
    <w:link w:val="Heading2"/>
    <w:uiPriority w:val="9"/>
    <w:rsid w:val="0012253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073C9"/>
    <w:pPr>
      <w:outlineLvl w:val="9"/>
    </w:pPr>
  </w:style>
  <w:style w:type="paragraph" w:styleId="TOC2">
    <w:name w:val="toc 2"/>
    <w:basedOn w:val="Normal"/>
    <w:next w:val="Normal"/>
    <w:autoRedefine/>
    <w:uiPriority w:val="39"/>
    <w:unhideWhenUsed/>
    <w:rsid w:val="003073C9"/>
    <w:pPr>
      <w:spacing w:after="100"/>
      <w:ind w:left="220"/>
    </w:pPr>
  </w:style>
  <w:style w:type="paragraph" w:styleId="TOC1">
    <w:name w:val="toc 1"/>
    <w:basedOn w:val="Normal"/>
    <w:next w:val="Normal"/>
    <w:autoRedefine/>
    <w:uiPriority w:val="39"/>
    <w:unhideWhenUsed/>
    <w:rsid w:val="003073C9"/>
    <w:pPr>
      <w:spacing w:after="100"/>
    </w:pPr>
  </w:style>
  <w:style w:type="character" w:styleId="Hyperlink">
    <w:name w:val="Hyperlink"/>
    <w:basedOn w:val="DefaultParagraphFont"/>
    <w:uiPriority w:val="99"/>
    <w:unhideWhenUsed/>
    <w:rsid w:val="003073C9"/>
    <w:rPr>
      <w:color w:val="0563C1" w:themeColor="hyperlink"/>
      <w:u w:val="single"/>
    </w:rPr>
  </w:style>
  <w:style w:type="paragraph" w:styleId="ListParagraph">
    <w:name w:val="List Paragraph"/>
    <w:basedOn w:val="Normal"/>
    <w:uiPriority w:val="34"/>
    <w:qFormat/>
    <w:rsid w:val="00BB07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138816">
      <w:bodyDiv w:val="1"/>
      <w:marLeft w:val="0"/>
      <w:marRight w:val="0"/>
      <w:marTop w:val="0"/>
      <w:marBottom w:val="0"/>
      <w:divBdr>
        <w:top w:val="none" w:sz="0" w:space="0" w:color="auto"/>
        <w:left w:val="none" w:sz="0" w:space="0" w:color="auto"/>
        <w:bottom w:val="none" w:sz="0" w:space="0" w:color="auto"/>
        <w:right w:val="none" w:sz="0" w:space="0" w:color="auto"/>
      </w:divBdr>
    </w:div>
    <w:div w:id="213932497">
      <w:bodyDiv w:val="1"/>
      <w:marLeft w:val="0"/>
      <w:marRight w:val="0"/>
      <w:marTop w:val="0"/>
      <w:marBottom w:val="0"/>
      <w:divBdr>
        <w:top w:val="none" w:sz="0" w:space="0" w:color="auto"/>
        <w:left w:val="none" w:sz="0" w:space="0" w:color="auto"/>
        <w:bottom w:val="none" w:sz="0" w:space="0" w:color="auto"/>
        <w:right w:val="none" w:sz="0" w:space="0" w:color="auto"/>
      </w:divBdr>
    </w:div>
    <w:div w:id="225649158">
      <w:bodyDiv w:val="1"/>
      <w:marLeft w:val="0"/>
      <w:marRight w:val="0"/>
      <w:marTop w:val="0"/>
      <w:marBottom w:val="0"/>
      <w:divBdr>
        <w:top w:val="none" w:sz="0" w:space="0" w:color="auto"/>
        <w:left w:val="none" w:sz="0" w:space="0" w:color="auto"/>
        <w:bottom w:val="none" w:sz="0" w:space="0" w:color="auto"/>
        <w:right w:val="none" w:sz="0" w:space="0" w:color="auto"/>
      </w:divBdr>
    </w:div>
    <w:div w:id="282616981">
      <w:bodyDiv w:val="1"/>
      <w:marLeft w:val="0"/>
      <w:marRight w:val="0"/>
      <w:marTop w:val="0"/>
      <w:marBottom w:val="0"/>
      <w:divBdr>
        <w:top w:val="none" w:sz="0" w:space="0" w:color="auto"/>
        <w:left w:val="none" w:sz="0" w:space="0" w:color="auto"/>
        <w:bottom w:val="none" w:sz="0" w:space="0" w:color="auto"/>
        <w:right w:val="none" w:sz="0" w:space="0" w:color="auto"/>
      </w:divBdr>
    </w:div>
    <w:div w:id="465242016">
      <w:bodyDiv w:val="1"/>
      <w:marLeft w:val="0"/>
      <w:marRight w:val="0"/>
      <w:marTop w:val="0"/>
      <w:marBottom w:val="0"/>
      <w:divBdr>
        <w:top w:val="none" w:sz="0" w:space="0" w:color="auto"/>
        <w:left w:val="none" w:sz="0" w:space="0" w:color="auto"/>
        <w:bottom w:val="none" w:sz="0" w:space="0" w:color="auto"/>
        <w:right w:val="none" w:sz="0" w:space="0" w:color="auto"/>
      </w:divBdr>
    </w:div>
    <w:div w:id="562839455">
      <w:bodyDiv w:val="1"/>
      <w:marLeft w:val="0"/>
      <w:marRight w:val="0"/>
      <w:marTop w:val="0"/>
      <w:marBottom w:val="0"/>
      <w:divBdr>
        <w:top w:val="none" w:sz="0" w:space="0" w:color="auto"/>
        <w:left w:val="none" w:sz="0" w:space="0" w:color="auto"/>
        <w:bottom w:val="none" w:sz="0" w:space="0" w:color="auto"/>
        <w:right w:val="none" w:sz="0" w:space="0" w:color="auto"/>
      </w:divBdr>
    </w:div>
    <w:div w:id="616372982">
      <w:bodyDiv w:val="1"/>
      <w:marLeft w:val="0"/>
      <w:marRight w:val="0"/>
      <w:marTop w:val="0"/>
      <w:marBottom w:val="0"/>
      <w:divBdr>
        <w:top w:val="none" w:sz="0" w:space="0" w:color="auto"/>
        <w:left w:val="none" w:sz="0" w:space="0" w:color="auto"/>
        <w:bottom w:val="none" w:sz="0" w:space="0" w:color="auto"/>
        <w:right w:val="none" w:sz="0" w:space="0" w:color="auto"/>
      </w:divBdr>
    </w:div>
    <w:div w:id="711925233">
      <w:bodyDiv w:val="1"/>
      <w:marLeft w:val="0"/>
      <w:marRight w:val="0"/>
      <w:marTop w:val="0"/>
      <w:marBottom w:val="0"/>
      <w:divBdr>
        <w:top w:val="none" w:sz="0" w:space="0" w:color="auto"/>
        <w:left w:val="none" w:sz="0" w:space="0" w:color="auto"/>
        <w:bottom w:val="none" w:sz="0" w:space="0" w:color="auto"/>
        <w:right w:val="none" w:sz="0" w:space="0" w:color="auto"/>
      </w:divBdr>
    </w:div>
    <w:div w:id="1010566158">
      <w:bodyDiv w:val="1"/>
      <w:marLeft w:val="0"/>
      <w:marRight w:val="0"/>
      <w:marTop w:val="0"/>
      <w:marBottom w:val="0"/>
      <w:divBdr>
        <w:top w:val="none" w:sz="0" w:space="0" w:color="auto"/>
        <w:left w:val="none" w:sz="0" w:space="0" w:color="auto"/>
        <w:bottom w:val="none" w:sz="0" w:space="0" w:color="auto"/>
        <w:right w:val="none" w:sz="0" w:space="0" w:color="auto"/>
      </w:divBdr>
    </w:div>
    <w:div w:id="1098527361">
      <w:bodyDiv w:val="1"/>
      <w:marLeft w:val="0"/>
      <w:marRight w:val="0"/>
      <w:marTop w:val="0"/>
      <w:marBottom w:val="0"/>
      <w:divBdr>
        <w:top w:val="none" w:sz="0" w:space="0" w:color="auto"/>
        <w:left w:val="none" w:sz="0" w:space="0" w:color="auto"/>
        <w:bottom w:val="none" w:sz="0" w:space="0" w:color="auto"/>
        <w:right w:val="none" w:sz="0" w:space="0" w:color="auto"/>
      </w:divBdr>
    </w:div>
    <w:div w:id="1102454006">
      <w:bodyDiv w:val="1"/>
      <w:marLeft w:val="0"/>
      <w:marRight w:val="0"/>
      <w:marTop w:val="0"/>
      <w:marBottom w:val="0"/>
      <w:divBdr>
        <w:top w:val="none" w:sz="0" w:space="0" w:color="auto"/>
        <w:left w:val="none" w:sz="0" w:space="0" w:color="auto"/>
        <w:bottom w:val="none" w:sz="0" w:space="0" w:color="auto"/>
        <w:right w:val="none" w:sz="0" w:space="0" w:color="auto"/>
      </w:divBdr>
    </w:div>
    <w:div w:id="1272935628">
      <w:bodyDiv w:val="1"/>
      <w:marLeft w:val="0"/>
      <w:marRight w:val="0"/>
      <w:marTop w:val="0"/>
      <w:marBottom w:val="0"/>
      <w:divBdr>
        <w:top w:val="none" w:sz="0" w:space="0" w:color="auto"/>
        <w:left w:val="none" w:sz="0" w:space="0" w:color="auto"/>
        <w:bottom w:val="none" w:sz="0" w:space="0" w:color="auto"/>
        <w:right w:val="none" w:sz="0" w:space="0" w:color="auto"/>
      </w:divBdr>
    </w:div>
    <w:div w:id="1386182025">
      <w:bodyDiv w:val="1"/>
      <w:marLeft w:val="0"/>
      <w:marRight w:val="0"/>
      <w:marTop w:val="0"/>
      <w:marBottom w:val="0"/>
      <w:divBdr>
        <w:top w:val="none" w:sz="0" w:space="0" w:color="auto"/>
        <w:left w:val="none" w:sz="0" w:space="0" w:color="auto"/>
        <w:bottom w:val="none" w:sz="0" w:space="0" w:color="auto"/>
        <w:right w:val="none" w:sz="0" w:space="0" w:color="auto"/>
      </w:divBdr>
    </w:div>
    <w:div w:id="1473593018">
      <w:bodyDiv w:val="1"/>
      <w:marLeft w:val="0"/>
      <w:marRight w:val="0"/>
      <w:marTop w:val="0"/>
      <w:marBottom w:val="0"/>
      <w:divBdr>
        <w:top w:val="none" w:sz="0" w:space="0" w:color="auto"/>
        <w:left w:val="none" w:sz="0" w:space="0" w:color="auto"/>
        <w:bottom w:val="none" w:sz="0" w:space="0" w:color="auto"/>
        <w:right w:val="none" w:sz="0" w:space="0" w:color="auto"/>
      </w:divBdr>
      <w:divsChild>
        <w:div w:id="247885266">
          <w:marLeft w:val="0"/>
          <w:marRight w:val="0"/>
          <w:marTop w:val="0"/>
          <w:marBottom w:val="0"/>
          <w:divBdr>
            <w:top w:val="none" w:sz="0" w:space="0" w:color="auto"/>
            <w:left w:val="none" w:sz="0" w:space="0" w:color="auto"/>
            <w:bottom w:val="none" w:sz="0" w:space="0" w:color="auto"/>
            <w:right w:val="none" w:sz="0" w:space="0" w:color="auto"/>
          </w:divBdr>
        </w:div>
        <w:div w:id="936132216">
          <w:marLeft w:val="0"/>
          <w:marRight w:val="0"/>
          <w:marTop w:val="0"/>
          <w:marBottom w:val="0"/>
          <w:divBdr>
            <w:top w:val="none" w:sz="0" w:space="0" w:color="auto"/>
            <w:left w:val="none" w:sz="0" w:space="0" w:color="auto"/>
            <w:bottom w:val="none" w:sz="0" w:space="0" w:color="auto"/>
            <w:right w:val="none" w:sz="0" w:space="0" w:color="auto"/>
          </w:divBdr>
        </w:div>
        <w:div w:id="570585159">
          <w:marLeft w:val="0"/>
          <w:marRight w:val="0"/>
          <w:marTop w:val="0"/>
          <w:marBottom w:val="0"/>
          <w:divBdr>
            <w:top w:val="none" w:sz="0" w:space="0" w:color="auto"/>
            <w:left w:val="none" w:sz="0" w:space="0" w:color="auto"/>
            <w:bottom w:val="none" w:sz="0" w:space="0" w:color="auto"/>
            <w:right w:val="none" w:sz="0" w:space="0" w:color="auto"/>
          </w:divBdr>
        </w:div>
        <w:div w:id="2087532114">
          <w:marLeft w:val="0"/>
          <w:marRight w:val="0"/>
          <w:marTop w:val="0"/>
          <w:marBottom w:val="0"/>
          <w:divBdr>
            <w:top w:val="none" w:sz="0" w:space="0" w:color="auto"/>
            <w:left w:val="none" w:sz="0" w:space="0" w:color="auto"/>
            <w:bottom w:val="none" w:sz="0" w:space="0" w:color="auto"/>
            <w:right w:val="none" w:sz="0" w:space="0" w:color="auto"/>
          </w:divBdr>
        </w:div>
        <w:div w:id="116798256">
          <w:marLeft w:val="0"/>
          <w:marRight w:val="0"/>
          <w:marTop w:val="0"/>
          <w:marBottom w:val="0"/>
          <w:divBdr>
            <w:top w:val="none" w:sz="0" w:space="0" w:color="auto"/>
            <w:left w:val="none" w:sz="0" w:space="0" w:color="auto"/>
            <w:bottom w:val="none" w:sz="0" w:space="0" w:color="auto"/>
            <w:right w:val="none" w:sz="0" w:space="0" w:color="auto"/>
          </w:divBdr>
        </w:div>
      </w:divsChild>
    </w:div>
    <w:div w:id="1477839127">
      <w:bodyDiv w:val="1"/>
      <w:marLeft w:val="0"/>
      <w:marRight w:val="0"/>
      <w:marTop w:val="0"/>
      <w:marBottom w:val="0"/>
      <w:divBdr>
        <w:top w:val="none" w:sz="0" w:space="0" w:color="auto"/>
        <w:left w:val="none" w:sz="0" w:space="0" w:color="auto"/>
        <w:bottom w:val="none" w:sz="0" w:space="0" w:color="auto"/>
        <w:right w:val="none" w:sz="0" w:space="0" w:color="auto"/>
      </w:divBdr>
    </w:div>
    <w:div w:id="1545363559">
      <w:bodyDiv w:val="1"/>
      <w:marLeft w:val="0"/>
      <w:marRight w:val="0"/>
      <w:marTop w:val="0"/>
      <w:marBottom w:val="0"/>
      <w:divBdr>
        <w:top w:val="none" w:sz="0" w:space="0" w:color="auto"/>
        <w:left w:val="none" w:sz="0" w:space="0" w:color="auto"/>
        <w:bottom w:val="none" w:sz="0" w:space="0" w:color="auto"/>
        <w:right w:val="none" w:sz="0" w:space="0" w:color="auto"/>
      </w:divBdr>
    </w:div>
    <w:div w:id="1545559612">
      <w:bodyDiv w:val="1"/>
      <w:marLeft w:val="0"/>
      <w:marRight w:val="0"/>
      <w:marTop w:val="0"/>
      <w:marBottom w:val="0"/>
      <w:divBdr>
        <w:top w:val="none" w:sz="0" w:space="0" w:color="auto"/>
        <w:left w:val="none" w:sz="0" w:space="0" w:color="auto"/>
        <w:bottom w:val="none" w:sz="0" w:space="0" w:color="auto"/>
        <w:right w:val="none" w:sz="0" w:space="0" w:color="auto"/>
      </w:divBdr>
    </w:div>
    <w:div w:id="1600719563">
      <w:bodyDiv w:val="1"/>
      <w:marLeft w:val="0"/>
      <w:marRight w:val="0"/>
      <w:marTop w:val="0"/>
      <w:marBottom w:val="0"/>
      <w:divBdr>
        <w:top w:val="none" w:sz="0" w:space="0" w:color="auto"/>
        <w:left w:val="none" w:sz="0" w:space="0" w:color="auto"/>
        <w:bottom w:val="none" w:sz="0" w:space="0" w:color="auto"/>
        <w:right w:val="none" w:sz="0" w:space="0" w:color="auto"/>
      </w:divBdr>
    </w:div>
    <w:div w:id="1609506635">
      <w:bodyDiv w:val="1"/>
      <w:marLeft w:val="0"/>
      <w:marRight w:val="0"/>
      <w:marTop w:val="0"/>
      <w:marBottom w:val="0"/>
      <w:divBdr>
        <w:top w:val="none" w:sz="0" w:space="0" w:color="auto"/>
        <w:left w:val="none" w:sz="0" w:space="0" w:color="auto"/>
        <w:bottom w:val="none" w:sz="0" w:space="0" w:color="auto"/>
        <w:right w:val="none" w:sz="0" w:space="0" w:color="auto"/>
      </w:divBdr>
    </w:div>
    <w:div w:id="1617372943">
      <w:bodyDiv w:val="1"/>
      <w:marLeft w:val="0"/>
      <w:marRight w:val="0"/>
      <w:marTop w:val="0"/>
      <w:marBottom w:val="0"/>
      <w:divBdr>
        <w:top w:val="none" w:sz="0" w:space="0" w:color="auto"/>
        <w:left w:val="none" w:sz="0" w:space="0" w:color="auto"/>
        <w:bottom w:val="none" w:sz="0" w:space="0" w:color="auto"/>
        <w:right w:val="none" w:sz="0" w:space="0" w:color="auto"/>
      </w:divBdr>
    </w:div>
    <w:div w:id="1625581642">
      <w:bodyDiv w:val="1"/>
      <w:marLeft w:val="0"/>
      <w:marRight w:val="0"/>
      <w:marTop w:val="0"/>
      <w:marBottom w:val="0"/>
      <w:divBdr>
        <w:top w:val="none" w:sz="0" w:space="0" w:color="auto"/>
        <w:left w:val="none" w:sz="0" w:space="0" w:color="auto"/>
        <w:bottom w:val="none" w:sz="0" w:space="0" w:color="auto"/>
        <w:right w:val="none" w:sz="0" w:space="0" w:color="auto"/>
      </w:divBdr>
    </w:div>
    <w:div w:id="1788575743">
      <w:bodyDiv w:val="1"/>
      <w:marLeft w:val="0"/>
      <w:marRight w:val="0"/>
      <w:marTop w:val="0"/>
      <w:marBottom w:val="0"/>
      <w:divBdr>
        <w:top w:val="none" w:sz="0" w:space="0" w:color="auto"/>
        <w:left w:val="none" w:sz="0" w:space="0" w:color="auto"/>
        <w:bottom w:val="none" w:sz="0" w:space="0" w:color="auto"/>
        <w:right w:val="none" w:sz="0" w:space="0" w:color="auto"/>
      </w:divBdr>
      <w:divsChild>
        <w:div w:id="1099759733">
          <w:marLeft w:val="0"/>
          <w:marRight w:val="0"/>
          <w:marTop w:val="0"/>
          <w:marBottom w:val="0"/>
          <w:divBdr>
            <w:top w:val="none" w:sz="0" w:space="0" w:color="auto"/>
            <w:left w:val="none" w:sz="0" w:space="0" w:color="auto"/>
            <w:bottom w:val="none" w:sz="0" w:space="0" w:color="auto"/>
            <w:right w:val="none" w:sz="0" w:space="0" w:color="auto"/>
          </w:divBdr>
        </w:div>
        <w:div w:id="44452068">
          <w:marLeft w:val="0"/>
          <w:marRight w:val="0"/>
          <w:marTop w:val="0"/>
          <w:marBottom w:val="0"/>
          <w:divBdr>
            <w:top w:val="none" w:sz="0" w:space="0" w:color="auto"/>
            <w:left w:val="none" w:sz="0" w:space="0" w:color="auto"/>
            <w:bottom w:val="none" w:sz="0" w:space="0" w:color="auto"/>
            <w:right w:val="none" w:sz="0" w:space="0" w:color="auto"/>
          </w:divBdr>
        </w:div>
        <w:div w:id="29651340">
          <w:marLeft w:val="0"/>
          <w:marRight w:val="0"/>
          <w:marTop w:val="0"/>
          <w:marBottom w:val="0"/>
          <w:divBdr>
            <w:top w:val="none" w:sz="0" w:space="0" w:color="auto"/>
            <w:left w:val="none" w:sz="0" w:space="0" w:color="auto"/>
            <w:bottom w:val="none" w:sz="0" w:space="0" w:color="auto"/>
            <w:right w:val="none" w:sz="0" w:space="0" w:color="auto"/>
          </w:divBdr>
        </w:div>
        <w:div w:id="817722222">
          <w:marLeft w:val="0"/>
          <w:marRight w:val="0"/>
          <w:marTop w:val="0"/>
          <w:marBottom w:val="0"/>
          <w:divBdr>
            <w:top w:val="none" w:sz="0" w:space="0" w:color="auto"/>
            <w:left w:val="none" w:sz="0" w:space="0" w:color="auto"/>
            <w:bottom w:val="none" w:sz="0" w:space="0" w:color="auto"/>
            <w:right w:val="none" w:sz="0" w:space="0" w:color="auto"/>
          </w:divBdr>
        </w:div>
        <w:div w:id="1948809801">
          <w:marLeft w:val="0"/>
          <w:marRight w:val="0"/>
          <w:marTop w:val="0"/>
          <w:marBottom w:val="0"/>
          <w:divBdr>
            <w:top w:val="none" w:sz="0" w:space="0" w:color="auto"/>
            <w:left w:val="none" w:sz="0" w:space="0" w:color="auto"/>
            <w:bottom w:val="none" w:sz="0" w:space="0" w:color="auto"/>
            <w:right w:val="none" w:sz="0" w:space="0" w:color="auto"/>
          </w:divBdr>
        </w:div>
      </w:divsChild>
    </w:div>
    <w:div w:id="1923444697">
      <w:bodyDiv w:val="1"/>
      <w:marLeft w:val="0"/>
      <w:marRight w:val="0"/>
      <w:marTop w:val="0"/>
      <w:marBottom w:val="0"/>
      <w:divBdr>
        <w:top w:val="none" w:sz="0" w:space="0" w:color="auto"/>
        <w:left w:val="none" w:sz="0" w:space="0" w:color="auto"/>
        <w:bottom w:val="none" w:sz="0" w:space="0" w:color="auto"/>
        <w:right w:val="none" w:sz="0" w:space="0" w:color="auto"/>
      </w:divBdr>
    </w:div>
    <w:div w:id="2025084135">
      <w:bodyDiv w:val="1"/>
      <w:marLeft w:val="0"/>
      <w:marRight w:val="0"/>
      <w:marTop w:val="0"/>
      <w:marBottom w:val="0"/>
      <w:divBdr>
        <w:top w:val="none" w:sz="0" w:space="0" w:color="auto"/>
        <w:left w:val="none" w:sz="0" w:space="0" w:color="auto"/>
        <w:bottom w:val="none" w:sz="0" w:space="0" w:color="auto"/>
        <w:right w:val="none" w:sz="0" w:space="0" w:color="auto"/>
      </w:divBdr>
    </w:div>
    <w:div w:id="2036228157">
      <w:bodyDiv w:val="1"/>
      <w:marLeft w:val="0"/>
      <w:marRight w:val="0"/>
      <w:marTop w:val="0"/>
      <w:marBottom w:val="0"/>
      <w:divBdr>
        <w:top w:val="none" w:sz="0" w:space="0" w:color="auto"/>
        <w:left w:val="none" w:sz="0" w:space="0" w:color="auto"/>
        <w:bottom w:val="none" w:sz="0" w:space="0" w:color="auto"/>
        <w:right w:val="none" w:sz="0" w:space="0" w:color="auto"/>
      </w:divBdr>
    </w:div>
    <w:div w:id="2079551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1.xml"/><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Forecast vs Actual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Sheet2!$B$1</c:f>
              <c:strCache>
                <c:ptCount val="1"/>
                <c:pt idx="0">
                  <c:v>Forecast</c:v>
                </c:pt>
              </c:strCache>
            </c:strRef>
          </c:tx>
          <c:spPr>
            <a:solidFill>
              <a:schemeClr val="accent1"/>
            </a:solidFill>
            <a:ln>
              <a:noFill/>
            </a:ln>
            <a:effectLst/>
          </c:spPr>
          <c:invertIfNegative val="0"/>
          <c:cat>
            <c:strRef>
              <c:f>Sheet2!$A$2:$A$14</c:f>
              <c:strCache>
                <c:ptCount val="13"/>
                <c:pt idx="0">
                  <c:v>VIGIX</c:v>
                </c:pt>
                <c:pt idx="1">
                  <c:v>SWPPX</c:v>
                </c:pt>
                <c:pt idx="2">
                  <c:v>RFNGX</c:v>
                </c:pt>
                <c:pt idx="3">
                  <c:v>VASVX</c:v>
                </c:pt>
                <c:pt idx="4">
                  <c:v>VSCIX</c:v>
                </c:pt>
                <c:pt idx="5">
                  <c:v>CSRIX</c:v>
                </c:pt>
                <c:pt idx="6">
                  <c:v>SWISX</c:v>
                </c:pt>
                <c:pt idx="7">
                  <c:v>RERGX</c:v>
                </c:pt>
                <c:pt idx="8">
                  <c:v>DFEMX</c:v>
                </c:pt>
                <c:pt idx="9">
                  <c:v>DEMSX</c:v>
                </c:pt>
                <c:pt idx="10">
                  <c:v>LSBDX</c:v>
                </c:pt>
                <c:pt idx="11">
                  <c:v>VBTIX</c:v>
                </c:pt>
                <c:pt idx="12">
                  <c:v>VIPSX</c:v>
                </c:pt>
              </c:strCache>
            </c:strRef>
          </c:cat>
          <c:val>
            <c:numRef>
              <c:f>Sheet2!$B$2:$B$14</c:f>
              <c:numCache>
                <c:formatCode>0.00</c:formatCode>
                <c:ptCount val="13"/>
                <c:pt idx="0">
                  <c:v>-1.8896791986000001</c:v>
                </c:pt>
                <c:pt idx="1">
                  <c:v>-0.88010704549999996</c:v>
                </c:pt>
                <c:pt idx="2">
                  <c:v>-1.7951274369000001</c:v>
                </c:pt>
                <c:pt idx="3">
                  <c:v>-0.93526872169999997</c:v>
                </c:pt>
                <c:pt idx="4">
                  <c:v>-2.1071728380999999</c:v>
                </c:pt>
                <c:pt idx="5">
                  <c:v>-0.9352122651</c:v>
                </c:pt>
                <c:pt idx="6">
                  <c:v>-0.1291618024</c:v>
                </c:pt>
                <c:pt idx="7">
                  <c:v>0</c:v>
                </c:pt>
                <c:pt idx="8">
                  <c:v>0</c:v>
                </c:pt>
                <c:pt idx="9">
                  <c:v>0</c:v>
                </c:pt>
                <c:pt idx="10">
                  <c:v>-2.3657389999999999E-4</c:v>
                </c:pt>
                <c:pt idx="11">
                  <c:v>-4.9729523300000002E-2</c:v>
                </c:pt>
                <c:pt idx="12">
                  <c:v>-9.0116600000000001E-4</c:v>
                </c:pt>
              </c:numCache>
            </c:numRef>
          </c:val>
        </c:ser>
        <c:ser>
          <c:idx val="1"/>
          <c:order val="1"/>
          <c:tx>
            <c:strRef>
              <c:f>Sheet2!$C$1</c:f>
              <c:strCache>
                <c:ptCount val="1"/>
                <c:pt idx="0">
                  <c:v>Actual</c:v>
                </c:pt>
              </c:strCache>
            </c:strRef>
          </c:tx>
          <c:spPr>
            <a:solidFill>
              <a:schemeClr val="accent2"/>
            </a:solidFill>
            <a:ln>
              <a:noFill/>
            </a:ln>
            <a:effectLst/>
          </c:spPr>
          <c:invertIfNegative val="0"/>
          <c:cat>
            <c:strRef>
              <c:f>Sheet2!$A$2:$A$14</c:f>
              <c:strCache>
                <c:ptCount val="13"/>
                <c:pt idx="0">
                  <c:v>VIGIX</c:v>
                </c:pt>
                <c:pt idx="1">
                  <c:v>SWPPX</c:v>
                </c:pt>
                <c:pt idx="2">
                  <c:v>RFNGX</c:v>
                </c:pt>
                <c:pt idx="3">
                  <c:v>VASVX</c:v>
                </c:pt>
                <c:pt idx="4">
                  <c:v>VSCIX</c:v>
                </c:pt>
                <c:pt idx="5">
                  <c:v>CSRIX</c:v>
                </c:pt>
                <c:pt idx="6">
                  <c:v>SWISX</c:v>
                </c:pt>
                <c:pt idx="7">
                  <c:v>RERGX</c:v>
                </c:pt>
                <c:pt idx="8">
                  <c:v>DFEMX</c:v>
                </c:pt>
                <c:pt idx="9">
                  <c:v>DEMSX</c:v>
                </c:pt>
                <c:pt idx="10">
                  <c:v>LSBDX</c:v>
                </c:pt>
                <c:pt idx="11">
                  <c:v>VBTIX</c:v>
                </c:pt>
                <c:pt idx="12">
                  <c:v>VIPSX</c:v>
                </c:pt>
              </c:strCache>
            </c:strRef>
          </c:cat>
          <c:val>
            <c:numRef>
              <c:f>Sheet2!$C$2:$C$14</c:f>
              <c:numCache>
                <c:formatCode>0.00</c:formatCode>
                <c:ptCount val="13"/>
                <c:pt idx="0">
                  <c:v>-4.82</c:v>
                </c:pt>
                <c:pt idx="1">
                  <c:v>-1.790001</c:v>
                </c:pt>
                <c:pt idx="2">
                  <c:v>-3.0599970000000001</c:v>
                </c:pt>
                <c:pt idx="3">
                  <c:v>-1.32</c:v>
                </c:pt>
                <c:pt idx="4">
                  <c:v>-1.68</c:v>
                </c:pt>
                <c:pt idx="5">
                  <c:v>-0.19000300000000001</c:v>
                </c:pt>
                <c:pt idx="6">
                  <c:v>-1.230002</c:v>
                </c:pt>
                <c:pt idx="7">
                  <c:v>-4.0099980000000004</c:v>
                </c:pt>
                <c:pt idx="8">
                  <c:v>-2.74</c:v>
                </c:pt>
                <c:pt idx="9">
                  <c:v>-2.609998</c:v>
                </c:pt>
                <c:pt idx="10">
                  <c:v>-0.34</c:v>
                </c:pt>
                <c:pt idx="11">
                  <c:v>-0.03</c:v>
                </c:pt>
                <c:pt idx="12">
                  <c:v>-0.14000000000000001</c:v>
                </c:pt>
              </c:numCache>
            </c:numRef>
          </c:val>
        </c:ser>
        <c:dLbls>
          <c:showLegendKey val="0"/>
          <c:showVal val="0"/>
          <c:showCatName val="0"/>
          <c:showSerName val="0"/>
          <c:showPercent val="0"/>
          <c:showBubbleSize val="0"/>
        </c:dLbls>
        <c:gapWidth val="219"/>
        <c:overlap val="-27"/>
        <c:axId val="505638488"/>
        <c:axId val="567397880"/>
      </c:barChart>
      <c:catAx>
        <c:axId val="505638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397880"/>
        <c:crosses val="autoZero"/>
        <c:auto val="1"/>
        <c:lblAlgn val="ctr"/>
        <c:lblOffset val="100"/>
        <c:noMultiLvlLbl val="0"/>
      </c:catAx>
      <c:valAx>
        <c:axId val="5673978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638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07079-43BE-4DE5-84EE-F336C4D74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20</Pages>
  <Words>2996</Words>
  <Characters>17078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401K Fund Forecasting</vt:lpstr>
    </vt:vector>
  </TitlesOfParts>
  <Company>entor neal fultz</Company>
  <LinksUpToDate>false</LinksUpToDate>
  <CharactersWithSpaces>20034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401K Fund Forecasting</dc:title>
  <dc:subject>springboard foundations of data science - Capstone Project Report</dc:subject>
  <dc:creator>Arjun Panikar </dc:creator>
  <cp:keywords/>
  <dc:description/>
  <cp:lastModifiedBy>Arjun Panikar</cp:lastModifiedBy>
  <cp:revision>225</cp:revision>
  <dcterms:created xsi:type="dcterms:W3CDTF">2017-04-08T16:26:00Z</dcterms:created>
  <dcterms:modified xsi:type="dcterms:W3CDTF">2017-04-23T22:28:00Z</dcterms:modified>
</cp:coreProperties>
</file>