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E7ECC5" w14:textId="77777777" w:rsidR="00B4696A" w:rsidRDefault="00B4696A" w:rsidP="00B4696A">
      <w:pPr>
        <w:rPr>
          <w:sz w:val="32"/>
          <w:szCs w:val="32"/>
        </w:rPr>
      </w:pPr>
      <w:bookmarkStart w:id="0" w:name="_Hlk511595887"/>
      <w:bookmarkStart w:id="1" w:name="_Hlk522525677"/>
      <w:bookmarkEnd w:id="0"/>
      <w:r>
        <w:rPr>
          <w:sz w:val="32"/>
          <w:szCs w:val="32"/>
        </w:rPr>
        <w:t xml:space="preserve">Date: </w:t>
      </w:r>
    </w:p>
    <w:p w14:paraId="6B732FDC" w14:textId="77777777" w:rsidR="00B4696A" w:rsidRDefault="00B4696A" w:rsidP="00B4696A">
      <w:pPr>
        <w:rPr>
          <w:sz w:val="32"/>
          <w:szCs w:val="32"/>
        </w:rPr>
      </w:pPr>
    </w:p>
    <w:p w14:paraId="3CFFF326" w14:textId="77777777" w:rsidR="00B4696A" w:rsidRPr="00A16041" w:rsidRDefault="00B4696A" w:rsidP="00B4696A">
      <w:pPr>
        <w:rPr>
          <w:b/>
          <w:sz w:val="32"/>
          <w:szCs w:val="32"/>
        </w:rPr>
      </w:pPr>
      <w:r w:rsidRPr="00A16041">
        <w:rPr>
          <w:b/>
          <w:sz w:val="32"/>
          <w:szCs w:val="32"/>
        </w:rPr>
        <w:t>Initial treatment Plan</w:t>
      </w:r>
    </w:p>
    <w:p w14:paraId="421FC5C2" w14:textId="77777777" w:rsidR="00B4696A" w:rsidRDefault="00B4696A" w:rsidP="00B4696A">
      <w:pPr>
        <w:rPr>
          <w:sz w:val="32"/>
          <w:szCs w:val="32"/>
        </w:rPr>
      </w:pPr>
    </w:p>
    <w:p w14:paraId="57F26BDB" w14:textId="33602474" w:rsidR="00B4696A" w:rsidRDefault="00B4696A" w:rsidP="00B4696A">
      <w:pPr>
        <w:rPr>
          <w:sz w:val="32"/>
          <w:szCs w:val="32"/>
        </w:rPr>
      </w:pPr>
      <w:r w:rsidRPr="00B4696A">
        <w:rPr>
          <w:b/>
          <w:sz w:val="32"/>
          <w:szCs w:val="32"/>
        </w:rPr>
        <w:t>Identifying Data:</w:t>
      </w:r>
      <w:r>
        <w:rPr>
          <w:sz w:val="32"/>
          <w:szCs w:val="32"/>
        </w:rPr>
        <w:t xml:space="preserve"> 35M with Schizophrenia, Cannabis use disorder, DMII and Asthma. Latuda 80mg daily. Pt follows up with monthly medication management and psychotherapy. </w:t>
      </w:r>
      <w:r w:rsidR="00A16041" w:rsidRPr="00C12DCF">
        <w:rPr>
          <w:i/>
          <w:sz w:val="32"/>
          <w:szCs w:val="32"/>
        </w:rPr>
        <w:t>(Always transferred from every time Identifying Data has been updated)</w:t>
      </w:r>
    </w:p>
    <w:p w14:paraId="0A209C3C" w14:textId="77777777" w:rsidR="00B4696A" w:rsidRDefault="00B4696A" w:rsidP="00B4696A">
      <w:pPr>
        <w:rPr>
          <w:sz w:val="32"/>
          <w:szCs w:val="32"/>
        </w:rPr>
      </w:pPr>
    </w:p>
    <w:p w14:paraId="20165DF3" w14:textId="5ACAC071" w:rsidR="00B4696A" w:rsidRDefault="00B4696A" w:rsidP="00B4696A">
      <w:pPr>
        <w:rPr>
          <w:sz w:val="32"/>
          <w:szCs w:val="32"/>
        </w:rPr>
      </w:pPr>
      <w:r w:rsidRPr="00B4696A">
        <w:rPr>
          <w:b/>
          <w:sz w:val="32"/>
          <w:szCs w:val="32"/>
        </w:rPr>
        <w:t>Goals:</w:t>
      </w:r>
      <w:r>
        <w:rPr>
          <w:sz w:val="32"/>
          <w:szCs w:val="32"/>
        </w:rPr>
        <w:t xml:space="preserve"> Gain control of patient’s …. Ensure patient is abstinent from cannabis …. Reduce non-adherence / non-compliance with treatment.</w:t>
      </w:r>
      <w:r w:rsidR="00A16041">
        <w:rPr>
          <w:sz w:val="32"/>
          <w:szCs w:val="32"/>
        </w:rPr>
        <w:t xml:space="preserve"> </w:t>
      </w:r>
      <w:r w:rsidR="00A16041" w:rsidRPr="00C12DCF">
        <w:rPr>
          <w:i/>
          <w:sz w:val="32"/>
          <w:szCs w:val="32"/>
        </w:rPr>
        <w:t>(The first time Goals are written, they will always transfer over to the Updated Goal section in the follow up treatment plans but with the ability to dictate changes)</w:t>
      </w:r>
    </w:p>
    <w:p w14:paraId="151EF6F1" w14:textId="77777777" w:rsidR="00B4696A" w:rsidRDefault="00B4696A" w:rsidP="00B4696A">
      <w:pPr>
        <w:rPr>
          <w:sz w:val="32"/>
          <w:szCs w:val="32"/>
        </w:rPr>
      </w:pPr>
    </w:p>
    <w:p w14:paraId="5FF42FD9" w14:textId="56C5B614" w:rsidR="00B4696A" w:rsidRDefault="00B4696A" w:rsidP="00B4696A">
      <w:pPr>
        <w:rPr>
          <w:sz w:val="32"/>
          <w:szCs w:val="32"/>
        </w:rPr>
      </w:pPr>
      <w:r w:rsidRPr="00B4696A">
        <w:rPr>
          <w:b/>
          <w:sz w:val="32"/>
          <w:szCs w:val="32"/>
        </w:rPr>
        <w:t>Objectives:</w:t>
      </w:r>
      <w:r>
        <w:rPr>
          <w:sz w:val="32"/>
          <w:szCs w:val="32"/>
        </w:rPr>
        <w:t xml:space="preserve"> Patient will abstain from cannabis use … Patient will </w:t>
      </w:r>
      <w:r>
        <w:rPr>
          <w:sz w:val="32"/>
          <w:szCs w:val="32"/>
        </w:rPr>
        <w:t xml:space="preserve">continue to be medication and treatment adherent. Patient will continue to maintain medical follow ups. </w:t>
      </w:r>
      <w:r w:rsidR="00A16041" w:rsidRPr="00C12DCF">
        <w:rPr>
          <w:i/>
          <w:sz w:val="32"/>
          <w:szCs w:val="32"/>
        </w:rPr>
        <w:t xml:space="preserve">(The first time </w:t>
      </w:r>
      <w:r w:rsidR="00A16041" w:rsidRPr="00C12DCF">
        <w:rPr>
          <w:i/>
          <w:sz w:val="32"/>
          <w:szCs w:val="32"/>
        </w:rPr>
        <w:t>Objectives</w:t>
      </w:r>
      <w:r w:rsidR="00A16041" w:rsidRPr="00C12DCF">
        <w:rPr>
          <w:i/>
          <w:sz w:val="32"/>
          <w:szCs w:val="32"/>
        </w:rPr>
        <w:t xml:space="preserve"> are written, they will always transfer over to the Updated </w:t>
      </w:r>
      <w:r w:rsidR="00A16041" w:rsidRPr="00C12DCF">
        <w:rPr>
          <w:i/>
          <w:sz w:val="32"/>
          <w:szCs w:val="32"/>
        </w:rPr>
        <w:t>Objectives</w:t>
      </w:r>
      <w:r w:rsidR="00A16041" w:rsidRPr="00C12DCF">
        <w:rPr>
          <w:i/>
          <w:sz w:val="32"/>
          <w:szCs w:val="32"/>
        </w:rPr>
        <w:t xml:space="preserve"> section in the follow up treatment plans but with the ability to dictate changes)</w:t>
      </w:r>
    </w:p>
    <w:p w14:paraId="35DC8FCB" w14:textId="77777777" w:rsidR="00B4696A" w:rsidRDefault="00B4696A" w:rsidP="00B4696A">
      <w:pPr>
        <w:rPr>
          <w:sz w:val="32"/>
          <w:szCs w:val="32"/>
        </w:rPr>
      </w:pPr>
    </w:p>
    <w:p w14:paraId="6985312A" w14:textId="373A10B6" w:rsidR="00B4696A" w:rsidRDefault="00B4696A" w:rsidP="00B4696A">
      <w:pPr>
        <w:rPr>
          <w:i/>
          <w:sz w:val="32"/>
          <w:szCs w:val="32"/>
        </w:rPr>
      </w:pPr>
      <w:r w:rsidRPr="00B4696A">
        <w:rPr>
          <w:b/>
          <w:sz w:val="32"/>
          <w:szCs w:val="32"/>
        </w:rPr>
        <w:t>Interventions:</w:t>
      </w:r>
      <w:r>
        <w:rPr>
          <w:sz w:val="32"/>
          <w:szCs w:val="32"/>
        </w:rPr>
        <w:t xml:space="preserve"> Continue Latuda 80mg daily for Schizophrenia. Continue monthly medication management and psychotherapy. Engage patient’s family to ensure patient’s adherence to treatment. </w:t>
      </w:r>
      <w:r w:rsidR="00A16041" w:rsidRPr="00C12DCF">
        <w:rPr>
          <w:i/>
          <w:sz w:val="32"/>
          <w:szCs w:val="32"/>
        </w:rPr>
        <w:t xml:space="preserve">(The first time </w:t>
      </w:r>
      <w:r w:rsidR="00A16041" w:rsidRPr="00C12DCF">
        <w:rPr>
          <w:i/>
          <w:sz w:val="32"/>
          <w:szCs w:val="32"/>
        </w:rPr>
        <w:t>Interventions</w:t>
      </w:r>
      <w:r w:rsidR="00A16041" w:rsidRPr="00C12DCF">
        <w:rPr>
          <w:i/>
          <w:sz w:val="32"/>
          <w:szCs w:val="32"/>
        </w:rPr>
        <w:t xml:space="preserve"> are written, they will always transfer over to the Updated </w:t>
      </w:r>
      <w:r w:rsidR="00A16041" w:rsidRPr="00C12DCF">
        <w:rPr>
          <w:i/>
          <w:sz w:val="32"/>
          <w:szCs w:val="32"/>
        </w:rPr>
        <w:t>Interventions</w:t>
      </w:r>
      <w:r w:rsidR="00A16041" w:rsidRPr="00C12DCF">
        <w:rPr>
          <w:i/>
          <w:sz w:val="32"/>
          <w:szCs w:val="32"/>
        </w:rPr>
        <w:t xml:space="preserve"> section in the follow up treatment plans but with the ability to dictate changes)</w:t>
      </w:r>
    </w:p>
    <w:p w14:paraId="499FE4B7" w14:textId="16162F14" w:rsidR="00C73C3E" w:rsidRDefault="00C73C3E" w:rsidP="00B4696A">
      <w:pPr>
        <w:rPr>
          <w:sz w:val="32"/>
          <w:szCs w:val="32"/>
        </w:rPr>
      </w:pPr>
    </w:p>
    <w:p w14:paraId="6C18C9A3" w14:textId="2980B174" w:rsidR="00C73C3E" w:rsidRDefault="00C73C3E" w:rsidP="00B4696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C459298" wp14:editId="142F6268">
            <wp:extent cx="987309" cy="2540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321" cy="25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C10F8" w14:textId="77777777" w:rsidR="00B4696A" w:rsidRDefault="00B4696A" w:rsidP="00B4696A">
      <w:pPr>
        <w:rPr>
          <w:sz w:val="32"/>
          <w:szCs w:val="32"/>
        </w:rPr>
      </w:pPr>
    </w:p>
    <w:p w14:paraId="5D4DA245" w14:textId="2F8B16FD" w:rsidR="00BB4CC2" w:rsidRDefault="00C73C3E" w:rsidP="00A16041">
      <w:pPr>
        <w:tabs>
          <w:tab w:val="left" w:pos="2252"/>
        </w:tabs>
      </w:pPr>
      <w:bookmarkStart w:id="2" w:name="_GoBack"/>
      <w:bookmarkEnd w:id="1"/>
      <w:bookmarkEnd w:id="2"/>
    </w:p>
    <w:sectPr w:rsidR="00BB4CC2" w:rsidSect="00E83B2C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133F8" w14:textId="77777777" w:rsidR="006D02DE" w:rsidRDefault="00C73C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94134C" w14:textId="77777777" w:rsidR="006D02DE" w:rsidRPr="00A249FB" w:rsidRDefault="00C73C3E" w:rsidP="006D02DE">
    <w:pPr>
      <w:pStyle w:val="Footer"/>
      <w:jc w:val="center"/>
      <w:rPr>
        <w:rFonts w:ascii="Eras Light ITC" w:hAnsi="Eras Light ITC"/>
        <w:b/>
        <w:color w:val="000000" w:themeColor="text1"/>
        <w:sz w:val="18"/>
        <w:szCs w:val="18"/>
        <w:shd w:val="clear" w:color="auto" w:fill="FFFFFF"/>
      </w:rPr>
    </w:pPr>
    <w:r w:rsidRPr="00A249FB">
      <w:rPr>
        <w:rFonts w:ascii="Eras Light ITC" w:hAnsi="Eras Light ITC"/>
        <w:b/>
        <w:color w:val="000000" w:themeColor="text1"/>
        <w:sz w:val="18"/>
        <w:szCs w:val="18"/>
        <w:shd w:val="clear" w:color="auto" w:fill="FFFFFF"/>
      </w:rPr>
      <w:t>Dr. Datta MD Psychiatry PLLC</w:t>
    </w:r>
    <w:r>
      <w:rPr>
        <w:rFonts w:ascii="Eras Light ITC" w:hAnsi="Eras Light ITC"/>
        <w:b/>
        <w:color w:val="000000" w:themeColor="text1"/>
        <w:sz w:val="18"/>
        <w:szCs w:val="18"/>
        <w:shd w:val="clear" w:color="auto" w:fill="FFFFFF"/>
      </w:rPr>
      <w:t xml:space="preserve"> | Arnab Datta MD</w:t>
    </w:r>
  </w:p>
  <w:p w14:paraId="5EB518FC" w14:textId="77777777" w:rsidR="006D02DE" w:rsidRPr="00A249FB" w:rsidRDefault="00C73C3E" w:rsidP="006D02DE">
    <w:pPr>
      <w:pStyle w:val="Footer"/>
      <w:jc w:val="center"/>
      <w:rPr>
        <w:rFonts w:ascii="Eras Light ITC" w:hAnsi="Eras Light ITC"/>
        <w:b/>
        <w:color w:val="000000" w:themeColor="text1"/>
        <w:sz w:val="16"/>
        <w:szCs w:val="16"/>
        <w:shd w:val="clear" w:color="auto" w:fill="FFFFFF"/>
      </w:rPr>
    </w:pPr>
    <w:r w:rsidRPr="00A249FB">
      <w:rPr>
        <w:rFonts w:ascii="Eras Light ITC" w:hAnsi="Eras Light ITC"/>
        <w:b/>
        <w:color w:val="000000" w:themeColor="text1"/>
        <w:sz w:val="16"/>
        <w:szCs w:val="16"/>
        <w:shd w:val="clear" w:color="auto" w:fill="FFFFFF"/>
      </w:rPr>
      <w:t xml:space="preserve">535 5th Ave, Suite 441, New York, NY 10017 | 347-762-4875 p | 347-662-3815 f | </w:t>
    </w:r>
    <w:hyperlink r:id="rId1" w:history="1">
      <w:r w:rsidRPr="00A249FB">
        <w:rPr>
          <w:rStyle w:val="Hyperlink"/>
          <w:rFonts w:ascii="Eras Light ITC" w:hAnsi="Eras Light ITC"/>
          <w:b/>
          <w:color w:val="000000" w:themeColor="text1"/>
          <w:sz w:val="16"/>
          <w:szCs w:val="16"/>
          <w:u w:val="none"/>
          <w:shd w:val="clear" w:color="auto" w:fill="FFFFFF"/>
        </w:rPr>
        <w:t>help@docdattamd.org</w:t>
      </w:r>
    </w:hyperlink>
  </w:p>
  <w:p w14:paraId="648C553C" w14:textId="77777777" w:rsidR="006D02DE" w:rsidRPr="00A249FB" w:rsidRDefault="00C73C3E" w:rsidP="006D02DE">
    <w:pPr>
      <w:pStyle w:val="Footer"/>
      <w:jc w:val="center"/>
      <w:rPr>
        <w:rFonts w:ascii="Eras Light ITC" w:hAnsi="Eras Light ITC"/>
        <w:b/>
        <w:color w:val="000000" w:themeColor="text1"/>
      </w:rPr>
    </w:pPr>
    <w:r w:rsidRPr="00A249FB">
      <w:rPr>
        <w:rFonts w:ascii="Eras Light ITC" w:hAnsi="Eras Light ITC"/>
        <w:b/>
        <w:color w:val="000000" w:themeColor="text1"/>
        <w:sz w:val="16"/>
        <w:szCs w:val="16"/>
        <w:shd w:val="clear" w:color="auto" w:fill="FFFFFF"/>
      </w:rPr>
      <w:t xml:space="preserve">NY LIC 279570 | NPI 1417244120 | DEA#FD5392535 | DEAX#XD5392535 | </w:t>
    </w:r>
    <w:r>
      <w:rPr>
        <w:rFonts w:ascii="Eras Light ITC" w:hAnsi="Eras Light ITC"/>
        <w:b/>
        <w:color w:val="000000" w:themeColor="text1"/>
        <w:sz w:val="16"/>
        <w:szCs w:val="16"/>
        <w:shd w:val="clear" w:color="auto" w:fill="FFFFFF"/>
      </w:rPr>
      <w:t xml:space="preserve">DATA 2000 # 65166 | </w:t>
    </w:r>
    <w:r w:rsidRPr="00A249FB">
      <w:rPr>
        <w:rFonts w:ascii="Eras Light ITC" w:hAnsi="Eras Light ITC"/>
        <w:b/>
        <w:color w:val="000000" w:themeColor="text1"/>
        <w:sz w:val="16"/>
        <w:szCs w:val="16"/>
        <w:shd w:val="clear" w:color="auto" w:fill="FFFFFF"/>
      </w:rPr>
      <w:t>www.docdattamd.org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E20AA8" w14:textId="77777777" w:rsidR="006D02DE" w:rsidRDefault="00C73C3E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42C6A3" w14:textId="77777777" w:rsidR="006D02DE" w:rsidRDefault="00C73C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43F5D" w14:textId="77777777" w:rsidR="006D02DE" w:rsidRDefault="00C73C3E" w:rsidP="00B74819">
    <w:pPr>
      <w:pStyle w:val="Header"/>
      <w:tabs>
        <w:tab w:val="clear" w:pos="4680"/>
        <w:tab w:val="clear" w:pos="9360"/>
        <w:tab w:val="left" w:pos="1800"/>
        <w:tab w:val="left" w:pos="1910"/>
      </w:tabs>
      <w:jc w:val="center"/>
    </w:pPr>
    <w:r>
      <w:rPr>
        <w:noProof/>
      </w:rPr>
      <w:drawing>
        <wp:inline distT="0" distB="0" distL="0" distR="0" wp14:anchorId="507F5E8C" wp14:editId="415B0CD5">
          <wp:extent cx="1075361" cy="914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634" cy="9265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5DDAD3" w14:textId="77777777" w:rsidR="006D02DE" w:rsidRDefault="00C73C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6A"/>
    <w:rsid w:val="00105444"/>
    <w:rsid w:val="00A16041"/>
    <w:rsid w:val="00B4696A"/>
    <w:rsid w:val="00C12DCF"/>
    <w:rsid w:val="00C60A61"/>
    <w:rsid w:val="00C7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052F7"/>
  <w15:chartTrackingRefBased/>
  <w15:docId w15:val="{0A072B7F-664A-4106-B7BC-3941EE96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696A"/>
    <w:pPr>
      <w:spacing w:after="0" w:line="240" w:lineRule="auto"/>
    </w:pPr>
    <w:rPr>
      <w:rFonts w:ascii="Cambria" w:eastAsia="MS Mincho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469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96A"/>
    <w:rPr>
      <w:rFonts w:ascii="Cambria" w:eastAsia="MS Mincho" w:hAnsi="Cambria" w:cs="Times New Roman"/>
      <w:sz w:val="24"/>
      <w:szCs w:val="24"/>
    </w:rPr>
  </w:style>
  <w:style w:type="character" w:styleId="Hyperlink">
    <w:name w:val="Hyperlink"/>
    <w:uiPriority w:val="99"/>
    <w:unhideWhenUsed/>
    <w:rsid w:val="00B4696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69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96A"/>
    <w:rPr>
      <w:rFonts w:ascii="Cambria" w:eastAsia="MS Mincho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png"/><Relationship Id="rId9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help@docdattamd.or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Datta</dc:creator>
  <cp:keywords/>
  <dc:description/>
  <cp:lastModifiedBy>Arnab Datta</cp:lastModifiedBy>
  <cp:revision>5</cp:revision>
  <dcterms:created xsi:type="dcterms:W3CDTF">2019-01-24T05:11:00Z</dcterms:created>
  <dcterms:modified xsi:type="dcterms:W3CDTF">2019-01-24T05:22:00Z</dcterms:modified>
</cp:coreProperties>
</file>