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D73DB" w14:textId="77777777" w:rsidR="00BE1537" w:rsidRPr="00BE1537" w:rsidRDefault="00BE1537" w:rsidP="00BE1537">
      <w:r w:rsidRPr="00BE1537">
        <w:t>Ant Esports Dynamic GT Mid Tower ARGB Gaming Cabinet</w:t>
      </w:r>
    </w:p>
    <w:p w14:paraId="073E738D" w14:textId="77777777" w:rsidR="0049098D" w:rsidRDefault="0049098D"/>
    <w:p w14:paraId="58002309" w14:textId="00937D16" w:rsidR="00BE1537" w:rsidRPr="00BE1537" w:rsidRDefault="00BE1537" w:rsidP="00BE1537">
      <w:r w:rsidRPr="00BE1537">
        <w:drawing>
          <wp:inline distT="0" distB="0" distL="0" distR="0" wp14:anchorId="0FD994A3" wp14:editId="1A2B0CB7">
            <wp:extent cx="5731510" cy="3545205"/>
            <wp:effectExtent l="0" t="0" r="2540" b="0"/>
            <wp:docPr id="6434083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5205"/>
                    </a:xfrm>
                    <a:prstGeom prst="rect">
                      <a:avLst/>
                    </a:prstGeom>
                    <a:noFill/>
                    <a:ln>
                      <a:noFill/>
                    </a:ln>
                  </pic:spPr>
                </pic:pic>
              </a:graphicData>
            </a:graphic>
          </wp:inline>
        </w:drawing>
      </w:r>
      <w:r w:rsidRPr="00BE1537">
        <w:t>Take your gaming PC to the next level with the Ant Esports Dynamic GT, a case designed as per current gaming trends as well as the need for modern-day hardware. The case offers high accommodation capacity, impressive cooling, and the right balance of RGB to create the perfect build that not only looks great but even runs cool.</w:t>
      </w:r>
      <w:r w:rsidRPr="00BE1537">
        <w:drawing>
          <wp:inline distT="0" distB="0" distL="0" distR="0" wp14:anchorId="2927F4BA" wp14:editId="3BF0CCF6">
            <wp:extent cx="5731510" cy="1757680"/>
            <wp:effectExtent l="0" t="0" r="2540" b="0"/>
            <wp:docPr id="142612622" name="Picture 9" descr="A black computer tower with green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2622" name="Picture 9" descr="A black computer tower with green ligh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7680"/>
                    </a:xfrm>
                    <a:prstGeom prst="rect">
                      <a:avLst/>
                    </a:prstGeom>
                    <a:noFill/>
                    <a:ln>
                      <a:noFill/>
                    </a:ln>
                  </pic:spPr>
                </pic:pic>
              </a:graphicData>
            </a:graphic>
          </wp:inline>
        </w:drawing>
      </w:r>
      <w:r w:rsidRPr="00BE1537">
        <w:t>The Dynamic GT can house up to twelve 120mm fans out of which four ARGB 120mm come pre-installed out of the box ensuring a direct air flow to keep your high TDP components cool even under full load. In terms of liquid cooling support, the case can not only house upto a 360m radiator on top but also house a 240mm radiator on the side for that unique look that not only sets your build apart but also provides better airflow making it suitable for high-end gaming PCs and builds.</w:t>
      </w:r>
      <w:r w:rsidRPr="00BE1537">
        <w:lastRenderedPageBreak/>
        <w:drawing>
          <wp:inline distT="0" distB="0" distL="0" distR="0" wp14:anchorId="7CE4504B" wp14:editId="70859F22">
            <wp:extent cx="5731510" cy="1647190"/>
            <wp:effectExtent l="0" t="0" r="2540" b="0"/>
            <wp:docPr id="1970184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47190"/>
                    </a:xfrm>
                    <a:prstGeom prst="rect">
                      <a:avLst/>
                    </a:prstGeom>
                    <a:noFill/>
                    <a:ln>
                      <a:noFill/>
                    </a:ln>
                  </pic:spPr>
                </pic:pic>
              </a:graphicData>
            </a:graphic>
          </wp:inline>
        </w:drawing>
      </w:r>
      <w:r w:rsidRPr="00BE1537">
        <w:t>For the air cooler, the case offers a massive 175mm clearance making it compatible with every beefy air cooler out in the market so you can create your favorite air-cooled build. Two 3.5” HDD and four 2.5” SSD can be installed simultaneously while the dedicated wire management doors impart a cleaners look and hassle-free building process even for complicated builds.A rich IO panel with two USB 2.0 ports and one USB 3.0 port along with magnetic side panels that are equipped with handles makes the Dynamic GT an elegant and convenient case to build in for experienced and new system builders alike.</w:t>
      </w:r>
      <w:r w:rsidRPr="00BE1537">
        <w:drawing>
          <wp:inline distT="0" distB="0" distL="0" distR="0" wp14:anchorId="5DE94D72" wp14:editId="454BBCD4">
            <wp:extent cx="5731510" cy="1731010"/>
            <wp:effectExtent l="0" t="0" r="2540" b="2540"/>
            <wp:docPr id="14264534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31010"/>
                    </a:xfrm>
                    <a:prstGeom prst="rect">
                      <a:avLst/>
                    </a:prstGeom>
                    <a:noFill/>
                    <a:ln>
                      <a:noFill/>
                    </a:ln>
                  </pic:spPr>
                </pic:pic>
              </a:graphicData>
            </a:graphic>
          </wp:inline>
        </w:drawing>
      </w:r>
    </w:p>
    <w:p w14:paraId="184D00BD" w14:textId="77777777" w:rsidR="00BE1537" w:rsidRPr="00BE1537" w:rsidRDefault="00BE1537" w:rsidP="00BE1537">
      <w:pPr>
        <w:numPr>
          <w:ilvl w:val="0"/>
          <w:numId w:val="1"/>
        </w:numPr>
      </w:pPr>
      <w:r w:rsidRPr="00BE1537">
        <w:rPr>
          <w:b/>
          <w:bCs/>
        </w:rPr>
        <w:t>Multiple Radiator Mounts –</w:t>
      </w:r>
      <w:r w:rsidRPr="00BE1537">
        <w:t> For enthusiast-grade cooling dual 360-millimeter radiators are supported on the top and front panel while a single 240mm is supported on the side to keep the most extreme systems cool.</w:t>
      </w:r>
    </w:p>
    <w:p w14:paraId="5D221EC9" w14:textId="77777777" w:rsidR="00BE1537" w:rsidRPr="00BE1537" w:rsidRDefault="00BE1537" w:rsidP="00BE1537">
      <w:pPr>
        <w:numPr>
          <w:ilvl w:val="0"/>
          <w:numId w:val="1"/>
        </w:numPr>
      </w:pPr>
      <w:r w:rsidRPr="00BE1537">
        <w:rPr>
          <w:b/>
          <w:bCs/>
        </w:rPr>
        <w:t>Large Storage Options –</w:t>
      </w:r>
      <w:r w:rsidRPr="00BE1537">
        <w:t> With four 2.5” SSD mounts and dual 3.5” HDD mounts the Ant Esports Dynamic GT is ideal to build any gaming or production system.</w:t>
      </w:r>
    </w:p>
    <w:p w14:paraId="0103F3D8" w14:textId="77777777" w:rsidR="00BE1537" w:rsidRPr="00BE1537" w:rsidRDefault="00BE1537" w:rsidP="00BE1537">
      <w:pPr>
        <w:numPr>
          <w:ilvl w:val="0"/>
          <w:numId w:val="1"/>
        </w:numPr>
      </w:pPr>
      <w:r w:rsidRPr="00BE1537">
        <w:rPr>
          <w:b/>
          <w:bCs/>
        </w:rPr>
        <w:t>Hassle-Free Building Experience –</w:t>
      </w:r>
      <w:r w:rsidRPr="00BE1537">
        <w:t> The case offers dedicated cable covers at the back for swift wire management and a hinged magnetic side panel with a handle to ensure a hassle-free and convenient system-building experience.</w:t>
      </w:r>
    </w:p>
    <w:p w14:paraId="0FAE4B63" w14:textId="77777777" w:rsidR="00BE1537" w:rsidRPr="00BE1537" w:rsidRDefault="00BE1537" w:rsidP="00BE1537">
      <w:pPr>
        <w:numPr>
          <w:ilvl w:val="0"/>
          <w:numId w:val="1"/>
        </w:numPr>
      </w:pPr>
      <w:r w:rsidRPr="00BE1537">
        <w:rPr>
          <w:b/>
          <w:bCs/>
        </w:rPr>
        <w:t>Spacious Interiors –</w:t>
      </w:r>
      <w:r w:rsidRPr="00BE1537">
        <w:t> The spacious interior fits up to an E-ATX motherboard configuration. Support for up to a 400mm graphics card, twelve 120mm fans, and a 175mm CPU cooler provide room for optimum cooling along with future upgrades.</w:t>
      </w:r>
    </w:p>
    <w:p w14:paraId="2C8EC4FF" w14:textId="77777777" w:rsidR="00BE1537" w:rsidRDefault="00BE1537" w:rsidP="00BE1537">
      <w:pPr>
        <w:numPr>
          <w:ilvl w:val="0"/>
          <w:numId w:val="1"/>
        </w:numPr>
      </w:pPr>
      <w:r w:rsidRPr="00BE1537">
        <w:rPr>
          <w:b/>
          <w:bCs/>
        </w:rPr>
        <w:t>Rich IO Panel –</w:t>
      </w:r>
      <w:r w:rsidRPr="00BE1537">
        <w:t> The case comes with two USB 2.0 ports, one USB 3.0, and one LED button along with power and audio ports.</w:t>
      </w:r>
    </w:p>
    <w:p w14:paraId="47CAE8CE" w14:textId="43C5799D" w:rsidR="00BE1537" w:rsidRPr="00BE1537" w:rsidRDefault="00BE1537" w:rsidP="00BE1537">
      <w:pPr>
        <w:ind w:left="720"/>
      </w:pPr>
      <w:r w:rsidRPr="00BE1537">
        <w:lastRenderedPageBreak/>
        <w:drawing>
          <wp:inline distT="0" distB="0" distL="0" distR="0" wp14:anchorId="09D766BD" wp14:editId="135A43DA">
            <wp:extent cx="5731510" cy="3545205"/>
            <wp:effectExtent l="0" t="0" r="2540" b="0"/>
            <wp:docPr id="809642427" name="Picture 6" descr="A black computer tower with green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42427" name="Picture 6" descr="A black computer tower with green ligh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45205"/>
                    </a:xfrm>
                    <a:prstGeom prst="rect">
                      <a:avLst/>
                    </a:prstGeom>
                    <a:noFill/>
                    <a:ln>
                      <a:noFill/>
                    </a:ln>
                  </pic:spPr>
                </pic:pic>
              </a:graphicData>
            </a:graphic>
          </wp:inline>
        </w:drawing>
      </w:r>
    </w:p>
    <w:tbl>
      <w:tblPr>
        <w:tblW w:w="7995" w:type="dxa"/>
        <w:shd w:val="clear" w:color="auto" w:fill="000000"/>
        <w:tblCellMar>
          <w:top w:w="15" w:type="dxa"/>
          <w:left w:w="15" w:type="dxa"/>
          <w:bottom w:w="15" w:type="dxa"/>
          <w:right w:w="15" w:type="dxa"/>
        </w:tblCellMar>
        <w:tblLook w:val="04A0" w:firstRow="1" w:lastRow="0" w:firstColumn="1" w:lastColumn="0" w:noHBand="0" w:noVBand="1"/>
      </w:tblPr>
      <w:tblGrid>
        <w:gridCol w:w="2568"/>
        <w:gridCol w:w="1900"/>
        <w:gridCol w:w="3527"/>
      </w:tblGrid>
      <w:tr w:rsidR="00BE1537" w:rsidRPr="00BE1537" w14:paraId="65E173A6" w14:textId="77777777" w:rsidTr="00BE1537">
        <w:tc>
          <w:tcPr>
            <w:tcW w:w="2220" w:type="dxa"/>
            <w:vMerge w:val="restart"/>
            <w:shd w:val="clear" w:color="auto" w:fill="000000"/>
            <w:vAlign w:val="center"/>
            <w:hideMark/>
          </w:tcPr>
          <w:p w14:paraId="67D1ADB1" w14:textId="77777777" w:rsidR="00BE1537" w:rsidRPr="00BE1537" w:rsidRDefault="00BE1537" w:rsidP="00BE1537">
            <w:r w:rsidRPr="00BE1537">
              <w:t xml:space="preserve">Dimensions </w:t>
            </w:r>
            <w:proofErr w:type="gramStart"/>
            <w:r w:rsidRPr="00BE1537">
              <w:t>( L</w:t>
            </w:r>
            <w:proofErr w:type="gramEnd"/>
            <w:r w:rsidRPr="00BE1537">
              <w:t xml:space="preserve"> x W x H )</w:t>
            </w:r>
          </w:p>
        </w:tc>
        <w:tc>
          <w:tcPr>
            <w:tcW w:w="1905" w:type="dxa"/>
            <w:shd w:val="clear" w:color="auto" w:fill="000000"/>
            <w:vAlign w:val="center"/>
            <w:hideMark/>
          </w:tcPr>
          <w:p w14:paraId="720154EF" w14:textId="77777777" w:rsidR="00BE1537" w:rsidRPr="00BE1537" w:rsidRDefault="00BE1537" w:rsidP="00BE1537">
            <w:r w:rsidRPr="00BE1537">
              <w:t> Chassis Size</w:t>
            </w:r>
          </w:p>
        </w:tc>
        <w:tc>
          <w:tcPr>
            <w:tcW w:w="3870" w:type="dxa"/>
            <w:shd w:val="clear" w:color="auto" w:fill="000000"/>
            <w:vAlign w:val="center"/>
            <w:hideMark/>
          </w:tcPr>
          <w:p w14:paraId="38245BC5" w14:textId="77777777" w:rsidR="00BE1537" w:rsidRPr="00BE1537" w:rsidRDefault="00BE1537" w:rsidP="00BE1537">
            <w:r w:rsidRPr="00BE1537">
              <w:t> 415 x 225 x 470 mm</w:t>
            </w:r>
          </w:p>
        </w:tc>
      </w:tr>
      <w:tr w:rsidR="00BE1537" w:rsidRPr="00BE1537" w14:paraId="11C62D70" w14:textId="77777777" w:rsidTr="00BE1537">
        <w:tc>
          <w:tcPr>
            <w:tcW w:w="0" w:type="auto"/>
            <w:vMerge/>
            <w:shd w:val="clear" w:color="auto" w:fill="000000"/>
            <w:vAlign w:val="center"/>
            <w:hideMark/>
          </w:tcPr>
          <w:p w14:paraId="151E9467" w14:textId="77777777" w:rsidR="00BE1537" w:rsidRPr="00BE1537" w:rsidRDefault="00BE1537" w:rsidP="00BE1537"/>
        </w:tc>
        <w:tc>
          <w:tcPr>
            <w:tcW w:w="0" w:type="auto"/>
            <w:shd w:val="clear" w:color="auto" w:fill="000000"/>
            <w:vAlign w:val="center"/>
            <w:hideMark/>
          </w:tcPr>
          <w:p w14:paraId="512FF8E0" w14:textId="77777777" w:rsidR="00BE1537" w:rsidRPr="00BE1537" w:rsidRDefault="00BE1537" w:rsidP="00BE1537">
            <w:r w:rsidRPr="00BE1537">
              <w:t> Packing Size</w:t>
            </w:r>
          </w:p>
        </w:tc>
        <w:tc>
          <w:tcPr>
            <w:tcW w:w="0" w:type="auto"/>
            <w:shd w:val="clear" w:color="auto" w:fill="000000"/>
            <w:vAlign w:val="center"/>
            <w:hideMark/>
          </w:tcPr>
          <w:p w14:paraId="386B91D3" w14:textId="77777777" w:rsidR="00BE1537" w:rsidRPr="00BE1537" w:rsidRDefault="00BE1537" w:rsidP="00BE1537">
            <w:r w:rsidRPr="00BE1537">
              <w:t> 532 x 283 x 542 mm</w:t>
            </w:r>
          </w:p>
        </w:tc>
      </w:tr>
      <w:tr w:rsidR="00BE1537" w:rsidRPr="00BE1537" w14:paraId="28C99CA2" w14:textId="77777777" w:rsidTr="00BE1537">
        <w:tc>
          <w:tcPr>
            <w:tcW w:w="0" w:type="auto"/>
            <w:gridSpan w:val="2"/>
            <w:shd w:val="clear" w:color="auto" w:fill="000000"/>
            <w:vAlign w:val="center"/>
            <w:hideMark/>
          </w:tcPr>
          <w:p w14:paraId="7AC9D6BC" w14:textId="77777777" w:rsidR="00BE1537" w:rsidRPr="00BE1537" w:rsidRDefault="00BE1537" w:rsidP="00BE1537">
            <w:r w:rsidRPr="00BE1537">
              <w:t> Motherboard Type</w:t>
            </w:r>
          </w:p>
        </w:tc>
        <w:tc>
          <w:tcPr>
            <w:tcW w:w="0" w:type="auto"/>
            <w:shd w:val="clear" w:color="auto" w:fill="000000"/>
            <w:vAlign w:val="center"/>
            <w:hideMark/>
          </w:tcPr>
          <w:p w14:paraId="2C3FDB37" w14:textId="77777777" w:rsidR="00BE1537" w:rsidRPr="00BE1537" w:rsidRDefault="00BE1537" w:rsidP="00BE1537">
            <w:r w:rsidRPr="00BE1537">
              <w:t> E-ATX, ATX, Micro-ATX, Mini-ITX</w:t>
            </w:r>
          </w:p>
        </w:tc>
      </w:tr>
      <w:tr w:rsidR="00BE1537" w:rsidRPr="00BE1537" w14:paraId="7CE193F5" w14:textId="77777777" w:rsidTr="00BE1537">
        <w:tc>
          <w:tcPr>
            <w:tcW w:w="2220" w:type="dxa"/>
            <w:vMerge w:val="restart"/>
            <w:shd w:val="clear" w:color="auto" w:fill="000000"/>
            <w:vAlign w:val="center"/>
            <w:hideMark/>
          </w:tcPr>
          <w:p w14:paraId="598AA98C" w14:textId="77777777" w:rsidR="00BE1537" w:rsidRPr="00BE1537" w:rsidRDefault="00BE1537" w:rsidP="00BE1537">
            <w:r w:rsidRPr="00BE1537">
              <w:t> Drive Bays</w:t>
            </w:r>
          </w:p>
        </w:tc>
        <w:tc>
          <w:tcPr>
            <w:tcW w:w="0" w:type="auto"/>
            <w:shd w:val="clear" w:color="auto" w:fill="000000"/>
            <w:vAlign w:val="center"/>
            <w:hideMark/>
          </w:tcPr>
          <w:p w14:paraId="379750A1" w14:textId="77777777" w:rsidR="00BE1537" w:rsidRPr="00BE1537" w:rsidRDefault="00BE1537" w:rsidP="00BE1537">
            <w:r w:rsidRPr="00BE1537">
              <w:t> 3.5 Inch</w:t>
            </w:r>
          </w:p>
        </w:tc>
        <w:tc>
          <w:tcPr>
            <w:tcW w:w="3870" w:type="dxa"/>
            <w:vMerge w:val="restart"/>
            <w:shd w:val="clear" w:color="auto" w:fill="000000"/>
            <w:vAlign w:val="center"/>
            <w:hideMark/>
          </w:tcPr>
          <w:p w14:paraId="42FCF220" w14:textId="77777777" w:rsidR="00BE1537" w:rsidRPr="00BE1537" w:rsidRDefault="00BE1537" w:rsidP="00BE1537">
            <w:r w:rsidRPr="00BE1537">
              <w:t> 2 HDD + 2 SSD or 4 SSD</w:t>
            </w:r>
          </w:p>
        </w:tc>
      </w:tr>
      <w:tr w:rsidR="00BE1537" w:rsidRPr="00BE1537" w14:paraId="11D57DA5" w14:textId="77777777" w:rsidTr="00BE1537">
        <w:tc>
          <w:tcPr>
            <w:tcW w:w="0" w:type="auto"/>
            <w:vMerge/>
            <w:shd w:val="clear" w:color="auto" w:fill="000000"/>
            <w:vAlign w:val="center"/>
            <w:hideMark/>
          </w:tcPr>
          <w:p w14:paraId="74F61224" w14:textId="77777777" w:rsidR="00BE1537" w:rsidRPr="00BE1537" w:rsidRDefault="00BE1537" w:rsidP="00BE1537"/>
        </w:tc>
        <w:tc>
          <w:tcPr>
            <w:tcW w:w="0" w:type="auto"/>
            <w:shd w:val="clear" w:color="auto" w:fill="000000"/>
            <w:vAlign w:val="center"/>
            <w:hideMark/>
          </w:tcPr>
          <w:p w14:paraId="1F22DDE6" w14:textId="77777777" w:rsidR="00BE1537" w:rsidRPr="00BE1537" w:rsidRDefault="00BE1537" w:rsidP="00BE1537">
            <w:r w:rsidRPr="00BE1537">
              <w:t> 2.5 Inch</w:t>
            </w:r>
          </w:p>
        </w:tc>
        <w:tc>
          <w:tcPr>
            <w:tcW w:w="0" w:type="auto"/>
            <w:vMerge/>
            <w:shd w:val="clear" w:color="auto" w:fill="000000"/>
            <w:vAlign w:val="center"/>
            <w:hideMark/>
          </w:tcPr>
          <w:p w14:paraId="17A78CE9" w14:textId="77777777" w:rsidR="00BE1537" w:rsidRPr="00BE1537" w:rsidRDefault="00BE1537" w:rsidP="00BE1537"/>
        </w:tc>
      </w:tr>
      <w:tr w:rsidR="00BE1537" w:rsidRPr="00BE1537" w14:paraId="06A7055A" w14:textId="77777777" w:rsidTr="00BE1537">
        <w:tc>
          <w:tcPr>
            <w:tcW w:w="0" w:type="auto"/>
            <w:vMerge/>
            <w:shd w:val="clear" w:color="auto" w:fill="000000"/>
            <w:vAlign w:val="center"/>
            <w:hideMark/>
          </w:tcPr>
          <w:p w14:paraId="4641E2DB" w14:textId="77777777" w:rsidR="00BE1537" w:rsidRPr="00BE1537" w:rsidRDefault="00BE1537" w:rsidP="00BE1537"/>
        </w:tc>
        <w:tc>
          <w:tcPr>
            <w:tcW w:w="0" w:type="auto"/>
            <w:shd w:val="clear" w:color="auto" w:fill="000000"/>
            <w:vAlign w:val="center"/>
            <w:hideMark/>
          </w:tcPr>
          <w:p w14:paraId="68A8C313" w14:textId="77777777" w:rsidR="00BE1537" w:rsidRPr="00BE1537" w:rsidRDefault="00BE1537" w:rsidP="00BE1537">
            <w:r w:rsidRPr="00BE1537">
              <w:t> 5.25 Inch</w:t>
            </w:r>
          </w:p>
        </w:tc>
        <w:tc>
          <w:tcPr>
            <w:tcW w:w="0" w:type="auto"/>
            <w:shd w:val="clear" w:color="auto" w:fill="000000"/>
            <w:vAlign w:val="center"/>
            <w:hideMark/>
          </w:tcPr>
          <w:p w14:paraId="2D508FBD" w14:textId="77777777" w:rsidR="00BE1537" w:rsidRPr="00BE1537" w:rsidRDefault="00BE1537" w:rsidP="00BE1537">
            <w:r w:rsidRPr="00BE1537">
              <w:t> None</w:t>
            </w:r>
          </w:p>
        </w:tc>
      </w:tr>
      <w:tr w:rsidR="00BE1537" w:rsidRPr="00BE1537" w14:paraId="732BEA6A" w14:textId="77777777" w:rsidTr="00BE1537">
        <w:tc>
          <w:tcPr>
            <w:tcW w:w="0" w:type="auto"/>
            <w:vMerge w:val="restart"/>
            <w:shd w:val="clear" w:color="auto" w:fill="000000"/>
            <w:vAlign w:val="center"/>
            <w:hideMark/>
          </w:tcPr>
          <w:p w14:paraId="5085104E" w14:textId="77777777" w:rsidR="00BE1537" w:rsidRPr="00BE1537" w:rsidRDefault="00BE1537" w:rsidP="00BE1537">
            <w:r w:rsidRPr="00BE1537">
              <w:t> Fan Support</w:t>
            </w:r>
          </w:p>
        </w:tc>
        <w:tc>
          <w:tcPr>
            <w:tcW w:w="0" w:type="auto"/>
            <w:shd w:val="clear" w:color="auto" w:fill="000000"/>
            <w:vAlign w:val="center"/>
            <w:hideMark/>
          </w:tcPr>
          <w:p w14:paraId="1BCF6C89" w14:textId="77777777" w:rsidR="00BE1537" w:rsidRPr="00BE1537" w:rsidRDefault="00BE1537" w:rsidP="00BE1537">
            <w:r w:rsidRPr="00BE1537">
              <w:t> Front</w:t>
            </w:r>
          </w:p>
        </w:tc>
        <w:tc>
          <w:tcPr>
            <w:tcW w:w="0" w:type="auto"/>
            <w:shd w:val="clear" w:color="auto" w:fill="000000"/>
            <w:vAlign w:val="center"/>
            <w:hideMark/>
          </w:tcPr>
          <w:p w14:paraId="7F838255" w14:textId="77777777" w:rsidR="00BE1537" w:rsidRPr="00BE1537" w:rsidRDefault="00BE1537" w:rsidP="00BE1537">
            <w:r w:rsidRPr="00BE1537">
              <w:t> 120 mm x 3 / 140 mm x 3</w:t>
            </w:r>
          </w:p>
        </w:tc>
      </w:tr>
      <w:tr w:rsidR="00BE1537" w:rsidRPr="00BE1537" w14:paraId="517636A6" w14:textId="77777777" w:rsidTr="00BE1537">
        <w:tc>
          <w:tcPr>
            <w:tcW w:w="0" w:type="auto"/>
            <w:vMerge/>
            <w:shd w:val="clear" w:color="auto" w:fill="000000"/>
            <w:vAlign w:val="center"/>
            <w:hideMark/>
          </w:tcPr>
          <w:p w14:paraId="76CCE84E" w14:textId="77777777" w:rsidR="00BE1537" w:rsidRPr="00BE1537" w:rsidRDefault="00BE1537" w:rsidP="00BE1537"/>
        </w:tc>
        <w:tc>
          <w:tcPr>
            <w:tcW w:w="0" w:type="auto"/>
            <w:shd w:val="clear" w:color="auto" w:fill="000000"/>
            <w:vAlign w:val="center"/>
            <w:hideMark/>
          </w:tcPr>
          <w:p w14:paraId="2DF8E5A8" w14:textId="77777777" w:rsidR="00BE1537" w:rsidRPr="00BE1537" w:rsidRDefault="00BE1537" w:rsidP="00BE1537">
            <w:r w:rsidRPr="00BE1537">
              <w:t> Top</w:t>
            </w:r>
          </w:p>
        </w:tc>
        <w:tc>
          <w:tcPr>
            <w:tcW w:w="0" w:type="auto"/>
            <w:shd w:val="clear" w:color="auto" w:fill="000000"/>
            <w:vAlign w:val="center"/>
            <w:hideMark/>
          </w:tcPr>
          <w:p w14:paraId="408F3878" w14:textId="77777777" w:rsidR="00BE1537" w:rsidRPr="00BE1537" w:rsidRDefault="00BE1537" w:rsidP="00BE1537">
            <w:r w:rsidRPr="00BE1537">
              <w:t> 120 mm x 3 / 140 mm x 3</w:t>
            </w:r>
          </w:p>
        </w:tc>
      </w:tr>
      <w:tr w:rsidR="00BE1537" w:rsidRPr="00BE1537" w14:paraId="2ABE89B5" w14:textId="77777777" w:rsidTr="00BE1537">
        <w:tc>
          <w:tcPr>
            <w:tcW w:w="0" w:type="auto"/>
            <w:vMerge/>
            <w:shd w:val="clear" w:color="auto" w:fill="000000"/>
            <w:vAlign w:val="center"/>
            <w:hideMark/>
          </w:tcPr>
          <w:p w14:paraId="3F1B5D17" w14:textId="77777777" w:rsidR="00BE1537" w:rsidRPr="00BE1537" w:rsidRDefault="00BE1537" w:rsidP="00BE1537"/>
        </w:tc>
        <w:tc>
          <w:tcPr>
            <w:tcW w:w="0" w:type="auto"/>
            <w:shd w:val="clear" w:color="auto" w:fill="000000"/>
            <w:vAlign w:val="center"/>
            <w:hideMark/>
          </w:tcPr>
          <w:p w14:paraId="17CF0C95" w14:textId="77777777" w:rsidR="00BE1537" w:rsidRPr="00BE1537" w:rsidRDefault="00BE1537" w:rsidP="00BE1537">
            <w:r w:rsidRPr="00BE1537">
              <w:t> Bottom</w:t>
            </w:r>
          </w:p>
        </w:tc>
        <w:tc>
          <w:tcPr>
            <w:tcW w:w="0" w:type="auto"/>
            <w:shd w:val="clear" w:color="auto" w:fill="000000"/>
            <w:vAlign w:val="center"/>
            <w:hideMark/>
          </w:tcPr>
          <w:p w14:paraId="7D225FB4" w14:textId="77777777" w:rsidR="00BE1537" w:rsidRPr="00BE1537" w:rsidRDefault="00BE1537" w:rsidP="00BE1537">
            <w:r w:rsidRPr="00BE1537">
              <w:t> 120 mm x 3</w:t>
            </w:r>
          </w:p>
        </w:tc>
      </w:tr>
      <w:tr w:rsidR="00BE1537" w:rsidRPr="00BE1537" w14:paraId="578508C5" w14:textId="77777777" w:rsidTr="00BE1537">
        <w:tc>
          <w:tcPr>
            <w:tcW w:w="0" w:type="auto"/>
            <w:vMerge/>
            <w:shd w:val="clear" w:color="auto" w:fill="000000"/>
            <w:vAlign w:val="center"/>
            <w:hideMark/>
          </w:tcPr>
          <w:p w14:paraId="6AB5AE68" w14:textId="77777777" w:rsidR="00BE1537" w:rsidRPr="00BE1537" w:rsidRDefault="00BE1537" w:rsidP="00BE1537"/>
        </w:tc>
        <w:tc>
          <w:tcPr>
            <w:tcW w:w="0" w:type="auto"/>
            <w:shd w:val="clear" w:color="auto" w:fill="000000"/>
            <w:vAlign w:val="center"/>
            <w:hideMark/>
          </w:tcPr>
          <w:p w14:paraId="56F0BAD3" w14:textId="77777777" w:rsidR="00BE1537" w:rsidRPr="00BE1537" w:rsidRDefault="00BE1537" w:rsidP="00BE1537">
            <w:r w:rsidRPr="00BE1537">
              <w:t> Rear</w:t>
            </w:r>
          </w:p>
        </w:tc>
        <w:tc>
          <w:tcPr>
            <w:tcW w:w="0" w:type="auto"/>
            <w:shd w:val="clear" w:color="auto" w:fill="000000"/>
            <w:vAlign w:val="center"/>
            <w:hideMark/>
          </w:tcPr>
          <w:p w14:paraId="6C3C11D5" w14:textId="77777777" w:rsidR="00BE1537" w:rsidRPr="00BE1537" w:rsidRDefault="00BE1537" w:rsidP="00BE1537">
            <w:r w:rsidRPr="00BE1537">
              <w:t> 120 mm x 1</w:t>
            </w:r>
          </w:p>
        </w:tc>
      </w:tr>
      <w:tr w:rsidR="00BE1537" w:rsidRPr="00BE1537" w14:paraId="7F6FD07B" w14:textId="77777777" w:rsidTr="00BE1537">
        <w:tc>
          <w:tcPr>
            <w:tcW w:w="0" w:type="auto"/>
            <w:vMerge/>
            <w:shd w:val="clear" w:color="auto" w:fill="000000"/>
            <w:vAlign w:val="center"/>
            <w:hideMark/>
          </w:tcPr>
          <w:p w14:paraId="25AE5917" w14:textId="77777777" w:rsidR="00BE1537" w:rsidRPr="00BE1537" w:rsidRDefault="00BE1537" w:rsidP="00BE1537"/>
        </w:tc>
        <w:tc>
          <w:tcPr>
            <w:tcW w:w="0" w:type="auto"/>
            <w:shd w:val="clear" w:color="auto" w:fill="000000"/>
            <w:vAlign w:val="center"/>
            <w:hideMark/>
          </w:tcPr>
          <w:p w14:paraId="2C9C93EF" w14:textId="77777777" w:rsidR="00BE1537" w:rsidRPr="00BE1537" w:rsidRDefault="00BE1537" w:rsidP="00BE1537">
            <w:r w:rsidRPr="00BE1537">
              <w:t> Side</w:t>
            </w:r>
          </w:p>
        </w:tc>
        <w:tc>
          <w:tcPr>
            <w:tcW w:w="0" w:type="auto"/>
            <w:shd w:val="clear" w:color="auto" w:fill="000000"/>
            <w:vAlign w:val="center"/>
            <w:hideMark/>
          </w:tcPr>
          <w:p w14:paraId="0DE403BB" w14:textId="77777777" w:rsidR="00BE1537" w:rsidRPr="00BE1537" w:rsidRDefault="00BE1537" w:rsidP="00BE1537">
            <w:r w:rsidRPr="00BE1537">
              <w:t> 120 mm x 2</w:t>
            </w:r>
          </w:p>
        </w:tc>
      </w:tr>
      <w:tr w:rsidR="00BE1537" w:rsidRPr="00BE1537" w14:paraId="3601D4A0" w14:textId="77777777" w:rsidTr="00BE1537">
        <w:tc>
          <w:tcPr>
            <w:tcW w:w="2220" w:type="dxa"/>
            <w:vMerge w:val="restart"/>
            <w:shd w:val="clear" w:color="auto" w:fill="000000"/>
            <w:vAlign w:val="center"/>
            <w:hideMark/>
          </w:tcPr>
          <w:p w14:paraId="7F9DFDAF" w14:textId="77777777" w:rsidR="00BE1537" w:rsidRPr="00BE1537" w:rsidRDefault="00BE1537" w:rsidP="00BE1537">
            <w:r w:rsidRPr="00BE1537">
              <w:t> Liquid Cooling Support    </w:t>
            </w:r>
            <w:proofErr w:type="gramStart"/>
            <w:r w:rsidRPr="00BE1537">
              <w:t>   (</w:t>
            </w:r>
            <w:proofErr w:type="gramEnd"/>
            <w:r w:rsidRPr="00BE1537">
              <w:t>Maximum)</w:t>
            </w:r>
          </w:p>
        </w:tc>
        <w:tc>
          <w:tcPr>
            <w:tcW w:w="0" w:type="auto"/>
            <w:shd w:val="clear" w:color="auto" w:fill="000000"/>
            <w:vAlign w:val="center"/>
            <w:hideMark/>
          </w:tcPr>
          <w:p w14:paraId="6B1A1E47" w14:textId="77777777" w:rsidR="00BE1537" w:rsidRPr="00BE1537" w:rsidRDefault="00BE1537" w:rsidP="00BE1537">
            <w:r w:rsidRPr="00BE1537">
              <w:t> Front</w:t>
            </w:r>
          </w:p>
        </w:tc>
        <w:tc>
          <w:tcPr>
            <w:tcW w:w="0" w:type="auto"/>
            <w:shd w:val="clear" w:color="auto" w:fill="000000"/>
            <w:vAlign w:val="center"/>
            <w:hideMark/>
          </w:tcPr>
          <w:p w14:paraId="640885CC" w14:textId="77777777" w:rsidR="00BE1537" w:rsidRPr="00BE1537" w:rsidRDefault="00BE1537" w:rsidP="00BE1537">
            <w:r w:rsidRPr="00BE1537">
              <w:t> 120 / 240 / 280 / 360 mm</w:t>
            </w:r>
          </w:p>
        </w:tc>
      </w:tr>
      <w:tr w:rsidR="00BE1537" w:rsidRPr="00BE1537" w14:paraId="79320E8E" w14:textId="77777777" w:rsidTr="00BE1537">
        <w:tc>
          <w:tcPr>
            <w:tcW w:w="0" w:type="auto"/>
            <w:vMerge/>
            <w:shd w:val="clear" w:color="auto" w:fill="000000"/>
            <w:vAlign w:val="center"/>
            <w:hideMark/>
          </w:tcPr>
          <w:p w14:paraId="7F46DF14" w14:textId="77777777" w:rsidR="00BE1537" w:rsidRPr="00BE1537" w:rsidRDefault="00BE1537" w:rsidP="00BE1537"/>
        </w:tc>
        <w:tc>
          <w:tcPr>
            <w:tcW w:w="0" w:type="auto"/>
            <w:shd w:val="clear" w:color="auto" w:fill="000000"/>
            <w:vAlign w:val="center"/>
            <w:hideMark/>
          </w:tcPr>
          <w:p w14:paraId="5CE9041D" w14:textId="77777777" w:rsidR="00BE1537" w:rsidRPr="00BE1537" w:rsidRDefault="00BE1537" w:rsidP="00BE1537">
            <w:r w:rsidRPr="00BE1537">
              <w:t> Rear</w:t>
            </w:r>
          </w:p>
        </w:tc>
        <w:tc>
          <w:tcPr>
            <w:tcW w:w="0" w:type="auto"/>
            <w:shd w:val="clear" w:color="auto" w:fill="000000"/>
            <w:vAlign w:val="center"/>
            <w:hideMark/>
          </w:tcPr>
          <w:p w14:paraId="724FC47E" w14:textId="77777777" w:rsidR="00BE1537" w:rsidRPr="00BE1537" w:rsidRDefault="00BE1537" w:rsidP="00BE1537">
            <w:r w:rsidRPr="00BE1537">
              <w:t> 120 mm</w:t>
            </w:r>
          </w:p>
        </w:tc>
      </w:tr>
      <w:tr w:rsidR="00BE1537" w:rsidRPr="00BE1537" w14:paraId="4362F629" w14:textId="77777777" w:rsidTr="00BE1537">
        <w:tc>
          <w:tcPr>
            <w:tcW w:w="0" w:type="auto"/>
            <w:vMerge/>
            <w:shd w:val="clear" w:color="auto" w:fill="000000"/>
            <w:vAlign w:val="center"/>
            <w:hideMark/>
          </w:tcPr>
          <w:p w14:paraId="1065564C" w14:textId="77777777" w:rsidR="00BE1537" w:rsidRPr="00BE1537" w:rsidRDefault="00BE1537" w:rsidP="00BE1537"/>
        </w:tc>
        <w:tc>
          <w:tcPr>
            <w:tcW w:w="0" w:type="auto"/>
            <w:shd w:val="clear" w:color="auto" w:fill="000000"/>
            <w:vAlign w:val="center"/>
            <w:hideMark/>
          </w:tcPr>
          <w:p w14:paraId="1AAC6D11" w14:textId="77777777" w:rsidR="00BE1537" w:rsidRPr="00BE1537" w:rsidRDefault="00BE1537" w:rsidP="00BE1537">
            <w:r w:rsidRPr="00BE1537">
              <w:t> Top</w:t>
            </w:r>
          </w:p>
        </w:tc>
        <w:tc>
          <w:tcPr>
            <w:tcW w:w="0" w:type="auto"/>
            <w:shd w:val="clear" w:color="auto" w:fill="000000"/>
            <w:vAlign w:val="center"/>
            <w:hideMark/>
          </w:tcPr>
          <w:p w14:paraId="63E0D547" w14:textId="77777777" w:rsidR="00BE1537" w:rsidRPr="00BE1537" w:rsidRDefault="00BE1537" w:rsidP="00BE1537">
            <w:r w:rsidRPr="00BE1537">
              <w:t> 120 / 240 / 280 / 360 mm</w:t>
            </w:r>
          </w:p>
        </w:tc>
      </w:tr>
      <w:tr w:rsidR="00BE1537" w:rsidRPr="00BE1537" w14:paraId="082A8470" w14:textId="77777777" w:rsidTr="00BE1537">
        <w:tc>
          <w:tcPr>
            <w:tcW w:w="0" w:type="auto"/>
            <w:shd w:val="clear" w:color="auto" w:fill="000000"/>
            <w:vAlign w:val="center"/>
            <w:hideMark/>
          </w:tcPr>
          <w:p w14:paraId="468A55EA" w14:textId="77777777" w:rsidR="00BE1537" w:rsidRPr="00BE1537" w:rsidRDefault="00BE1537" w:rsidP="00BE1537">
            <w:r w:rsidRPr="00BE1537">
              <w:t> Pre-Installed Fans</w:t>
            </w:r>
          </w:p>
        </w:tc>
        <w:tc>
          <w:tcPr>
            <w:tcW w:w="0" w:type="auto"/>
            <w:gridSpan w:val="2"/>
            <w:shd w:val="clear" w:color="auto" w:fill="000000"/>
            <w:vAlign w:val="center"/>
            <w:hideMark/>
          </w:tcPr>
          <w:p w14:paraId="440ED5BD" w14:textId="77777777" w:rsidR="00BE1537" w:rsidRPr="00BE1537" w:rsidRDefault="00BE1537" w:rsidP="00BE1537">
            <w:r w:rsidRPr="00BE1537">
              <w:t> x 3 Front Fans, x 1 Rear Fan</w:t>
            </w:r>
          </w:p>
        </w:tc>
      </w:tr>
      <w:tr w:rsidR="00BE1537" w:rsidRPr="00BE1537" w14:paraId="37FA888D" w14:textId="77777777" w:rsidTr="00BE1537">
        <w:tc>
          <w:tcPr>
            <w:tcW w:w="2220" w:type="dxa"/>
            <w:vMerge w:val="restart"/>
            <w:shd w:val="clear" w:color="auto" w:fill="000000"/>
            <w:vAlign w:val="center"/>
            <w:hideMark/>
          </w:tcPr>
          <w:p w14:paraId="622768D2" w14:textId="77777777" w:rsidR="00BE1537" w:rsidRPr="00BE1537" w:rsidRDefault="00BE1537" w:rsidP="00BE1537">
            <w:r w:rsidRPr="00BE1537">
              <w:lastRenderedPageBreak/>
              <w:t> Compatibility                  </w:t>
            </w:r>
            <w:proofErr w:type="gramStart"/>
            <w:r w:rsidRPr="00BE1537">
              <w:t>   (</w:t>
            </w:r>
            <w:proofErr w:type="gramEnd"/>
            <w:r w:rsidRPr="00BE1537">
              <w:t xml:space="preserve"> Maximum )</w:t>
            </w:r>
          </w:p>
        </w:tc>
        <w:tc>
          <w:tcPr>
            <w:tcW w:w="0" w:type="auto"/>
            <w:shd w:val="clear" w:color="auto" w:fill="000000"/>
            <w:vAlign w:val="center"/>
            <w:hideMark/>
          </w:tcPr>
          <w:p w14:paraId="1CED199B" w14:textId="77777777" w:rsidR="00BE1537" w:rsidRPr="00BE1537" w:rsidRDefault="00BE1537" w:rsidP="00BE1537">
            <w:r w:rsidRPr="00BE1537">
              <w:t> VGA Card Length</w:t>
            </w:r>
          </w:p>
        </w:tc>
        <w:tc>
          <w:tcPr>
            <w:tcW w:w="0" w:type="auto"/>
            <w:shd w:val="clear" w:color="auto" w:fill="000000"/>
            <w:vAlign w:val="center"/>
            <w:hideMark/>
          </w:tcPr>
          <w:p w14:paraId="4EFC1691" w14:textId="77777777" w:rsidR="00BE1537" w:rsidRPr="00BE1537" w:rsidRDefault="00BE1537" w:rsidP="00BE1537">
            <w:r w:rsidRPr="00BE1537">
              <w:t> 400 mm</w:t>
            </w:r>
          </w:p>
        </w:tc>
      </w:tr>
      <w:tr w:rsidR="00BE1537" w:rsidRPr="00BE1537" w14:paraId="25C92464" w14:textId="77777777" w:rsidTr="00BE1537">
        <w:tc>
          <w:tcPr>
            <w:tcW w:w="0" w:type="auto"/>
            <w:vMerge/>
            <w:shd w:val="clear" w:color="auto" w:fill="000000"/>
            <w:vAlign w:val="center"/>
            <w:hideMark/>
          </w:tcPr>
          <w:p w14:paraId="215554D4" w14:textId="77777777" w:rsidR="00BE1537" w:rsidRPr="00BE1537" w:rsidRDefault="00BE1537" w:rsidP="00BE1537"/>
        </w:tc>
        <w:tc>
          <w:tcPr>
            <w:tcW w:w="0" w:type="auto"/>
            <w:shd w:val="clear" w:color="auto" w:fill="000000"/>
            <w:vAlign w:val="center"/>
            <w:hideMark/>
          </w:tcPr>
          <w:p w14:paraId="61A4070E" w14:textId="77777777" w:rsidR="00BE1537" w:rsidRPr="00BE1537" w:rsidRDefault="00BE1537" w:rsidP="00BE1537">
            <w:r w:rsidRPr="00BE1537">
              <w:t> CPU Cooler Height</w:t>
            </w:r>
          </w:p>
        </w:tc>
        <w:tc>
          <w:tcPr>
            <w:tcW w:w="0" w:type="auto"/>
            <w:shd w:val="clear" w:color="auto" w:fill="000000"/>
            <w:vAlign w:val="center"/>
            <w:hideMark/>
          </w:tcPr>
          <w:p w14:paraId="6CAF8D35" w14:textId="77777777" w:rsidR="00BE1537" w:rsidRPr="00BE1537" w:rsidRDefault="00BE1537" w:rsidP="00BE1537">
            <w:r w:rsidRPr="00BE1537">
              <w:t> 175 mm</w:t>
            </w:r>
          </w:p>
        </w:tc>
      </w:tr>
      <w:tr w:rsidR="00BE1537" w:rsidRPr="00BE1537" w14:paraId="081CEB3F" w14:textId="77777777" w:rsidTr="00BE1537">
        <w:tc>
          <w:tcPr>
            <w:tcW w:w="0" w:type="auto"/>
            <w:shd w:val="clear" w:color="auto" w:fill="000000"/>
            <w:vAlign w:val="center"/>
            <w:hideMark/>
          </w:tcPr>
          <w:p w14:paraId="3085C6CD" w14:textId="77777777" w:rsidR="00BE1537" w:rsidRPr="00BE1537" w:rsidRDefault="00BE1537" w:rsidP="00BE1537">
            <w:r w:rsidRPr="00BE1537">
              <w:t> I/O Panel</w:t>
            </w:r>
          </w:p>
        </w:tc>
        <w:tc>
          <w:tcPr>
            <w:tcW w:w="0" w:type="auto"/>
            <w:gridSpan w:val="2"/>
            <w:shd w:val="clear" w:color="auto" w:fill="000000"/>
            <w:vAlign w:val="center"/>
            <w:hideMark/>
          </w:tcPr>
          <w:p w14:paraId="17288256" w14:textId="77777777" w:rsidR="00BE1537" w:rsidRPr="00BE1537" w:rsidRDefault="00BE1537" w:rsidP="00BE1537">
            <w:r w:rsidRPr="00BE1537">
              <w:t> 2 x USB 2.0, 1 x USB 3.0, 1 x Audio In, 1 x Mic</w:t>
            </w:r>
          </w:p>
        </w:tc>
      </w:tr>
      <w:tr w:rsidR="00BE1537" w:rsidRPr="00BE1537" w14:paraId="38FBF6F9" w14:textId="77777777" w:rsidTr="00BE1537">
        <w:tc>
          <w:tcPr>
            <w:tcW w:w="0" w:type="auto"/>
            <w:gridSpan w:val="2"/>
            <w:shd w:val="clear" w:color="auto" w:fill="000000"/>
            <w:vAlign w:val="center"/>
            <w:hideMark/>
          </w:tcPr>
          <w:p w14:paraId="587986BC" w14:textId="77777777" w:rsidR="00BE1537" w:rsidRPr="00BE1537" w:rsidRDefault="00BE1537" w:rsidP="00BE1537">
            <w:r w:rsidRPr="00BE1537">
              <w:t> Expansion Slots</w:t>
            </w:r>
          </w:p>
        </w:tc>
        <w:tc>
          <w:tcPr>
            <w:tcW w:w="0" w:type="auto"/>
            <w:shd w:val="clear" w:color="auto" w:fill="000000"/>
            <w:vAlign w:val="center"/>
            <w:hideMark/>
          </w:tcPr>
          <w:p w14:paraId="4932B2A3" w14:textId="77777777" w:rsidR="00BE1537" w:rsidRPr="00BE1537" w:rsidRDefault="00BE1537" w:rsidP="00BE1537">
            <w:r w:rsidRPr="00BE1537">
              <w:t>7</w:t>
            </w:r>
          </w:p>
        </w:tc>
      </w:tr>
    </w:tbl>
    <w:p w14:paraId="78FB5A69" w14:textId="53B1B115" w:rsidR="00BE1537" w:rsidRDefault="00BE1537" w:rsidP="00BE1537"/>
    <w:sectPr w:rsidR="00BE1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75DF2"/>
    <w:multiLevelType w:val="multilevel"/>
    <w:tmpl w:val="92F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70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00"/>
    <w:rsid w:val="0049098D"/>
    <w:rsid w:val="00545C43"/>
    <w:rsid w:val="00645AE6"/>
    <w:rsid w:val="00BE1537"/>
    <w:rsid w:val="00DB5EFB"/>
    <w:rsid w:val="00E31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CD2B"/>
  <w15:chartTrackingRefBased/>
  <w15:docId w15:val="{6E607E17-49DC-403F-B7F2-1DA611AC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6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16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6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6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6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6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16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6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6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6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600"/>
    <w:rPr>
      <w:rFonts w:eastAsiaTheme="majorEastAsia" w:cstheme="majorBidi"/>
      <w:color w:val="272727" w:themeColor="text1" w:themeTint="D8"/>
    </w:rPr>
  </w:style>
  <w:style w:type="paragraph" w:styleId="Title">
    <w:name w:val="Title"/>
    <w:basedOn w:val="Normal"/>
    <w:next w:val="Normal"/>
    <w:link w:val="TitleChar"/>
    <w:uiPriority w:val="10"/>
    <w:qFormat/>
    <w:rsid w:val="00E31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600"/>
    <w:pPr>
      <w:spacing w:before="160"/>
      <w:jc w:val="center"/>
    </w:pPr>
    <w:rPr>
      <w:i/>
      <w:iCs/>
      <w:color w:val="404040" w:themeColor="text1" w:themeTint="BF"/>
    </w:rPr>
  </w:style>
  <w:style w:type="character" w:customStyle="1" w:styleId="QuoteChar">
    <w:name w:val="Quote Char"/>
    <w:basedOn w:val="DefaultParagraphFont"/>
    <w:link w:val="Quote"/>
    <w:uiPriority w:val="29"/>
    <w:rsid w:val="00E31600"/>
    <w:rPr>
      <w:i/>
      <w:iCs/>
      <w:color w:val="404040" w:themeColor="text1" w:themeTint="BF"/>
    </w:rPr>
  </w:style>
  <w:style w:type="paragraph" w:styleId="ListParagraph">
    <w:name w:val="List Paragraph"/>
    <w:basedOn w:val="Normal"/>
    <w:uiPriority w:val="34"/>
    <w:qFormat/>
    <w:rsid w:val="00E31600"/>
    <w:pPr>
      <w:ind w:left="720"/>
      <w:contextualSpacing/>
    </w:pPr>
  </w:style>
  <w:style w:type="character" w:styleId="IntenseEmphasis">
    <w:name w:val="Intense Emphasis"/>
    <w:basedOn w:val="DefaultParagraphFont"/>
    <w:uiPriority w:val="21"/>
    <w:qFormat/>
    <w:rsid w:val="00E31600"/>
    <w:rPr>
      <w:i/>
      <w:iCs/>
      <w:color w:val="0F4761" w:themeColor="accent1" w:themeShade="BF"/>
    </w:rPr>
  </w:style>
  <w:style w:type="paragraph" w:styleId="IntenseQuote">
    <w:name w:val="Intense Quote"/>
    <w:basedOn w:val="Normal"/>
    <w:next w:val="Normal"/>
    <w:link w:val="IntenseQuoteChar"/>
    <w:uiPriority w:val="30"/>
    <w:qFormat/>
    <w:rsid w:val="00E31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600"/>
    <w:rPr>
      <w:i/>
      <w:iCs/>
      <w:color w:val="0F4761" w:themeColor="accent1" w:themeShade="BF"/>
    </w:rPr>
  </w:style>
  <w:style w:type="character" w:styleId="IntenseReference">
    <w:name w:val="Intense Reference"/>
    <w:basedOn w:val="DefaultParagraphFont"/>
    <w:uiPriority w:val="32"/>
    <w:qFormat/>
    <w:rsid w:val="00E316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50873">
      <w:bodyDiv w:val="1"/>
      <w:marLeft w:val="0"/>
      <w:marRight w:val="0"/>
      <w:marTop w:val="0"/>
      <w:marBottom w:val="0"/>
      <w:divBdr>
        <w:top w:val="none" w:sz="0" w:space="0" w:color="auto"/>
        <w:left w:val="none" w:sz="0" w:space="0" w:color="auto"/>
        <w:bottom w:val="none" w:sz="0" w:space="0" w:color="auto"/>
        <w:right w:val="none" w:sz="0" w:space="0" w:color="auto"/>
      </w:divBdr>
    </w:div>
    <w:div w:id="794569318">
      <w:bodyDiv w:val="1"/>
      <w:marLeft w:val="0"/>
      <w:marRight w:val="0"/>
      <w:marTop w:val="0"/>
      <w:marBottom w:val="0"/>
      <w:divBdr>
        <w:top w:val="none" w:sz="0" w:space="0" w:color="auto"/>
        <w:left w:val="none" w:sz="0" w:space="0" w:color="auto"/>
        <w:bottom w:val="none" w:sz="0" w:space="0" w:color="auto"/>
        <w:right w:val="none" w:sz="0" w:space="0" w:color="auto"/>
      </w:divBdr>
    </w:div>
    <w:div w:id="1035541715">
      <w:bodyDiv w:val="1"/>
      <w:marLeft w:val="0"/>
      <w:marRight w:val="0"/>
      <w:marTop w:val="0"/>
      <w:marBottom w:val="0"/>
      <w:divBdr>
        <w:top w:val="none" w:sz="0" w:space="0" w:color="auto"/>
        <w:left w:val="none" w:sz="0" w:space="0" w:color="auto"/>
        <w:bottom w:val="none" w:sz="0" w:space="0" w:color="auto"/>
        <w:right w:val="none" w:sz="0" w:space="0" w:color="auto"/>
      </w:divBdr>
    </w:div>
    <w:div w:id="1660764547">
      <w:bodyDiv w:val="1"/>
      <w:marLeft w:val="0"/>
      <w:marRight w:val="0"/>
      <w:marTop w:val="0"/>
      <w:marBottom w:val="0"/>
      <w:divBdr>
        <w:top w:val="none" w:sz="0" w:space="0" w:color="auto"/>
        <w:left w:val="none" w:sz="0" w:space="0" w:color="auto"/>
        <w:bottom w:val="none" w:sz="0" w:space="0" w:color="auto"/>
        <w:right w:val="none" w:sz="0" w:space="0" w:color="auto"/>
      </w:divBdr>
    </w:div>
    <w:div w:id="1664579864">
      <w:bodyDiv w:val="1"/>
      <w:marLeft w:val="0"/>
      <w:marRight w:val="0"/>
      <w:marTop w:val="0"/>
      <w:marBottom w:val="0"/>
      <w:divBdr>
        <w:top w:val="none" w:sz="0" w:space="0" w:color="auto"/>
        <w:left w:val="none" w:sz="0" w:space="0" w:color="auto"/>
        <w:bottom w:val="none" w:sz="0" w:space="0" w:color="auto"/>
        <w:right w:val="none" w:sz="0" w:space="0" w:color="auto"/>
      </w:divBdr>
    </w:div>
    <w:div w:id="181340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dc:creator>
  <cp:keywords/>
  <dc:description/>
  <cp:lastModifiedBy>PRADEEP P</cp:lastModifiedBy>
  <cp:revision>2</cp:revision>
  <dcterms:created xsi:type="dcterms:W3CDTF">2024-11-05T08:27:00Z</dcterms:created>
  <dcterms:modified xsi:type="dcterms:W3CDTF">2024-11-05T08:29:00Z</dcterms:modified>
</cp:coreProperties>
</file>