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5A8CC" w14:textId="77777777" w:rsidR="0036064F" w:rsidRPr="0036064F" w:rsidRDefault="0036064F" w:rsidP="0036064F">
      <w:r w:rsidRPr="0036064F">
        <w:t>Ant Esports Elite 1000 TG Mid Tower Gaming Cabinet</w:t>
      </w:r>
    </w:p>
    <w:p w14:paraId="4CD979DE" w14:textId="77777777" w:rsidR="0036064F" w:rsidRDefault="0036064F" w:rsidP="0036064F">
      <w:r w:rsidRPr="0036064F">
        <w:t xml:space="preserve">The Ant Esports Elite 1000 offers a monolithic design and solid build quality in a small form factor size providing support for up to </w:t>
      </w:r>
      <w:proofErr w:type="spellStart"/>
      <w:r w:rsidRPr="0036064F">
        <w:t>mATX</w:t>
      </w:r>
      <w:proofErr w:type="spellEnd"/>
      <w:r w:rsidRPr="0036064F">
        <w:t xml:space="preserve"> motherboards along with essential features like high airflow and rich connectivity options.</w:t>
      </w:r>
    </w:p>
    <w:p w14:paraId="4B603462" w14:textId="77777777" w:rsidR="0036064F" w:rsidRDefault="0036064F" w:rsidP="0036064F"/>
    <w:p w14:paraId="097E6F74" w14:textId="709B9A74" w:rsidR="0036064F" w:rsidRDefault="0036064F" w:rsidP="0036064F">
      <w:r>
        <w:t>Overview :</w:t>
      </w:r>
    </w:p>
    <w:p w14:paraId="6D88E662" w14:textId="2C332032" w:rsidR="0036064F" w:rsidRPr="0036064F" w:rsidRDefault="0036064F" w:rsidP="0036064F">
      <w:r>
        <w:rPr>
          <w:noProof/>
        </w:rPr>
        <w:drawing>
          <wp:inline distT="0" distB="0" distL="0" distR="0" wp14:anchorId="0479AA39" wp14:editId="1588F1B2">
            <wp:extent cx="5731510" cy="3545205"/>
            <wp:effectExtent l="0" t="0" r="2540" b="0"/>
            <wp:docPr id="1171340325" name="Picture 7" descr="A black computer tower with many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40325" name="Picture 7" descr="A black computer tower with many ligh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p w14:paraId="253E41D3" w14:textId="3AB06CB8" w:rsidR="0036064F" w:rsidRPr="0036064F" w:rsidRDefault="0036064F" w:rsidP="0036064F">
      <w:r w:rsidRPr="0036064F">
        <w:t xml:space="preserve">The Ant Esports Elite 1000 offers a monolithic design and solid build quality in a small form factor size providing support for up to </w:t>
      </w:r>
      <w:proofErr w:type="spellStart"/>
      <w:r w:rsidRPr="0036064F">
        <w:t>mATX</w:t>
      </w:r>
      <w:proofErr w:type="spellEnd"/>
      <w:r w:rsidRPr="0036064F">
        <w:t xml:space="preserve"> motherboards along with essential features like high airflow and rich connectivity </w:t>
      </w:r>
      <w:proofErr w:type="spellStart"/>
      <w:r w:rsidRPr="0036064F">
        <w:t>options.A</w:t>
      </w:r>
      <w:proofErr w:type="spellEnd"/>
      <w:r w:rsidRPr="0036064F">
        <w:t xml:space="preserve"> unique checkered front panel with side perforations not only makes the Elite 1000 unique in its appearance but also keeps all your priced hardware cool by creating an influx of cool air through its strategically designed front fan mounts. </w:t>
      </w:r>
      <w:r w:rsidRPr="0036064F">
        <w:drawing>
          <wp:inline distT="0" distB="0" distL="0" distR="0" wp14:anchorId="554FFDE6" wp14:editId="6D6E4741">
            <wp:extent cx="5731510" cy="1809115"/>
            <wp:effectExtent l="0" t="0" r="2540" b="635"/>
            <wp:docPr id="19654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r w:rsidRPr="0036064F">
        <w:lastRenderedPageBreak/>
        <w:t> </w:t>
      </w:r>
      <w:r w:rsidRPr="0036064F">
        <w:drawing>
          <wp:inline distT="0" distB="0" distL="0" distR="0" wp14:anchorId="78CC3333" wp14:editId="4ED8B6D3">
            <wp:extent cx="5731510" cy="1697990"/>
            <wp:effectExtent l="0" t="0" r="2540" b="0"/>
            <wp:docPr id="1767187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r w:rsidRPr="0036064F">
        <w:t xml:space="preserve"> Supporting up to five 120mm fans and a top magnetic dust filter the Elite not only provides ample airflow but also keeps the interiors dust free. Supporting up to two 3.5” HDDs along with four 2.5” SSD at the same time the case is ideal for a budget to mainstream gaming PC in a compact form </w:t>
      </w:r>
      <w:proofErr w:type="spellStart"/>
      <w:r w:rsidRPr="0036064F">
        <w:t>factor.With</w:t>
      </w:r>
      <w:proofErr w:type="spellEnd"/>
      <w:r w:rsidRPr="0036064F">
        <w:t xml:space="preserve"> radiator support for up to 240mm not only in the front but also on top and maximum CPU cooler clearance of 160mm coupled with 345mm length for graphics card the Elite 1000 is the perfect case to provide high accommodation capacity, cooling, and compactness all in a single build.</w:t>
      </w:r>
      <w:r w:rsidRPr="0036064F">
        <w:drawing>
          <wp:inline distT="0" distB="0" distL="0" distR="0" wp14:anchorId="4CD512C7" wp14:editId="3C0F4DD2">
            <wp:extent cx="5731510" cy="1807210"/>
            <wp:effectExtent l="0" t="0" r="2540" b="2540"/>
            <wp:docPr id="706390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14:paraId="606FF3D9" w14:textId="77777777" w:rsidR="0036064F" w:rsidRPr="0036064F" w:rsidRDefault="0036064F" w:rsidP="0036064F">
      <w:pPr>
        <w:numPr>
          <w:ilvl w:val="0"/>
          <w:numId w:val="1"/>
        </w:numPr>
      </w:pPr>
      <w:r w:rsidRPr="0036064F">
        <w:rPr>
          <w:b/>
          <w:bCs/>
        </w:rPr>
        <w:t>Unique Front Panel –</w:t>
      </w:r>
      <w:r w:rsidRPr="0036064F">
        <w:t> A geometric checkered front panel with side perforations ensures unique looks while providing a high influx of cool air to keep your high TDP components cool even under full load.</w:t>
      </w:r>
    </w:p>
    <w:p w14:paraId="41EAAE83" w14:textId="77777777" w:rsidR="0036064F" w:rsidRPr="0036064F" w:rsidRDefault="0036064F" w:rsidP="0036064F">
      <w:pPr>
        <w:numPr>
          <w:ilvl w:val="0"/>
          <w:numId w:val="1"/>
        </w:numPr>
      </w:pPr>
      <w:r w:rsidRPr="0036064F">
        <w:rPr>
          <w:b/>
          <w:bCs/>
        </w:rPr>
        <w:t>Magnetic Dust Filters –</w:t>
      </w:r>
      <w:r w:rsidRPr="0036064F">
        <w:t> The Elite 1000 comes with a magnetic dust filter on the top for easy cleaning as well as for a cleaner interior in every operating condition.</w:t>
      </w:r>
    </w:p>
    <w:p w14:paraId="6335B9E5" w14:textId="77777777" w:rsidR="0036064F" w:rsidRPr="0036064F" w:rsidRDefault="0036064F" w:rsidP="0036064F">
      <w:pPr>
        <w:numPr>
          <w:ilvl w:val="0"/>
          <w:numId w:val="1"/>
        </w:numPr>
      </w:pPr>
      <w:r w:rsidRPr="0036064F">
        <w:rPr>
          <w:b/>
          <w:bCs/>
        </w:rPr>
        <w:t>Ample of Cooling Support –</w:t>
      </w:r>
      <w:r w:rsidRPr="0036064F">
        <w:t> In terms of cooling the case can support up to a 240mm radiator in the front along with 160mm clearance for even tall CPU air coolers.</w:t>
      </w:r>
    </w:p>
    <w:p w14:paraId="1F296C05" w14:textId="77777777" w:rsidR="0036064F" w:rsidRPr="0036064F" w:rsidRDefault="0036064F" w:rsidP="0036064F">
      <w:pPr>
        <w:numPr>
          <w:ilvl w:val="0"/>
          <w:numId w:val="1"/>
        </w:numPr>
      </w:pPr>
      <w:r w:rsidRPr="0036064F">
        <w:rPr>
          <w:b/>
          <w:bCs/>
        </w:rPr>
        <w:t>Multiple storage locations –</w:t>
      </w:r>
      <w:r w:rsidRPr="0036064F">
        <w:t> The Elite 1000 allows installation of up to four SSDs and two HDDs making it ideal for a budget and mainstream gaming PC.</w:t>
      </w:r>
    </w:p>
    <w:p w14:paraId="1321CFE4" w14:textId="77777777" w:rsidR="0036064F" w:rsidRDefault="0036064F" w:rsidP="0036064F">
      <w:pPr>
        <w:numPr>
          <w:ilvl w:val="0"/>
          <w:numId w:val="1"/>
        </w:numPr>
      </w:pPr>
      <w:r w:rsidRPr="0036064F">
        <w:rPr>
          <w:b/>
          <w:bCs/>
        </w:rPr>
        <w:t>Compact Size –</w:t>
      </w:r>
      <w:r w:rsidRPr="0036064F">
        <w:t xml:space="preserve"> Supporting up to a </w:t>
      </w:r>
      <w:proofErr w:type="spellStart"/>
      <w:r w:rsidRPr="0036064F">
        <w:t>mATX</w:t>
      </w:r>
      <w:proofErr w:type="spellEnd"/>
      <w:r w:rsidRPr="0036064F">
        <w:t xml:space="preserve"> motherboard the case is ideal for building a competent gaming PC in a compact form factor.</w:t>
      </w:r>
    </w:p>
    <w:p w14:paraId="60C28EB9" w14:textId="77777777" w:rsidR="0036064F" w:rsidRDefault="0036064F" w:rsidP="0036064F">
      <w:pPr>
        <w:ind w:left="720"/>
        <w:rPr>
          <w:b/>
          <w:bCs/>
        </w:rPr>
      </w:pPr>
    </w:p>
    <w:p w14:paraId="0FFE3774" w14:textId="097FE9B5" w:rsidR="0036064F" w:rsidRPr="0036064F" w:rsidRDefault="0036064F" w:rsidP="0036064F">
      <w:pPr>
        <w:ind w:left="720"/>
      </w:pPr>
      <w:r>
        <w:rPr>
          <w:b/>
          <w:bCs/>
        </w:rPr>
        <w:lastRenderedPageBreak/>
        <w:t xml:space="preserve">Specifications : </w:t>
      </w:r>
    </w:p>
    <w:tbl>
      <w:tblPr>
        <w:tblStyle w:val="TableGridLight"/>
        <w:tblW w:w="0" w:type="auto"/>
        <w:tblInd w:w="-758" w:type="dxa"/>
        <w:tblLook w:val="04A0" w:firstRow="1" w:lastRow="0" w:firstColumn="1" w:lastColumn="0" w:noHBand="0" w:noVBand="1"/>
      </w:tblPr>
      <w:tblGrid>
        <w:gridCol w:w="9016"/>
      </w:tblGrid>
      <w:tr w:rsidR="0036064F" w14:paraId="429C0936" w14:textId="77777777" w:rsidTr="0036064F">
        <w:tc>
          <w:tcPr>
            <w:tcW w:w="9016" w:type="dxa"/>
          </w:tcPr>
          <w:tbl>
            <w:tblPr>
              <w:tblW w:w="7995" w:type="dxa"/>
              <w:tblInd w:w="402" w:type="dxa"/>
              <w:shd w:val="clear" w:color="auto" w:fill="000000"/>
              <w:tblCellMar>
                <w:top w:w="15" w:type="dxa"/>
                <w:left w:w="15" w:type="dxa"/>
                <w:bottom w:w="15" w:type="dxa"/>
                <w:right w:w="15" w:type="dxa"/>
              </w:tblCellMar>
              <w:tblLook w:val="04A0" w:firstRow="1" w:lastRow="0" w:firstColumn="1" w:lastColumn="0" w:noHBand="0" w:noVBand="1"/>
            </w:tblPr>
            <w:tblGrid>
              <w:gridCol w:w="3288"/>
              <w:gridCol w:w="2039"/>
              <w:gridCol w:w="2668"/>
            </w:tblGrid>
            <w:tr w:rsidR="0036064F" w:rsidRPr="0036064F" w14:paraId="5B6E5059" w14:textId="77777777" w:rsidTr="0036064F">
              <w:tc>
                <w:tcPr>
                  <w:tcW w:w="3288" w:type="dxa"/>
                  <w:vMerge w:val="restart"/>
                  <w:shd w:val="clear" w:color="auto" w:fill="000000"/>
                  <w:vAlign w:val="center"/>
                  <w:hideMark/>
                </w:tcPr>
                <w:p w14:paraId="1BBFA9CF" w14:textId="77777777" w:rsidR="0036064F" w:rsidRPr="0036064F" w:rsidRDefault="0036064F" w:rsidP="00D2452F">
                  <w:pPr>
                    <w:numPr>
                      <w:ilvl w:val="0"/>
                      <w:numId w:val="1"/>
                    </w:numPr>
                  </w:pPr>
                  <w:r w:rsidRPr="0036064F">
                    <w:t>Dimensions ( L x W x H )</w:t>
                  </w:r>
                </w:p>
              </w:tc>
              <w:tc>
                <w:tcPr>
                  <w:tcW w:w="2039" w:type="dxa"/>
                  <w:shd w:val="clear" w:color="auto" w:fill="000000"/>
                  <w:vAlign w:val="center"/>
                  <w:hideMark/>
                </w:tcPr>
                <w:p w14:paraId="22E22625" w14:textId="77777777" w:rsidR="0036064F" w:rsidRPr="0036064F" w:rsidRDefault="0036064F" w:rsidP="00D2452F">
                  <w:pPr>
                    <w:numPr>
                      <w:ilvl w:val="0"/>
                      <w:numId w:val="1"/>
                    </w:numPr>
                  </w:pPr>
                  <w:r w:rsidRPr="0036064F">
                    <w:t> Chassis Size</w:t>
                  </w:r>
                </w:p>
              </w:tc>
              <w:tc>
                <w:tcPr>
                  <w:tcW w:w="2668" w:type="dxa"/>
                  <w:shd w:val="clear" w:color="auto" w:fill="000000"/>
                  <w:vAlign w:val="center"/>
                  <w:hideMark/>
                </w:tcPr>
                <w:p w14:paraId="58DE18E8" w14:textId="77777777" w:rsidR="0036064F" w:rsidRPr="0036064F" w:rsidRDefault="0036064F" w:rsidP="00D2452F">
                  <w:pPr>
                    <w:numPr>
                      <w:ilvl w:val="0"/>
                      <w:numId w:val="1"/>
                    </w:numPr>
                  </w:pPr>
                  <w:r w:rsidRPr="0036064F">
                    <w:t> 350 x 205 x 370 mm</w:t>
                  </w:r>
                </w:p>
              </w:tc>
            </w:tr>
            <w:tr w:rsidR="0036064F" w:rsidRPr="0036064F" w14:paraId="670E4F97" w14:textId="77777777" w:rsidTr="0036064F">
              <w:tc>
                <w:tcPr>
                  <w:tcW w:w="0" w:type="auto"/>
                  <w:vMerge/>
                  <w:shd w:val="clear" w:color="auto" w:fill="000000"/>
                  <w:vAlign w:val="center"/>
                  <w:hideMark/>
                </w:tcPr>
                <w:p w14:paraId="320D5EE5" w14:textId="77777777" w:rsidR="0036064F" w:rsidRPr="0036064F" w:rsidRDefault="0036064F" w:rsidP="00D2452F">
                  <w:pPr>
                    <w:numPr>
                      <w:ilvl w:val="0"/>
                      <w:numId w:val="1"/>
                    </w:numPr>
                  </w:pPr>
                </w:p>
              </w:tc>
              <w:tc>
                <w:tcPr>
                  <w:tcW w:w="0" w:type="auto"/>
                  <w:shd w:val="clear" w:color="auto" w:fill="000000"/>
                  <w:vAlign w:val="center"/>
                  <w:hideMark/>
                </w:tcPr>
                <w:p w14:paraId="45FE34A2" w14:textId="77777777" w:rsidR="0036064F" w:rsidRPr="0036064F" w:rsidRDefault="0036064F" w:rsidP="00D2452F">
                  <w:pPr>
                    <w:numPr>
                      <w:ilvl w:val="0"/>
                      <w:numId w:val="1"/>
                    </w:numPr>
                  </w:pPr>
                  <w:r w:rsidRPr="0036064F">
                    <w:t> Packing Size</w:t>
                  </w:r>
                </w:p>
              </w:tc>
              <w:tc>
                <w:tcPr>
                  <w:tcW w:w="0" w:type="auto"/>
                  <w:shd w:val="clear" w:color="auto" w:fill="000000"/>
                  <w:vAlign w:val="center"/>
                  <w:hideMark/>
                </w:tcPr>
                <w:p w14:paraId="44360298" w14:textId="77777777" w:rsidR="0036064F" w:rsidRPr="0036064F" w:rsidRDefault="0036064F" w:rsidP="00D2452F">
                  <w:pPr>
                    <w:numPr>
                      <w:ilvl w:val="0"/>
                      <w:numId w:val="1"/>
                    </w:numPr>
                  </w:pPr>
                  <w:r w:rsidRPr="0036064F">
                    <w:t> 418 x 266 x 473 mm</w:t>
                  </w:r>
                </w:p>
              </w:tc>
            </w:tr>
            <w:tr w:rsidR="0036064F" w:rsidRPr="0036064F" w14:paraId="5959CBDE" w14:textId="77777777" w:rsidTr="0036064F">
              <w:tc>
                <w:tcPr>
                  <w:tcW w:w="0" w:type="auto"/>
                  <w:gridSpan w:val="2"/>
                  <w:shd w:val="clear" w:color="auto" w:fill="000000"/>
                  <w:vAlign w:val="center"/>
                  <w:hideMark/>
                </w:tcPr>
                <w:p w14:paraId="2B1053E9" w14:textId="77777777" w:rsidR="0036064F" w:rsidRPr="0036064F" w:rsidRDefault="0036064F" w:rsidP="00D2452F">
                  <w:pPr>
                    <w:numPr>
                      <w:ilvl w:val="0"/>
                      <w:numId w:val="1"/>
                    </w:numPr>
                  </w:pPr>
                  <w:r w:rsidRPr="0036064F">
                    <w:t> Motherboard Type</w:t>
                  </w:r>
                </w:p>
              </w:tc>
              <w:tc>
                <w:tcPr>
                  <w:tcW w:w="0" w:type="auto"/>
                  <w:shd w:val="clear" w:color="auto" w:fill="000000"/>
                  <w:vAlign w:val="center"/>
                  <w:hideMark/>
                </w:tcPr>
                <w:p w14:paraId="2C6FD562" w14:textId="77777777" w:rsidR="0036064F" w:rsidRPr="0036064F" w:rsidRDefault="0036064F" w:rsidP="00D2452F">
                  <w:pPr>
                    <w:numPr>
                      <w:ilvl w:val="0"/>
                      <w:numId w:val="1"/>
                    </w:numPr>
                  </w:pPr>
                  <w:r w:rsidRPr="0036064F">
                    <w:t> M-ATX, ITX</w:t>
                  </w:r>
                </w:p>
              </w:tc>
            </w:tr>
            <w:tr w:rsidR="0036064F" w:rsidRPr="0036064F" w14:paraId="4E58ED67" w14:textId="77777777" w:rsidTr="0036064F">
              <w:tc>
                <w:tcPr>
                  <w:tcW w:w="3288" w:type="dxa"/>
                  <w:vMerge w:val="restart"/>
                  <w:shd w:val="clear" w:color="auto" w:fill="000000"/>
                  <w:vAlign w:val="center"/>
                  <w:hideMark/>
                </w:tcPr>
                <w:p w14:paraId="64EEF77C" w14:textId="77777777" w:rsidR="0036064F" w:rsidRPr="0036064F" w:rsidRDefault="0036064F" w:rsidP="00D2452F">
                  <w:pPr>
                    <w:numPr>
                      <w:ilvl w:val="0"/>
                      <w:numId w:val="1"/>
                    </w:numPr>
                  </w:pPr>
                  <w:r w:rsidRPr="0036064F">
                    <w:t> Drive Bays</w:t>
                  </w:r>
                </w:p>
              </w:tc>
              <w:tc>
                <w:tcPr>
                  <w:tcW w:w="0" w:type="auto"/>
                  <w:shd w:val="clear" w:color="auto" w:fill="000000"/>
                  <w:vAlign w:val="center"/>
                  <w:hideMark/>
                </w:tcPr>
                <w:p w14:paraId="3E994935" w14:textId="77777777" w:rsidR="0036064F" w:rsidRPr="0036064F" w:rsidRDefault="0036064F" w:rsidP="00D2452F">
                  <w:pPr>
                    <w:numPr>
                      <w:ilvl w:val="0"/>
                      <w:numId w:val="1"/>
                    </w:numPr>
                  </w:pPr>
                  <w:r w:rsidRPr="0036064F">
                    <w:t> 3.5 Inch</w:t>
                  </w:r>
                </w:p>
              </w:tc>
              <w:tc>
                <w:tcPr>
                  <w:tcW w:w="2668" w:type="dxa"/>
                  <w:vMerge w:val="restart"/>
                  <w:shd w:val="clear" w:color="auto" w:fill="000000"/>
                  <w:vAlign w:val="center"/>
                  <w:hideMark/>
                </w:tcPr>
                <w:p w14:paraId="199A4515" w14:textId="77777777" w:rsidR="0036064F" w:rsidRPr="0036064F" w:rsidRDefault="0036064F" w:rsidP="00D2452F">
                  <w:pPr>
                    <w:numPr>
                      <w:ilvl w:val="0"/>
                      <w:numId w:val="1"/>
                    </w:numPr>
                  </w:pPr>
                  <w:r w:rsidRPr="0036064F">
                    <w:t> 2 HDD + 3 SSD or 1 HDD + 4 SSD</w:t>
                  </w:r>
                </w:p>
              </w:tc>
            </w:tr>
            <w:tr w:rsidR="0036064F" w:rsidRPr="0036064F" w14:paraId="59A14FFA" w14:textId="77777777" w:rsidTr="0036064F">
              <w:tc>
                <w:tcPr>
                  <w:tcW w:w="0" w:type="auto"/>
                  <w:vMerge/>
                  <w:shd w:val="clear" w:color="auto" w:fill="000000"/>
                  <w:vAlign w:val="center"/>
                  <w:hideMark/>
                </w:tcPr>
                <w:p w14:paraId="449859CA" w14:textId="77777777" w:rsidR="0036064F" w:rsidRPr="0036064F" w:rsidRDefault="0036064F" w:rsidP="00D2452F">
                  <w:pPr>
                    <w:numPr>
                      <w:ilvl w:val="0"/>
                      <w:numId w:val="1"/>
                    </w:numPr>
                  </w:pPr>
                </w:p>
              </w:tc>
              <w:tc>
                <w:tcPr>
                  <w:tcW w:w="0" w:type="auto"/>
                  <w:shd w:val="clear" w:color="auto" w:fill="000000"/>
                  <w:vAlign w:val="center"/>
                  <w:hideMark/>
                </w:tcPr>
                <w:p w14:paraId="23B97E44" w14:textId="77777777" w:rsidR="0036064F" w:rsidRPr="0036064F" w:rsidRDefault="0036064F" w:rsidP="00D2452F">
                  <w:pPr>
                    <w:numPr>
                      <w:ilvl w:val="0"/>
                      <w:numId w:val="1"/>
                    </w:numPr>
                  </w:pPr>
                  <w:r w:rsidRPr="0036064F">
                    <w:t> 2.5 Inch</w:t>
                  </w:r>
                </w:p>
              </w:tc>
              <w:tc>
                <w:tcPr>
                  <w:tcW w:w="0" w:type="auto"/>
                  <w:vMerge/>
                  <w:shd w:val="clear" w:color="auto" w:fill="000000"/>
                  <w:vAlign w:val="center"/>
                  <w:hideMark/>
                </w:tcPr>
                <w:p w14:paraId="1E2DAF0D" w14:textId="77777777" w:rsidR="0036064F" w:rsidRPr="0036064F" w:rsidRDefault="0036064F" w:rsidP="00D2452F">
                  <w:pPr>
                    <w:numPr>
                      <w:ilvl w:val="0"/>
                      <w:numId w:val="1"/>
                    </w:numPr>
                  </w:pPr>
                </w:p>
              </w:tc>
            </w:tr>
            <w:tr w:rsidR="0036064F" w:rsidRPr="0036064F" w14:paraId="11D74683" w14:textId="77777777" w:rsidTr="0036064F">
              <w:tc>
                <w:tcPr>
                  <w:tcW w:w="0" w:type="auto"/>
                  <w:vMerge/>
                  <w:shd w:val="clear" w:color="auto" w:fill="000000"/>
                  <w:vAlign w:val="center"/>
                  <w:hideMark/>
                </w:tcPr>
                <w:p w14:paraId="1C8603E3" w14:textId="77777777" w:rsidR="0036064F" w:rsidRPr="0036064F" w:rsidRDefault="0036064F" w:rsidP="00D2452F">
                  <w:pPr>
                    <w:numPr>
                      <w:ilvl w:val="0"/>
                      <w:numId w:val="1"/>
                    </w:numPr>
                  </w:pPr>
                </w:p>
              </w:tc>
              <w:tc>
                <w:tcPr>
                  <w:tcW w:w="0" w:type="auto"/>
                  <w:shd w:val="clear" w:color="auto" w:fill="000000"/>
                  <w:vAlign w:val="center"/>
                  <w:hideMark/>
                </w:tcPr>
                <w:p w14:paraId="5C4FDBAD" w14:textId="77777777" w:rsidR="0036064F" w:rsidRPr="0036064F" w:rsidRDefault="0036064F" w:rsidP="00D2452F">
                  <w:pPr>
                    <w:numPr>
                      <w:ilvl w:val="0"/>
                      <w:numId w:val="1"/>
                    </w:numPr>
                  </w:pPr>
                  <w:r w:rsidRPr="0036064F">
                    <w:t> 5.25 Inch</w:t>
                  </w:r>
                </w:p>
              </w:tc>
              <w:tc>
                <w:tcPr>
                  <w:tcW w:w="0" w:type="auto"/>
                  <w:shd w:val="clear" w:color="auto" w:fill="000000"/>
                  <w:vAlign w:val="center"/>
                  <w:hideMark/>
                </w:tcPr>
                <w:p w14:paraId="7EAB6F3C" w14:textId="77777777" w:rsidR="0036064F" w:rsidRPr="0036064F" w:rsidRDefault="0036064F" w:rsidP="00D2452F">
                  <w:pPr>
                    <w:numPr>
                      <w:ilvl w:val="0"/>
                      <w:numId w:val="1"/>
                    </w:numPr>
                  </w:pPr>
                  <w:r w:rsidRPr="0036064F">
                    <w:t> None</w:t>
                  </w:r>
                </w:p>
              </w:tc>
            </w:tr>
            <w:tr w:rsidR="0036064F" w:rsidRPr="0036064F" w14:paraId="560AF851" w14:textId="77777777" w:rsidTr="0036064F">
              <w:tc>
                <w:tcPr>
                  <w:tcW w:w="0" w:type="auto"/>
                  <w:vMerge w:val="restart"/>
                  <w:shd w:val="clear" w:color="auto" w:fill="000000"/>
                  <w:vAlign w:val="center"/>
                  <w:hideMark/>
                </w:tcPr>
                <w:p w14:paraId="0AB8D0DB" w14:textId="77777777" w:rsidR="0036064F" w:rsidRPr="0036064F" w:rsidRDefault="0036064F" w:rsidP="00D2452F">
                  <w:pPr>
                    <w:numPr>
                      <w:ilvl w:val="0"/>
                      <w:numId w:val="1"/>
                    </w:numPr>
                  </w:pPr>
                  <w:r w:rsidRPr="0036064F">
                    <w:t> Fan Support</w:t>
                  </w:r>
                </w:p>
              </w:tc>
              <w:tc>
                <w:tcPr>
                  <w:tcW w:w="0" w:type="auto"/>
                  <w:shd w:val="clear" w:color="auto" w:fill="000000"/>
                  <w:vAlign w:val="center"/>
                  <w:hideMark/>
                </w:tcPr>
                <w:p w14:paraId="6F311D0D" w14:textId="77777777" w:rsidR="0036064F" w:rsidRPr="0036064F" w:rsidRDefault="0036064F" w:rsidP="00D2452F">
                  <w:pPr>
                    <w:numPr>
                      <w:ilvl w:val="0"/>
                      <w:numId w:val="1"/>
                    </w:numPr>
                  </w:pPr>
                  <w:r w:rsidRPr="0036064F">
                    <w:t> Front</w:t>
                  </w:r>
                </w:p>
              </w:tc>
              <w:tc>
                <w:tcPr>
                  <w:tcW w:w="0" w:type="auto"/>
                  <w:shd w:val="clear" w:color="auto" w:fill="000000"/>
                  <w:vAlign w:val="center"/>
                  <w:hideMark/>
                </w:tcPr>
                <w:p w14:paraId="4A345E1A" w14:textId="77777777" w:rsidR="0036064F" w:rsidRPr="0036064F" w:rsidRDefault="0036064F" w:rsidP="00D2452F">
                  <w:pPr>
                    <w:numPr>
                      <w:ilvl w:val="0"/>
                      <w:numId w:val="1"/>
                    </w:numPr>
                  </w:pPr>
                  <w:r w:rsidRPr="0036064F">
                    <w:t> 120 mm x 2</w:t>
                  </w:r>
                </w:p>
              </w:tc>
            </w:tr>
            <w:tr w:rsidR="0036064F" w:rsidRPr="0036064F" w14:paraId="7AB26DE3" w14:textId="77777777" w:rsidTr="0036064F">
              <w:tc>
                <w:tcPr>
                  <w:tcW w:w="0" w:type="auto"/>
                  <w:vMerge/>
                  <w:shd w:val="clear" w:color="auto" w:fill="000000"/>
                  <w:vAlign w:val="center"/>
                  <w:hideMark/>
                </w:tcPr>
                <w:p w14:paraId="7DE51257" w14:textId="77777777" w:rsidR="0036064F" w:rsidRPr="0036064F" w:rsidRDefault="0036064F" w:rsidP="00D2452F">
                  <w:pPr>
                    <w:numPr>
                      <w:ilvl w:val="0"/>
                      <w:numId w:val="1"/>
                    </w:numPr>
                  </w:pPr>
                </w:p>
              </w:tc>
              <w:tc>
                <w:tcPr>
                  <w:tcW w:w="0" w:type="auto"/>
                  <w:shd w:val="clear" w:color="auto" w:fill="000000"/>
                  <w:vAlign w:val="center"/>
                  <w:hideMark/>
                </w:tcPr>
                <w:p w14:paraId="57FD886B" w14:textId="77777777" w:rsidR="0036064F" w:rsidRPr="0036064F" w:rsidRDefault="0036064F" w:rsidP="00D2452F">
                  <w:pPr>
                    <w:numPr>
                      <w:ilvl w:val="0"/>
                      <w:numId w:val="1"/>
                    </w:numPr>
                  </w:pPr>
                  <w:r w:rsidRPr="0036064F">
                    <w:t> Top</w:t>
                  </w:r>
                </w:p>
              </w:tc>
              <w:tc>
                <w:tcPr>
                  <w:tcW w:w="0" w:type="auto"/>
                  <w:shd w:val="clear" w:color="auto" w:fill="000000"/>
                  <w:vAlign w:val="center"/>
                  <w:hideMark/>
                </w:tcPr>
                <w:p w14:paraId="3467519B" w14:textId="77777777" w:rsidR="0036064F" w:rsidRPr="0036064F" w:rsidRDefault="0036064F" w:rsidP="00D2452F">
                  <w:pPr>
                    <w:numPr>
                      <w:ilvl w:val="0"/>
                      <w:numId w:val="1"/>
                    </w:numPr>
                  </w:pPr>
                  <w:r w:rsidRPr="0036064F">
                    <w:t> 120 mm x 2</w:t>
                  </w:r>
                </w:p>
              </w:tc>
            </w:tr>
            <w:tr w:rsidR="0036064F" w:rsidRPr="0036064F" w14:paraId="2C943CC8" w14:textId="77777777" w:rsidTr="0036064F">
              <w:tc>
                <w:tcPr>
                  <w:tcW w:w="0" w:type="auto"/>
                  <w:vMerge/>
                  <w:shd w:val="clear" w:color="auto" w:fill="000000"/>
                  <w:vAlign w:val="center"/>
                  <w:hideMark/>
                </w:tcPr>
                <w:p w14:paraId="2A2EA1B7" w14:textId="77777777" w:rsidR="0036064F" w:rsidRPr="0036064F" w:rsidRDefault="0036064F" w:rsidP="00D2452F">
                  <w:pPr>
                    <w:numPr>
                      <w:ilvl w:val="0"/>
                      <w:numId w:val="1"/>
                    </w:numPr>
                  </w:pPr>
                </w:p>
              </w:tc>
              <w:tc>
                <w:tcPr>
                  <w:tcW w:w="0" w:type="auto"/>
                  <w:shd w:val="clear" w:color="auto" w:fill="000000"/>
                  <w:vAlign w:val="center"/>
                  <w:hideMark/>
                </w:tcPr>
                <w:p w14:paraId="59FEB3E2" w14:textId="77777777" w:rsidR="0036064F" w:rsidRPr="0036064F" w:rsidRDefault="0036064F" w:rsidP="00D2452F">
                  <w:pPr>
                    <w:numPr>
                      <w:ilvl w:val="0"/>
                      <w:numId w:val="1"/>
                    </w:numPr>
                  </w:pPr>
                  <w:r w:rsidRPr="0036064F">
                    <w:t> Bottom</w:t>
                  </w:r>
                </w:p>
              </w:tc>
              <w:tc>
                <w:tcPr>
                  <w:tcW w:w="0" w:type="auto"/>
                  <w:shd w:val="clear" w:color="auto" w:fill="000000"/>
                  <w:vAlign w:val="center"/>
                  <w:hideMark/>
                </w:tcPr>
                <w:p w14:paraId="1B47CD1B" w14:textId="77777777" w:rsidR="0036064F" w:rsidRPr="0036064F" w:rsidRDefault="0036064F" w:rsidP="00D2452F">
                  <w:pPr>
                    <w:numPr>
                      <w:ilvl w:val="0"/>
                      <w:numId w:val="1"/>
                    </w:numPr>
                  </w:pPr>
                  <w:r w:rsidRPr="0036064F">
                    <w:t> None</w:t>
                  </w:r>
                </w:p>
              </w:tc>
            </w:tr>
            <w:tr w:rsidR="0036064F" w:rsidRPr="0036064F" w14:paraId="3B4E1B70" w14:textId="77777777" w:rsidTr="0036064F">
              <w:tc>
                <w:tcPr>
                  <w:tcW w:w="0" w:type="auto"/>
                  <w:vMerge/>
                  <w:shd w:val="clear" w:color="auto" w:fill="000000"/>
                  <w:vAlign w:val="center"/>
                  <w:hideMark/>
                </w:tcPr>
                <w:p w14:paraId="4DEC926E" w14:textId="77777777" w:rsidR="0036064F" w:rsidRPr="0036064F" w:rsidRDefault="0036064F" w:rsidP="00D2452F">
                  <w:pPr>
                    <w:numPr>
                      <w:ilvl w:val="0"/>
                      <w:numId w:val="1"/>
                    </w:numPr>
                  </w:pPr>
                </w:p>
              </w:tc>
              <w:tc>
                <w:tcPr>
                  <w:tcW w:w="0" w:type="auto"/>
                  <w:shd w:val="clear" w:color="auto" w:fill="000000"/>
                  <w:vAlign w:val="center"/>
                  <w:hideMark/>
                </w:tcPr>
                <w:p w14:paraId="07BA74A2" w14:textId="77777777" w:rsidR="0036064F" w:rsidRPr="0036064F" w:rsidRDefault="0036064F" w:rsidP="00D2452F">
                  <w:pPr>
                    <w:numPr>
                      <w:ilvl w:val="0"/>
                      <w:numId w:val="1"/>
                    </w:numPr>
                  </w:pPr>
                  <w:r w:rsidRPr="0036064F">
                    <w:t> Rear</w:t>
                  </w:r>
                </w:p>
              </w:tc>
              <w:tc>
                <w:tcPr>
                  <w:tcW w:w="0" w:type="auto"/>
                  <w:shd w:val="clear" w:color="auto" w:fill="000000"/>
                  <w:vAlign w:val="center"/>
                  <w:hideMark/>
                </w:tcPr>
                <w:p w14:paraId="17192932" w14:textId="77777777" w:rsidR="0036064F" w:rsidRPr="0036064F" w:rsidRDefault="0036064F" w:rsidP="00D2452F">
                  <w:pPr>
                    <w:numPr>
                      <w:ilvl w:val="0"/>
                      <w:numId w:val="1"/>
                    </w:numPr>
                  </w:pPr>
                  <w:r w:rsidRPr="0036064F">
                    <w:t> 120 mm x 1</w:t>
                  </w:r>
                </w:p>
              </w:tc>
            </w:tr>
            <w:tr w:rsidR="0036064F" w:rsidRPr="0036064F" w14:paraId="24E69E35" w14:textId="77777777" w:rsidTr="0036064F">
              <w:tc>
                <w:tcPr>
                  <w:tcW w:w="0" w:type="auto"/>
                  <w:vMerge/>
                  <w:shd w:val="clear" w:color="auto" w:fill="000000"/>
                  <w:vAlign w:val="center"/>
                  <w:hideMark/>
                </w:tcPr>
                <w:p w14:paraId="3E7F5AF9" w14:textId="77777777" w:rsidR="0036064F" w:rsidRPr="0036064F" w:rsidRDefault="0036064F" w:rsidP="00D2452F">
                  <w:pPr>
                    <w:numPr>
                      <w:ilvl w:val="0"/>
                      <w:numId w:val="1"/>
                    </w:numPr>
                  </w:pPr>
                </w:p>
              </w:tc>
              <w:tc>
                <w:tcPr>
                  <w:tcW w:w="0" w:type="auto"/>
                  <w:shd w:val="clear" w:color="auto" w:fill="000000"/>
                  <w:vAlign w:val="center"/>
                  <w:hideMark/>
                </w:tcPr>
                <w:p w14:paraId="36D1E0A5" w14:textId="77777777" w:rsidR="0036064F" w:rsidRPr="0036064F" w:rsidRDefault="0036064F" w:rsidP="00D2452F">
                  <w:pPr>
                    <w:numPr>
                      <w:ilvl w:val="0"/>
                      <w:numId w:val="1"/>
                    </w:numPr>
                  </w:pPr>
                  <w:r w:rsidRPr="0036064F">
                    <w:t> Side</w:t>
                  </w:r>
                </w:p>
              </w:tc>
              <w:tc>
                <w:tcPr>
                  <w:tcW w:w="0" w:type="auto"/>
                  <w:shd w:val="clear" w:color="auto" w:fill="000000"/>
                  <w:vAlign w:val="center"/>
                  <w:hideMark/>
                </w:tcPr>
                <w:p w14:paraId="2CA3D9C8" w14:textId="77777777" w:rsidR="0036064F" w:rsidRPr="0036064F" w:rsidRDefault="0036064F" w:rsidP="00D2452F">
                  <w:pPr>
                    <w:numPr>
                      <w:ilvl w:val="0"/>
                      <w:numId w:val="1"/>
                    </w:numPr>
                  </w:pPr>
                  <w:r w:rsidRPr="0036064F">
                    <w:t> None</w:t>
                  </w:r>
                </w:p>
              </w:tc>
            </w:tr>
            <w:tr w:rsidR="0036064F" w:rsidRPr="0036064F" w14:paraId="6F7ED4A0" w14:textId="77777777" w:rsidTr="0036064F">
              <w:tc>
                <w:tcPr>
                  <w:tcW w:w="3288" w:type="dxa"/>
                  <w:vMerge w:val="restart"/>
                  <w:shd w:val="clear" w:color="auto" w:fill="000000"/>
                  <w:vAlign w:val="center"/>
                  <w:hideMark/>
                </w:tcPr>
                <w:p w14:paraId="3E5014D8" w14:textId="77777777" w:rsidR="0036064F" w:rsidRPr="0036064F" w:rsidRDefault="0036064F" w:rsidP="00D2452F">
                  <w:pPr>
                    <w:numPr>
                      <w:ilvl w:val="0"/>
                      <w:numId w:val="1"/>
                    </w:numPr>
                  </w:pPr>
                  <w:r w:rsidRPr="0036064F">
                    <w:t> Liquid Cooling Support       (Maximum)</w:t>
                  </w:r>
                </w:p>
              </w:tc>
              <w:tc>
                <w:tcPr>
                  <w:tcW w:w="0" w:type="auto"/>
                  <w:shd w:val="clear" w:color="auto" w:fill="000000"/>
                  <w:vAlign w:val="center"/>
                  <w:hideMark/>
                </w:tcPr>
                <w:p w14:paraId="213C8826" w14:textId="77777777" w:rsidR="0036064F" w:rsidRPr="0036064F" w:rsidRDefault="0036064F" w:rsidP="00D2452F">
                  <w:pPr>
                    <w:numPr>
                      <w:ilvl w:val="0"/>
                      <w:numId w:val="1"/>
                    </w:numPr>
                  </w:pPr>
                  <w:r w:rsidRPr="0036064F">
                    <w:t> Front</w:t>
                  </w:r>
                </w:p>
              </w:tc>
              <w:tc>
                <w:tcPr>
                  <w:tcW w:w="0" w:type="auto"/>
                  <w:shd w:val="clear" w:color="auto" w:fill="000000"/>
                  <w:vAlign w:val="center"/>
                  <w:hideMark/>
                </w:tcPr>
                <w:p w14:paraId="2A3FDFF0" w14:textId="77777777" w:rsidR="0036064F" w:rsidRPr="0036064F" w:rsidRDefault="0036064F" w:rsidP="00D2452F">
                  <w:pPr>
                    <w:numPr>
                      <w:ilvl w:val="0"/>
                      <w:numId w:val="1"/>
                    </w:numPr>
                  </w:pPr>
                  <w:r w:rsidRPr="0036064F">
                    <w:t> 120 / 240 mm</w:t>
                  </w:r>
                </w:p>
              </w:tc>
            </w:tr>
            <w:tr w:rsidR="0036064F" w:rsidRPr="0036064F" w14:paraId="6C24A804" w14:textId="77777777" w:rsidTr="0036064F">
              <w:tc>
                <w:tcPr>
                  <w:tcW w:w="0" w:type="auto"/>
                  <w:vMerge/>
                  <w:shd w:val="clear" w:color="auto" w:fill="000000"/>
                  <w:vAlign w:val="center"/>
                  <w:hideMark/>
                </w:tcPr>
                <w:p w14:paraId="6FAFE12D" w14:textId="77777777" w:rsidR="0036064F" w:rsidRPr="0036064F" w:rsidRDefault="0036064F" w:rsidP="00D2452F">
                  <w:pPr>
                    <w:numPr>
                      <w:ilvl w:val="0"/>
                      <w:numId w:val="1"/>
                    </w:numPr>
                  </w:pPr>
                </w:p>
              </w:tc>
              <w:tc>
                <w:tcPr>
                  <w:tcW w:w="0" w:type="auto"/>
                  <w:shd w:val="clear" w:color="auto" w:fill="000000"/>
                  <w:vAlign w:val="center"/>
                  <w:hideMark/>
                </w:tcPr>
                <w:p w14:paraId="495E80A5" w14:textId="77777777" w:rsidR="0036064F" w:rsidRPr="0036064F" w:rsidRDefault="0036064F" w:rsidP="00D2452F">
                  <w:pPr>
                    <w:numPr>
                      <w:ilvl w:val="0"/>
                      <w:numId w:val="1"/>
                    </w:numPr>
                  </w:pPr>
                  <w:r w:rsidRPr="0036064F">
                    <w:t> Rear</w:t>
                  </w:r>
                </w:p>
              </w:tc>
              <w:tc>
                <w:tcPr>
                  <w:tcW w:w="0" w:type="auto"/>
                  <w:shd w:val="clear" w:color="auto" w:fill="000000"/>
                  <w:vAlign w:val="center"/>
                  <w:hideMark/>
                </w:tcPr>
                <w:p w14:paraId="497A192D" w14:textId="77777777" w:rsidR="0036064F" w:rsidRPr="0036064F" w:rsidRDefault="0036064F" w:rsidP="00D2452F">
                  <w:pPr>
                    <w:numPr>
                      <w:ilvl w:val="0"/>
                      <w:numId w:val="1"/>
                    </w:numPr>
                  </w:pPr>
                  <w:r w:rsidRPr="0036064F">
                    <w:t> 120 mm</w:t>
                  </w:r>
                </w:p>
              </w:tc>
            </w:tr>
            <w:tr w:rsidR="0036064F" w:rsidRPr="0036064F" w14:paraId="0EE06052" w14:textId="77777777" w:rsidTr="0036064F">
              <w:tc>
                <w:tcPr>
                  <w:tcW w:w="0" w:type="auto"/>
                  <w:vMerge/>
                  <w:shd w:val="clear" w:color="auto" w:fill="000000"/>
                  <w:vAlign w:val="center"/>
                  <w:hideMark/>
                </w:tcPr>
                <w:p w14:paraId="554E8508" w14:textId="77777777" w:rsidR="0036064F" w:rsidRPr="0036064F" w:rsidRDefault="0036064F" w:rsidP="00D2452F">
                  <w:pPr>
                    <w:numPr>
                      <w:ilvl w:val="0"/>
                      <w:numId w:val="1"/>
                    </w:numPr>
                  </w:pPr>
                </w:p>
              </w:tc>
              <w:tc>
                <w:tcPr>
                  <w:tcW w:w="0" w:type="auto"/>
                  <w:shd w:val="clear" w:color="auto" w:fill="000000"/>
                  <w:vAlign w:val="center"/>
                  <w:hideMark/>
                </w:tcPr>
                <w:p w14:paraId="40526D2E" w14:textId="77777777" w:rsidR="0036064F" w:rsidRPr="0036064F" w:rsidRDefault="0036064F" w:rsidP="00D2452F">
                  <w:pPr>
                    <w:numPr>
                      <w:ilvl w:val="0"/>
                      <w:numId w:val="1"/>
                    </w:numPr>
                  </w:pPr>
                  <w:r w:rsidRPr="0036064F">
                    <w:t> Top</w:t>
                  </w:r>
                </w:p>
              </w:tc>
              <w:tc>
                <w:tcPr>
                  <w:tcW w:w="0" w:type="auto"/>
                  <w:shd w:val="clear" w:color="auto" w:fill="000000"/>
                  <w:vAlign w:val="center"/>
                  <w:hideMark/>
                </w:tcPr>
                <w:p w14:paraId="35335F6B" w14:textId="77777777" w:rsidR="0036064F" w:rsidRPr="0036064F" w:rsidRDefault="0036064F" w:rsidP="00D2452F">
                  <w:pPr>
                    <w:numPr>
                      <w:ilvl w:val="0"/>
                      <w:numId w:val="1"/>
                    </w:numPr>
                  </w:pPr>
                  <w:r w:rsidRPr="0036064F">
                    <w:t> 120 mm &amp; 240 mm (Short Memory)</w:t>
                  </w:r>
                </w:p>
              </w:tc>
            </w:tr>
            <w:tr w:rsidR="0036064F" w:rsidRPr="0036064F" w14:paraId="5F90D98E" w14:textId="77777777" w:rsidTr="0036064F">
              <w:tc>
                <w:tcPr>
                  <w:tcW w:w="0" w:type="auto"/>
                  <w:shd w:val="clear" w:color="auto" w:fill="000000"/>
                  <w:vAlign w:val="center"/>
                  <w:hideMark/>
                </w:tcPr>
                <w:p w14:paraId="50DBD21A" w14:textId="77777777" w:rsidR="0036064F" w:rsidRPr="0036064F" w:rsidRDefault="0036064F" w:rsidP="00D2452F">
                  <w:pPr>
                    <w:numPr>
                      <w:ilvl w:val="0"/>
                      <w:numId w:val="1"/>
                    </w:numPr>
                  </w:pPr>
                  <w:r w:rsidRPr="0036064F">
                    <w:t> Pre-Installed Fans</w:t>
                  </w:r>
                </w:p>
              </w:tc>
              <w:tc>
                <w:tcPr>
                  <w:tcW w:w="0" w:type="auto"/>
                  <w:gridSpan w:val="2"/>
                  <w:shd w:val="clear" w:color="auto" w:fill="000000"/>
                  <w:vAlign w:val="center"/>
                  <w:hideMark/>
                </w:tcPr>
                <w:p w14:paraId="1C17FEA6" w14:textId="77777777" w:rsidR="0036064F" w:rsidRPr="0036064F" w:rsidRDefault="0036064F" w:rsidP="00D2452F">
                  <w:pPr>
                    <w:numPr>
                      <w:ilvl w:val="0"/>
                      <w:numId w:val="1"/>
                    </w:numPr>
                  </w:pPr>
                  <w:r w:rsidRPr="0036064F">
                    <w:t> x 1 Rear Fan</w:t>
                  </w:r>
                </w:p>
              </w:tc>
            </w:tr>
            <w:tr w:rsidR="0036064F" w:rsidRPr="0036064F" w14:paraId="36530CDF" w14:textId="77777777" w:rsidTr="0036064F">
              <w:tc>
                <w:tcPr>
                  <w:tcW w:w="3288" w:type="dxa"/>
                  <w:vMerge w:val="restart"/>
                  <w:shd w:val="clear" w:color="auto" w:fill="000000"/>
                  <w:vAlign w:val="center"/>
                  <w:hideMark/>
                </w:tcPr>
                <w:p w14:paraId="52F6FFB7" w14:textId="77777777" w:rsidR="0036064F" w:rsidRPr="0036064F" w:rsidRDefault="0036064F" w:rsidP="00D2452F">
                  <w:pPr>
                    <w:numPr>
                      <w:ilvl w:val="0"/>
                      <w:numId w:val="1"/>
                    </w:numPr>
                  </w:pPr>
                  <w:r w:rsidRPr="0036064F">
                    <w:t> Compatibility                     ( Maximum )</w:t>
                  </w:r>
                </w:p>
              </w:tc>
              <w:tc>
                <w:tcPr>
                  <w:tcW w:w="0" w:type="auto"/>
                  <w:shd w:val="clear" w:color="auto" w:fill="000000"/>
                  <w:vAlign w:val="center"/>
                  <w:hideMark/>
                </w:tcPr>
                <w:p w14:paraId="68BCF53B" w14:textId="77777777" w:rsidR="0036064F" w:rsidRPr="0036064F" w:rsidRDefault="0036064F" w:rsidP="00D2452F">
                  <w:pPr>
                    <w:numPr>
                      <w:ilvl w:val="0"/>
                      <w:numId w:val="1"/>
                    </w:numPr>
                  </w:pPr>
                  <w:r w:rsidRPr="0036064F">
                    <w:t> VGA Card Length</w:t>
                  </w:r>
                </w:p>
              </w:tc>
              <w:tc>
                <w:tcPr>
                  <w:tcW w:w="0" w:type="auto"/>
                  <w:shd w:val="clear" w:color="auto" w:fill="000000"/>
                  <w:vAlign w:val="center"/>
                  <w:hideMark/>
                </w:tcPr>
                <w:p w14:paraId="3418CBE6" w14:textId="77777777" w:rsidR="0036064F" w:rsidRPr="0036064F" w:rsidRDefault="0036064F" w:rsidP="00D2452F">
                  <w:pPr>
                    <w:numPr>
                      <w:ilvl w:val="0"/>
                      <w:numId w:val="1"/>
                    </w:numPr>
                  </w:pPr>
                  <w:r w:rsidRPr="0036064F">
                    <w:t> 345 mm</w:t>
                  </w:r>
                </w:p>
              </w:tc>
            </w:tr>
            <w:tr w:rsidR="0036064F" w:rsidRPr="0036064F" w14:paraId="6555C9CF" w14:textId="77777777" w:rsidTr="0036064F">
              <w:tc>
                <w:tcPr>
                  <w:tcW w:w="0" w:type="auto"/>
                  <w:vMerge/>
                  <w:shd w:val="clear" w:color="auto" w:fill="000000"/>
                  <w:vAlign w:val="center"/>
                  <w:hideMark/>
                </w:tcPr>
                <w:p w14:paraId="2B21AA71" w14:textId="77777777" w:rsidR="0036064F" w:rsidRPr="0036064F" w:rsidRDefault="0036064F" w:rsidP="00D2452F">
                  <w:pPr>
                    <w:numPr>
                      <w:ilvl w:val="0"/>
                      <w:numId w:val="1"/>
                    </w:numPr>
                  </w:pPr>
                </w:p>
              </w:tc>
              <w:tc>
                <w:tcPr>
                  <w:tcW w:w="0" w:type="auto"/>
                  <w:shd w:val="clear" w:color="auto" w:fill="000000"/>
                  <w:vAlign w:val="center"/>
                  <w:hideMark/>
                </w:tcPr>
                <w:p w14:paraId="45948C50" w14:textId="77777777" w:rsidR="0036064F" w:rsidRPr="0036064F" w:rsidRDefault="0036064F" w:rsidP="00D2452F">
                  <w:pPr>
                    <w:numPr>
                      <w:ilvl w:val="0"/>
                      <w:numId w:val="1"/>
                    </w:numPr>
                  </w:pPr>
                  <w:r w:rsidRPr="0036064F">
                    <w:t> CPU Cooler Height</w:t>
                  </w:r>
                </w:p>
              </w:tc>
              <w:tc>
                <w:tcPr>
                  <w:tcW w:w="0" w:type="auto"/>
                  <w:shd w:val="clear" w:color="auto" w:fill="000000"/>
                  <w:vAlign w:val="center"/>
                  <w:hideMark/>
                </w:tcPr>
                <w:p w14:paraId="6ED7BC0A" w14:textId="77777777" w:rsidR="0036064F" w:rsidRPr="0036064F" w:rsidRDefault="0036064F" w:rsidP="00D2452F">
                  <w:pPr>
                    <w:numPr>
                      <w:ilvl w:val="0"/>
                      <w:numId w:val="1"/>
                    </w:numPr>
                  </w:pPr>
                  <w:r w:rsidRPr="0036064F">
                    <w:t> 160 mm</w:t>
                  </w:r>
                </w:p>
              </w:tc>
            </w:tr>
            <w:tr w:rsidR="0036064F" w:rsidRPr="0036064F" w14:paraId="086EF14F" w14:textId="77777777" w:rsidTr="0036064F">
              <w:tc>
                <w:tcPr>
                  <w:tcW w:w="0" w:type="auto"/>
                  <w:shd w:val="clear" w:color="auto" w:fill="000000"/>
                  <w:vAlign w:val="center"/>
                  <w:hideMark/>
                </w:tcPr>
                <w:p w14:paraId="272C05E8" w14:textId="77777777" w:rsidR="0036064F" w:rsidRPr="0036064F" w:rsidRDefault="0036064F" w:rsidP="00D2452F">
                  <w:pPr>
                    <w:numPr>
                      <w:ilvl w:val="0"/>
                      <w:numId w:val="1"/>
                    </w:numPr>
                  </w:pPr>
                  <w:r w:rsidRPr="0036064F">
                    <w:t> I/O Panel</w:t>
                  </w:r>
                </w:p>
              </w:tc>
              <w:tc>
                <w:tcPr>
                  <w:tcW w:w="0" w:type="auto"/>
                  <w:gridSpan w:val="2"/>
                  <w:shd w:val="clear" w:color="auto" w:fill="000000"/>
                  <w:vAlign w:val="center"/>
                  <w:hideMark/>
                </w:tcPr>
                <w:p w14:paraId="5EEB6AD9" w14:textId="77777777" w:rsidR="0036064F" w:rsidRPr="0036064F" w:rsidRDefault="0036064F" w:rsidP="00D2452F">
                  <w:pPr>
                    <w:numPr>
                      <w:ilvl w:val="0"/>
                      <w:numId w:val="1"/>
                    </w:numPr>
                  </w:pPr>
                  <w:r w:rsidRPr="0036064F">
                    <w:t> 2 x USB 2.0, 1 x USB 3.0, 1 x Audio In, 1 x Mic</w:t>
                  </w:r>
                </w:p>
              </w:tc>
            </w:tr>
            <w:tr w:rsidR="0036064F" w:rsidRPr="0036064F" w14:paraId="39CF8BF9" w14:textId="77777777" w:rsidTr="0036064F">
              <w:tc>
                <w:tcPr>
                  <w:tcW w:w="0" w:type="auto"/>
                  <w:gridSpan w:val="2"/>
                  <w:shd w:val="clear" w:color="auto" w:fill="000000"/>
                  <w:vAlign w:val="center"/>
                  <w:hideMark/>
                </w:tcPr>
                <w:p w14:paraId="232C1B73" w14:textId="77777777" w:rsidR="0036064F" w:rsidRPr="0036064F" w:rsidRDefault="0036064F" w:rsidP="00D2452F">
                  <w:pPr>
                    <w:numPr>
                      <w:ilvl w:val="0"/>
                      <w:numId w:val="1"/>
                    </w:numPr>
                  </w:pPr>
                  <w:r w:rsidRPr="0036064F">
                    <w:t> Expansion Slots</w:t>
                  </w:r>
                </w:p>
              </w:tc>
              <w:tc>
                <w:tcPr>
                  <w:tcW w:w="0" w:type="auto"/>
                  <w:shd w:val="clear" w:color="auto" w:fill="000000"/>
                  <w:vAlign w:val="center"/>
                  <w:hideMark/>
                </w:tcPr>
                <w:p w14:paraId="6E25C3A5" w14:textId="77777777" w:rsidR="0036064F" w:rsidRPr="0036064F" w:rsidRDefault="0036064F" w:rsidP="00D2452F">
                  <w:pPr>
                    <w:numPr>
                      <w:ilvl w:val="0"/>
                      <w:numId w:val="1"/>
                    </w:numPr>
                  </w:pPr>
                  <w:r w:rsidRPr="0036064F">
                    <w:t>4</w:t>
                  </w:r>
                </w:p>
              </w:tc>
            </w:tr>
          </w:tbl>
          <w:p w14:paraId="6A39B32F" w14:textId="77777777" w:rsidR="0036064F" w:rsidRDefault="0036064F" w:rsidP="0036064F">
            <w:hyperlink r:id="rId9" w:history="1">
              <w:r w:rsidRPr="0036064F">
                <w:rPr>
                  <w:rStyle w:val="Hyperlink"/>
                </w:rPr>
                <w:br/>
              </w:r>
            </w:hyperlink>
          </w:p>
        </w:tc>
      </w:tr>
    </w:tbl>
    <w:p w14:paraId="0235263C" w14:textId="641F31A0" w:rsidR="0049098D" w:rsidRDefault="0049098D" w:rsidP="0036064F"/>
    <w:sectPr w:rsidR="0049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303"/>
    <w:multiLevelType w:val="multilevel"/>
    <w:tmpl w:val="690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06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79"/>
    <w:rsid w:val="00077C79"/>
    <w:rsid w:val="002860B7"/>
    <w:rsid w:val="0036064F"/>
    <w:rsid w:val="0049098D"/>
    <w:rsid w:val="00545C43"/>
    <w:rsid w:val="00645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DBF"/>
  <w15:chartTrackingRefBased/>
  <w15:docId w15:val="{C930312A-DF50-46CF-9256-D3C45144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C79"/>
    <w:rPr>
      <w:rFonts w:eastAsiaTheme="majorEastAsia" w:cstheme="majorBidi"/>
      <w:color w:val="272727" w:themeColor="text1" w:themeTint="D8"/>
    </w:rPr>
  </w:style>
  <w:style w:type="paragraph" w:styleId="Title">
    <w:name w:val="Title"/>
    <w:basedOn w:val="Normal"/>
    <w:next w:val="Normal"/>
    <w:link w:val="TitleChar"/>
    <w:uiPriority w:val="10"/>
    <w:qFormat/>
    <w:rsid w:val="00077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C79"/>
    <w:pPr>
      <w:spacing w:before="160"/>
      <w:jc w:val="center"/>
    </w:pPr>
    <w:rPr>
      <w:i/>
      <w:iCs/>
      <w:color w:val="404040" w:themeColor="text1" w:themeTint="BF"/>
    </w:rPr>
  </w:style>
  <w:style w:type="character" w:customStyle="1" w:styleId="QuoteChar">
    <w:name w:val="Quote Char"/>
    <w:basedOn w:val="DefaultParagraphFont"/>
    <w:link w:val="Quote"/>
    <w:uiPriority w:val="29"/>
    <w:rsid w:val="00077C79"/>
    <w:rPr>
      <w:i/>
      <w:iCs/>
      <w:color w:val="404040" w:themeColor="text1" w:themeTint="BF"/>
    </w:rPr>
  </w:style>
  <w:style w:type="paragraph" w:styleId="ListParagraph">
    <w:name w:val="List Paragraph"/>
    <w:basedOn w:val="Normal"/>
    <w:uiPriority w:val="34"/>
    <w:qFormat/>
    <w:rsid w:val="00077C79"/>
    <w:pPr>
      <w:ind w:left="720"/>
      <w:contextualSpacing/>
    </w:pPr>
  </w:style>
  <w:style w:type="character" w:styleId="IntenseEmphasis">
    <w:name w:val="Intense Emphasis"/>
    <w:basedOn w:val="DefaultParagraphFont"/>
    <w:uiPriority w:val="21"/>
    <w:qFormat/>
    <w:rsid w:val="00077C79"/>
    <w:rPr>
      <w:i/>
      <w:iCs/>
      <w:color w:val="0F4761" w:themeColor="accent1" w:themeShade="BF"/>
    </w:rPr>
  </w:style>
  <w:style w:type="paragraph" w:styleId="IntenseQuote">
    <w:name w:val="Intense Quote"/>
    <w:basedOn w:val="Normal"/>
    <w:next w:val="Normal"/>
    <w:link w:val="IntenseQuoteChar"/>
    <w:uiPriority w:val="30"/>
    <w:qFormat/>
    <w:rsid w:val="00077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C79"/>
    <w:rPr>
      <w:i/>
      <w:iCs/>
      <w:color w:val="0F4761" w:themeColor="accent1" w:themeShade="BF"/>
    </w:rPr>
  </w:style>
  <w:style w:type="character" w:styleId="IntenseReference">
    <w:name w:val="Intense Reference"/>
    <w:basedOn w:val="DefaultParagraphFont"/>
    <w:uiPriority w:val="32"/>
    <w:qFormat/>
    <w:rsid w:val="00077C79"/>
    <w:rPr>
      <w:b/>
      <w:bCs/>
      <w:smallCaps/>
      <w:color w:val="0F4761" w:themeColor="accent1" w:themeShade="BF"/>
      <w:spacing w:val="5"/>
    </w:rPr>
  </w:style>
  <w:style w:type="character" w:styleId="Hyperlink">
    <w:name w:val="Hyperlink"/>
    <w:basedOn w:val="DefaultParagraphFont"/>
    <w:uiPriority w:val="99"/>
    <w:unhideWhenUsed/>
    <w:rsid w:val="0036064F"/>
    <w:rPr>
      <w:color w:val="467886" w:themeColor="hyperlink"/>
      <w:u w:val="single"/>
    </w:rPr>
  </w:style>
  <w:style w:type="character" w:styleId="UnresolvedMention">
    <w:name w:val="Unresolved Mention"/>
    <w:basedOn w:val="DefaultParagraphFont"/>
    <w:uiPriority w:val="99"/>
    <w:semiHidden/>
    <w:unhideWhenUsed/>
    <w:rsid w:val="0036064F"/>
    <w:rPr>
      <w:color w:val="605E5C"/>
      <w:shd w:val="clear" w:color="auto" w:fill="E1DFDD"/>
    </w:rPr>
  </w:style>
  <w:style w:type="table" w:styleId="TableGrid">
    <w:name w:val="Table Grid"/>
    <w:basedOn w:val="TableNormal"/>
    <w:uiPriority w:val="39"/>
    <w:rsid w:val="00360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606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606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06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606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60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947163">
      <w:bodyDiv w:val="1"/>
      <w:marLeft w:val="0"/>
      <w:marRight w:val="0"/>
      <w:marTop w:val="0"/>
      <w:marBottom w:val="0"/>
      <w:divBdr>
        <w:top w:val="none" w:sz="0" w:space="0" w:color="auto"/>
        <w:left w:val="none" w:sz="0" w:space="0" w:color="auto"/>
        <w:bottom w:val="none" w:sz="0" w:space="0" w:color="auto"/>
        <w:right w:val="none" w:sz="0" w:space="0" w:color="auto"/>
      </w:divBdr>
      <w:divsChild>
        <w:div w:id="89815013">
          <w:marLeft w:val="0"/>
          <w:marRight w:val="0"/>
          <w:marTop w:val="0"/>
          <w:marBottom w:val="0"/>
          <w:divBdr>
            <w:top w:val="none" w:sz="0" w:space="0" w:color="auto"/>
            <w:left w:val="none" w:sz="0" w:space="0" w:color="auto"/>
            <w:bottom w:val="none" w:sz="0" w:space="0" w:color="auto"/>
            <w:right w:val="none" w:sz="0" w:space="0" w:color="auto"/>
          </w:divBdr>
          <w:divsChild>
            <w:div w:id="2024237560">
              <w:marLeft w:val="0"/>
              <w:marRight w:val="0"/>
              <w:marTop w:val="0"/>
              <w:marBottom w:val="0"/>
              <w:divBdr>
                <w:top w:val="none" w:sz="0" w:space="0" w:color="auto"/>
                <w:left w:val="none" w:sz="0" w:space="0" w:color="auto"/>
                <w:bottom w:val="none" w:sz="0" w:space="0" w:color="auto"/>
                <w:right w:val="none" w:sz="0" w:space="0" w:color="auto"/>
              </w:divBdr>
              <w:divsChild>
                <w:div w:id="353463600">
                  <w:marLeft w:val="0"/>
                  <w:marRight w:val="0"/>
                  <w:marTop w:val="0"/>
                  <w:marBottom w:val="0"/>
                  <w:divBdr>
                    <w:top w:val="none" w:sz="0" w:space="0" w:color="auto"/>
                    <w:left w:val="none" w:sz="0" w:space="0" w:color="auto"/>
                    <w:bottom w:val="none" w:sz="0" w:space="0" w:color="auto"/>
                    <w:right w:val="none" w:sz="0" w:space="0" w:color="auto"/>
                  </w:divBdr>
                  <w:divsChild>
                    <w:div w:id="1619220086">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sChild>
    </w:div>
    <w:div w:id="975260521">
      <w:bodyDiv w:val="1"/>
      <w:marLeft w:val="0"/>
      <w:marRight w:val="0"/>
      <w:marTop w:val="0"/>
      <w:marBottom w:val="0"/>
      <w:divBdr>
        <w:top w:val="none" w:sz="0" w:space="0" w:color="auto"/>
        <w:left w:val="none" w:sz="0" w:space="0" w:color="auto"/>
        <w:bottom w:val="none" w:sz="0" w:space="0" w:color="auto"/>
        <w:right w:val="none" w:sz="0" w:space="0" w:color="auto"/>
      </w:divBdr>
    </w:div>
    <w:div w:id="1067340112">
      <w:bodyDiv w:val="1"/>
      <w:marLeft w:val="0"/>
      <w:marRight w:val="0"/>
      <w:marTop w:val="0"/>
      <w:marBottom w:val="0"/>
      <w:divBdr>
        <w:top w:val="none" w:sz="0" w:space="0" w:color="auto"/>
        <w:left w:val="none" w:sz="0" w:space="0" w:color="auto"/>
        <w:bottom w:val="none" w:sz="0" w:space="0" w:color="auto"/>
        <w:right w:val="none" w:sz="0" w:space="0" w:color="auto"/>
      </w:divBdr>
    </w:div>
    <w:div w:id="1081831315">
      <w:bodyDiv w:val="1"/>
      <w:marLeft w:val="0"/>
      <w:marRight w:val="0"/>
      <w:marTop w:val="0"/>
      <w:marBottom w:val="0"/>
      <w:divBdr>
        <w:top w:val="none" w:sz="0" w:space="0" w:color="auto"/>
        <w:left w:val="none" w:sz="0" w:space="0" w:color="auto"/>
        <w:bottom w:val="none" w:sz="0" w:space="0" w:color="auto"/>
        <w:right w:val="none" w:sz="0" w:space="0" w:color="auto"/>
      </w:divBdr>
      <w:divsChild>
        <w:div w:id="2103142192">
          <w:marLeft w:val="0"/>
          <w:marRight w:val="0"/>
          <w:marTop w:val="0"/>
          <w:marBottom w:val="0"/>
          <w:divBdr>
            <w:top w:val="none" w:sz="0" w:space="0" w:color="auto"/>
            <w:left w:val="none" w:sz="0" w:space="0" w:color="auto"/>
            <w:bottom w:val="none" w:sz="0" w:space="0" w:color="auto"/>
            <w:right w:val="none" w:sz="0" w:space="0" w:color="auto"/>
          </w:divBdr>
          <w:divsChild>
            <w:div w:id="1327973801">
              <w:marLeft w:val="0"/>
              <w:marRight w:val="0"/>
              <w:marTop w:val="0"/>
              <w:marBottom w:val="0"/>
              <w:divBdr>
                <w:top w:val="none" w:sz="0" w:space="0" w:color="auto"/>
                <w:left w:val="none" w:sz="0" w:space="0" w:color="auto"/>
                <w:bottom w:val="none" w:sz="0" w:space="0" w:color="auto"/>
                <w:right w:val="none" w:sz="0" w:space="0" w:color="auto"/>
              </w:divBdr>
              <w:divsChild>
                <w:div w:id="1580824730">
                  <w:marLeft w:val="0"/>
                  <w:marRight w:val="0"/>
                  <w:marTop w:val="0"/>
                  <w:marBottom w:val="0"/>
                  <w:divBdr>
                    <w:top w:val="none" w:sz="0" w:space="0" w:color="auto"/>
                    <w:left w:val="none" w:sz="0" w:space="0" w:color="auto"/>
                    <w:bottom w:val="none" w:sz="0" w:space="0" w:color="auto"/>
                    <w:right w:val="none" w:sz="0" w:space="0" w:color="auto"/>
                  </w:divBdr>
                  <w:divsChild>
                    <w:div w:id="1730760365">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sChild>
    </w:div>
    <w:div w:id="1371951172">
      <w:bodyDiv w:val="1"/>
      <w:marLeft w:val="0"/>
      <w:marRight w:val="0"/>
      <w:marTop w:val="0"/>
      <w:marBottom w:val="0"/>
      <w:divBdr>
        <w:top w:val="none" w:sz="0" w:space="0" w:color="auto"/>
        <w:left w:val="none" w:sz="0" w:space="0" w:color="auto"/>
        <w:bottom w:val="none" w:sz="0" w:space="0" w:color="auto"/>
        <w:right w:val="none" w:sz="0" w:space="0" w:color="auto"/>
      </w:divBdr>
    </w:div>
    <w:div w:id="17408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tesports.com/product/ant-esports-sx3-mid-tower-gaming-cab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3</cp:revision>
  <dcterms:created xsi:type="dcterms:W3CDTF">2024-11-04T11:07:00Z</dcterms:created>
  <dcterms:modified xsi:type="dcterms:W3CDTF">2024-11-04T11:12:00Z</dcterms:modified>
</cp:coreProperties>
</file>