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B77B4" w14:textId="77777777" w:rsidR="00C020D6" w:rsidRPr="00C020D6" w:rsidRDefault="00C020D6" w:rsidP="00C020D6">
      <w:r w:rsidRPr="00C020D6">
        <w:t>Ant Esports ICE-280TG Gaming Cabinet</w:t>
      </w:r>
    </w:p>
    <w:p w14:paraId="3D2CAF93" w14:textId="77777777" w:rsidR="0049098D" w:rsidRDefault="0049098D"/>
    <w:p w14:paraId="679F979E" w14:textId="4781C5F3" w:rsidR="005F2566" w:rsidRPr="005F2566" w:rsidRDefault="005F2566" w:rsidP="005F2566">
      <w:r w:rsidRPr="005F2566">
        <w:drawing>
          <wp:inline distT="0" distB="0" distL="0" distR="0" wp14:anchorId="1FFB675F" wp14:editId="18386B87">
            <wp:extent cx="5731510" cy="1772920"/>
            <wp:effectExtent l="0" t="0" r="2540" b="0"/>
            <wp:docPr id="1956938108" name="Picture 20" descr="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72920"/>
                    </a:xfrm>
                    <a:prstGeom prst="rect">
                      <a:avLst/>
                    </a:prstGeom>
                    <a:noFill/>
                    <a:ln>
                      <a:noFill/>
                    </a:ln>
                  </pic:spPr>
                </pic:pic>
              </a:graphicData>
            </a:graphic>
          </wp:inline>
        </w:drawing>
      </w:r>
    </w:p>
    <w:p w14:paraId="70888680" w14:textId="77777777" w:rsidR="005F2566" w:rsidRPr="005F2566" w:rsidRDefault="005F2566" w:rsidP="005F2566">
      <w:r w:rsidRPr="005F2566">
        <w:t>Ant Esports ICE 280 TG is as unique as it gets with its front honeycomb-like mesh design that lights up in all its glory when paired with RGB or ARGB fans in the back. The front mesh is perforated for abundant airflow while having a thin layer of the air filter to keep your build sparkling clean all the time. You are bound to be noticed with the ICE 280 TG thanks to its unique looks and ample housing capacity ranging from an ITX to a full ATX motherboard, eight 120mm fans out of which one black fan comes preinstalled at the back, and a full PSU shroud gives it a complete look much needed for your premium build.</w:t>
      </w:r>
    </w:p>
    <w:p w14:paraId="409CD13D" w14:textId="678F90EF" w:rsidR="005F2566" w:rsidRPr="005F2566" w:rsidRDefault="005F2566" w:rsidP="005F2566">
      <w:r w:rsidRPr="005F2566">
        <w:lastRenderedPageBreak/>
        <w:drawing>
          <wp:inline distT="0" distB="0" distL="0" distR="0" wp14:anchorId="0AB965EE" wp14:editId="5B1FA1D0">
            <wp:extent cx="2381250" cy="2381250"/>
            <wp:effectExtent l="0" t="0" r="0" b="0"/>
            <wp:docPr id="1226108900" name="Picture 19" desc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5F2566">
        <w:t>   </w:t>
      </w:r>
      <w:r w:rsidRPr="005F2566">
        <w:drawing>
          <wp:inline distT="0" distB="0" distL="0" distR="0" wp14:anchorId="05881AB4" wp14:editId="22BD2F58">
            <wp:extent cx="2381250" cy="2381250"/>
            <wp:effectExtent l="0" t="0" r="0" b="0"/>
            <wp:docPr id="1774022995" name="Picture 18" desc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5F2566">
        <w:t>    </w:t>
      </w:r>
      <w:r w:rsidRPr="005F2566">
        <w:drawing>
          <wp:inline distT="0" distB="0" distL="0" distR="0" wp14:anchorId="51752A8E" wp14:editId="01F70B7A">
            <wp:extent cx="2381250" cy="2381250"/>
            <wp:effectExtent l="0" t="0" r="0" b="0"/>
            <wp:docPr id="1773447394" name="Picture 17" desc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5B13EAFF" w14:textId="77777777" w:rsidR="005F2566" w:rsidRPr="005F2566" w:rsidRDefault="005F2566" w:rsidP="005F2566">
      <w:r w:rsidRPr="005F2566">
        <w:t>On the cooling side, you can either opt for air cooling with up to 160mm clearance or a 240mm radiator in the front and 120mm in the back. As for storage, the options are plenty and the user can either go with two HDDs or two SSDs or can opt for four SSDs and one HDD. The perforated PSU shroud enables decent airflow from the bottom and aids in optimum wire management and comes with dual magnetic dust filters to keep your build clean all the time when viewed from the tool-less side tempered glass panel.</w:t>
      </w:r>
    </w:p>
    <w:p w14:paraId="262B30AC" w14:textId="38A51B1E" w:rsidR="005F2566" w:rsidRPr="005F2566" w:rsidRDefault="005F2566" w:rsidP="005F2566">
      <w:r w:rsidRPr="005F2566">
        <w:lastRenderedPageBreak/>
        <w:drawing>
          <wp:inline distT="0" distB="0" distL="0" distR="0" wp14:anchorId="16EE6826" wp14:editId="3F6C4BCF">
            <wp:extent cx="2381250" cy="2381250"/>
            <wp:effectExtent l="0" t="0" r="0" b="0"/>
            <wp:docPr id="1958943095" name="Picture 16"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5F2566">
        <w:t>   </w:t>
      </w:r>
      <w:r w:rsidRPr="005F2566">
        <w:drawing>
          <wp:inline distT="0" distB="0" distL="0" distR="0" wp14:anchorId="531E361F" wp14:editId="002DEB68">
            <wp:extent cx="2381250" cy="2381250"/>
            <wp:effectExtent l="0" t="0" r="0" b="0"/>
            <wp:docPr id="2014105262" name="Picture 15"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5F2566">
        <w:t>    </w:t>
      </w:r>
      <w:r w:rsidRPr="005F2566">
        <w:drawing>
          <wp:inline distT="0" distB="0" distL="0" distR="0" wp14:anchorId="490F2591" wp14:editId="2D23684D">
            <wp:extent cx="2381250" cy="2381250"/>
            <wp:effectExtent l="0" t="0" r="0" b="0"/>
            <wp:docPr id="1758747954" name="Picture 14" descr="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61F70FDF" w14:textId="77777777" w:rsidR="005F2566" w:rsidRPr="005F2566" w:rsidRDefault="005F2566" w:rsidP="005F2566">
      <w:r w:rsidRPr="005F2566">
        <w:t>The ICE aka Innovative Cooling Equipment, lineup promises to bring unmatched cooling, uncompromised quality, and unconventional RGB lighting to the reach of every gamer. Designed and created with utmost precision keeping in mind the need of every system builder alike the ICE series guarantees not only to elevate your system performance but also to keep you ahead in the heat of battle with its efficient cooling and sturdy construction.</w:t>
      </w:r>
    </w:p>
    <w:p w14:paraId="5E28D299" w14:textId="4309182F" w:rsidR="005F2566" w:rsidRPr="005F2566" w:rsidRDefault="005F2566" w:rsidP="005F2566">
      <w:r w:rsidRPr="005F2566">
        <w:lastRenderedPageBreak/>
        <w:drawing>
          <wp:inline distT="0" distB="0" distL="0" distR="0" wp14:anchorId="65211180" wp14:editId="5C5EFC7C">
            <wp:extent cx="2381250" cy="2381250"/>
            <wp:effectExtent l="0" t="0" r="0" b="0"/>
            <wp:docPr id="381254454" name="Picture 13" descr="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5F2566">
        <w:t>   </w:t>
      </w:r>
      <w:r w:rsidRPr="005F2566">
        <w:drawing>
          <wp:inline distT="0" distB="0" distL="0" distR="0" wp14:anchorId="40A955EF" wp14:editId="2DD8000C">
            <wp:extent cx="2381250" cy="2381250"/>
            <wp:effectExtent l="0" t="0" r="0" b="0"/>
            <wp:docPr id="1757319251" name="Picture 12"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s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5F2566">
        <w:t>    </w:t>
      </w:r>
      <w:r w:rsidRPr="005F2566">
        <w:drawing>
          <wp:inline distT="0" distB="0" distL="0" distR="0" wp14:anchorId="3B528405" wp14:editId="78177467">
            <wp:extent cx="2381250" cy="2381250"/>
            <wp:effectExtent l="0" t="0" r="0" b="0"/>
            <wp:docPr id="987156502" name="Picture 11" descr="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4A04FA63" w14:textId="77777777" w:rsidR="00C020D6" w:rsidRDefault="00C020D6"/>
    <w:tbl>
      <w:tblPr>
        <w:tblW w:w="7995" w:type="dxa"/>
        <w:shd w:val="clear" w:color="auto" w:fill="000000"/>
        <w:tblCellMar>
          <w:top w:w="15" w:type="dxa"/>
          <w:left w:w="15" w:type="dxa"/>
          <w:bottom w:w="15" w:type="dxa"/>
          <w:right w:w="15" w:type="dxa"/>
        </w:tblCellMar>
        <w:tblLook w:val="04A0" w:firstRow="1" w:lastRow="0" w:firstColumn="1" w:lastColumn="0" w:noHBand="0" w:noVBand="1"/>
      </w:tblPr>
      <w:tblGrid>
        <w:gridCol w:w="2568"/>
        <w:gridCol w:w="1941"/>
        <w:gridCol w:w="3486"/>
      </w:tblGrid>
      <w:tr w:rsidR="00CB7123" w:rsidRPr="00CB7123" w14:paraId="1A8142B7" w14:textId="77777777" w:rsidTr="00CB7123">
        <w:tc>
          <w:tcPr>
            <w:tcW w:w="2220" w:type="dxa"/>
            <w:vMerge w:val="restart"/>
            <w:shd w:val="clear" w:color="auto" w:fill="000000"/>
            <w:vAlign w:val="center"/>
            <w:hideMark/>
          </w:tcPr>
          <w:p w14:paraId="7472C862" w14:textId="77777777" w:rsidR="00CB7123" w:rsidRPr="00CB7123" w:rsidRDefault="00CB7123" w:rsidP="00CB7123">
            <w:r w:rsidRPr="00CB7123">
              <w:t>Dimensions ( L x W x H )</w:t>
            </w:r>
          </w:p>
        </w:tc>
        <w:tc>
          <w:tcPr>
            <w:tcW w:w="1905" w:type="dxa"/>
            <w:shd w:val="clear" w:color="auto" w:fill="000000"/>
            <w:vAlign w:val="center"/>
            <w:hideMark/>
          </w:tcPr>
          <w:p w14:paraId="727E5029" w14:textId="77777777" w:rsidR="00CB7123" w:rsidRPr="00CB7123" w:rsidRDefault="00CB7123" w:rsidP="00CB7123">
            <w:r w:rsidRPr="00CB7123">
              <w:t> Chassis Size</w:t>
            </w:r>
          </w:p>
        </w:tc>
        <w:tc>
          <w:tcPr>
            <w:tcW w:w="3870" w:type="dxa"/>
            <w:shd w:val="clear" w:color="auto" w:fill="000000"/>
            <w:vAlign w:val="center"/>
            <w:hideMark/>
          </w:tcPr>
          <w:p w14:paraId="72D618C5" w14:textId="77777777" w:rsidR="00CB7123" w:rsidRPr="00CB7123" w:rsidRDefault="00CB7123" w:rsidP="00CB7123">
            <w:r w:rsidRPr="00CB7123">
              <w:t> 365 x 205 x 440 mm</w:t>
            </w:r>
          </w:p>
        </w:tc>
      </w:tr>
      <w:tr w:rsidR="00CB7123" w:rsidRPr="00CB7123" w14:paraId="0F95D62A" w14:textId="77777777" w:rsidTr="00CB7123">
        <w:tc>
          <w:tcPr>
            <w:tcW w:w="0" w:type="auto"/>
            <w:vMerge/>
            <w:shd w:val="clear" w:color="auto" w:fill="000000"/>
            <w:vAlign w:val="center"/>
            <w:hideMark/>
          </w:tcPr>
          <w:p w14:paraId="6BE937C6" w14:textId="77777777" w:rsidR="00CB7123" w:rsidRPr="00CB7123" w:rsidRDefault="00CB7123" w:rsidP="00CB7123"/>
        </w:tc>
        <w:tc>
          <w:tcPr>
            <w:tcW w:w="0" w:type="auto"/>
            <w:shd w:val="clear" w:color="auto" w:fill="000000"/>
            <w:vAlign w:val="center"/>
            <w:hideMark/>
          </w:tcPr>
          <w:p w14:paraId="6D0DAA34" w14:textId="77777777" w:rsidR="00CB7123" w:rsidRPr="00CB7123" w:rsidRDefault="00CB7123" w:rsidP="00CB7123">
            <w:r w:rsidRPr="00CB7123">
              <w:t> Packing Size</w:t>
            </w:r>
          </w:p>
        </w:tc>
        <w:tc>
          <w:tcPr>
            <w:tcW w:w="0" w:type="auto"/>
            <w:shd w:val="clear" w:color="auto" w:fill="000000"/>
            <w:vAlign w:val="center"/>
            <w:hideMark/>
          </w:tcPr>
          <w:p w14:paraId="40476FB9" w14:textId="77777777" w:rsidR="00CB7123" w:rsidRPr="00CB7123" w:rsidRDefault="00CB7123" w:rsidP="00CB7123">
            <w:r w:rsidRPr="00CB7123">
              <w:t> 512 x 272 x 500 mm</w:t>
            </w:r>
          </w:p>
        </w:tc>
      </w:tr>
      <w:tr w:rsidR="00CB7123" w:rsidRPr="00CB7123" w14:paraId="3085AEDA" w14:textId="77777777" w:rsidTr="00CB7123">
        <w:tc>
          <w:tcPr>
            <w:tcW w:w="0" w:type="auto"/>
            <w:gridSpan w:val="2"/>
            <w:shd w:val="clear" w:color="auto" w:fill="000000"/>
            <w:vAlign w:val="center"/>
            <w:hideMark/>
          </w:tcPr>
          <w:p w14:paraId="0245C774" w14:textId="77777777" w:rsidR="00CB7123" w:rsidRPr="00CB7123" w:rsidRDefault="00CB7123" w:rsidP="00CB7123">
            <w:r w:rsidRPr="00CB7123">
              <w:t> Motherboard Type</w:t>
            </w:r>
          </w:p>
        </w:tc>
        <w:tc>
          <w:tcPr>
            <w:tcW w:w="0" w:type="auto"/>
            <w:shd w:val="clear" w:color="auto" w:fill="000000"/>
            <w:vAlign w:val="center"/>
            <w:hideMark/>
          </w:tcPr>
          <w:p w14:paraId="4A01577A" w14:textId="77777777" w:rsidR="00CB7123" w:rsidRPr="00CB7123" w:rsidRDefault="00CB7123" w:rsidP="00CB7123">
            <w:r w:rsidRPr="00CB7123">
              <w:t> ATX, Micro-ATX</w:t>
            </w:r>
          </w:p>
        </w:tc>
      </w:tr>
      <w:tr w:rsidR="00CB7123" w:rsidRPr="00CB7123" w14:paraId="20C2BAF2" w14:textId="77777777" w:rsidTr="00CB7123">
        <w:tc>
          <w:tcPr>
            <w:tcW w:w="2220" w:type="dxa"/>
            <w:vMerge w:val="restart"/>
            <w:shd w:val="clear" w:color="auto" w:fill="000000"/>
            <w:vAlign w:val="center"/>
            <w:hideMark/>
          </w:tcPr>
          <w:p w14:paraId="1391AF46" w14:textId="77777777" w:rsidR="00CB7123" w:rsidRPr="00CB7123" w:rsidRDefault="00CB7123" w:rsidP="00CB7123">
            <w:r w:rsidRPr="00CB7123">
              <w:t> Drive Bays</w:t>
            </w:r>
          </w:p>
        </w:tc>
        <w:tc>
          <w:tcPr>
            <w:tcW w:w="0" w:type="auto"/>
            <w:shd w:val="clear" w:color="auto" w:fill="000000"/>
            <w:vAlign w:val="center"/>
            <w:hideMark/>
          </w:tcPr>
          <w:p w14:paraId="56FDCE3F" w14:textId="77777777" w:rsidR="00CB7123" w:rsidRPr="00CB7123" w:rsidRDefault="00CB7123" w:rsidP="00CB7123">
            <w:r w:rsidRPr="00CB7123">
              <w:t> 3.5 Inch</w:t>
            </w:r>
          </w:p>
        </w:tc>
        <w:tc>
          <w:tcPr>
            <w:tcW w:w="3870" w:type="dxa"/>
            <w:shd w:val="clear" w:color="auto" w:fill="000000"/>
            <w:vAlign w:val="center"/>
            <w:hideMark/>
          </w:tcPr>
          <w:p w14:paraId="61DE1B1B" w14:textId="77777777" w:rsidR="00CB7123" w:rsidRPr="00CB7123" w:rsidRDefault="00CB7123" w:rsidP="00CB7123">
            <w:r w:rsidRPr="00CB7123">
              <w:t> x 2</w:t>
            </w:r>
          </w:p>
        </w:tc>
      </w:tr>
      <w:tr w:rsidR="00CB7123" w:rsidRPr="00CB7123" w14:paraId="5A7F3F38" w14:textId="77777777" w:rsidTr="00CB7123">
        <w:tc>
          <w:tcPr>
            <w:tcW w:w="0" w:type="auto"/>
            <w:vMerge/>
            <w:shd w:val="clear" w:color="auto" w:fill="000000"/>
            <w:vAlign w:val="center"/>
            <w:hideMark/>
          </w:tcPr>
          <w:p w14:paraId="698A8B1C" w14:textId="77777777" w:rsidR="00CB7123" w:rsidRPr="00CB7123" w:rsidRDefault="00CB7123" w:rsidP="00CB7123"/>
        </w:tc>
        <w:tc>
          <w:tcPr>
            <w:tcW w:w="0" w:type="auto"/>
            <w:shd w:val="clear" w:color="auto" w:fill="000000"/>
            <w:vAlign w:val="center"/>
            <w:hideMark/>
          </w:tcPr>
          <w:p w14:paraId="0307B008" w14:textId="77777777" w:rsidR="00CB7123" w:rsidRPr="00CB7123" w:rsidRDefault="00CB7123" w:rsidP="00CB7123">
            <w:r w:rsidRPr="00CB7123">
              <w:t> 2.5 Inch</w:t>
            </w:r>
          </w:p>
        </w:tc>
        <w:tc>
          <w:tcPr>
            <w:tcW w:w="3870" w:type="dxa"/>
            <w:shd w:val="clear" w:color="auto" w:fill="000000"/>
            <w:vAlign w:val="center"/>
            <w:hideMark/>
          </w:tcPr>
          <w:p w14:paraId="58F8C3E0" w14:textId="77777777" w:rsidR="00CB7123" w:rsidRPr="00CB7123" w:rsidRDefault="00CB7123" w:rsidP="00CB7123">
            <w:r w:rsidRPr="00CB7123">
              <w:t> x 2</w:t>
            </w:r>
          </w:p>
        </w:tc>
      </w:tr>
      <w:tr w:rsidR="00CB7123" w:rsidRPr="00CB7123" w14:paraId="2BA00617" w14:textId="77777777" w:rsidTr="00CB7123">
        <w:tc>
          <w:tcPr>
            <w:tcW w:w="0" w:type="auto"/>
            <w:vMerge/>
            <w:shd w:val="clear" w:color="auto" w:fill="000000"/>
            <w:vAlign w:val="center"/>
            <w:hideMark/>
          </w:tcPr>
          <w:p w14:paraId="5EA925D4" w14:textId="77777777" w:rsidR="00CB7123" w:rsidRPr="00CB7123" w:rsidRDefault="00CB7123" w:rsidP="00CB7123"/>
        </w:tc>
        <w:tc>
          <w:tcPr>
            <w:tcW w:w="0" w:type="auto"/>
            <w:shd w:val="clear" w:color="auto" w:fill="000000"/>
            <w:vAlign w:val="center"/>
            <w:hideMark/>
          </w:tcPr>
          <w:p w14:paraId="1A1D11BB" w14:textId="77777777" w:rsidR="00CB7123" w:rsidRPr="00CB7123" w:rsidRDefault="00CB7123" w:rsidP="00CB7123">
            <w:r w:rsidRPr="00CB7123">
              <w:t> 5.25 Inch (External)</w:t>
            </w:r>
          </w:p>
        </w:tc>
        <w:tc>
          <w:tcPr>
            <w:tcW w:w="0" w:type="auto"/>
            <w:shd w:val="clear" w:color="auto" w:fill="000000"/>
            <w:vAlign w:val="center"/>
            <w:hideMark/>
          </w:tcPr>
          <w:p w14:paraId="683DF2FF" w14:textId="77777777" w:rsidR="00CB7123" w:rsidRPr="00CB7123" w:rsidRDefault="00CB7123" w:rsidP="00CB7123">
            <w:r w:rsidRPr="00CB7123">
              <w:t> None</w:t>
            </w:r>
          </w:p>
        </w:tc>
      </w:tr>
      <w:tr w:rsidR="00CB7123" w:rsidRPr="00CB7123" w14:paraId="1B59487F" w14:textId="77777777" w:rsidTr="00CB7123">
        <w:tc>
          <w:tcPr>
            <w:tcW w:w="0" w:type="auto"/>
            <w:vMerge w:val="restart"/>
            <w:shd w:val="clear" w:color="auto" w:fill="000000"/>
            <w:vAlign w:val="center"/>
            <w:hideMark/>
          </w:tcPr>
          <w:p w14:paraId="351677F3" w14:textId="77777777" w:rsidR="00CB7123" w:rsidRPr="00CB7123" w:rsidRDefault="00CB7123" w:rsidP="00CB7123">
            <w:r w:rsidRPr="00CB7123">
              <w:t> Fan Support</w:t>
            </w:r>
          </w:p>
        </w:tc>
        <w:tc>
          <w:tcPr>
            <w:tcW w:w="0" w:type="auto"/>
            <w:shd w:val="clear" w:color="auto" w:fill="000000"/>
            <w:vAlign w:val="center"/>
            <w:hideMark/>
          </w:tcPr>
          <w:p w14:paraId="3A0465B7" w14:textId="77777777" w:rsidR="00CB7123" w:rsidRPr="00CB7123" w:rsidRDefault="00CB7123" w:rsidP="00CB7123">
            <w:r w:rsidRPr="00CB7123">
              <w:t> Front</w:t>
            </w:r>
          </w:p>
        </w:tc>
        <w:tc>
          <w:tcPr>
            <w:tcW w:w="0" w:type="auto"/>
            <w:shd w:val="clear" w:color="auto" w:fill="000000"/>
            <w:vAlign w:val="center"/>
            <w:hideMark/>
          </w:tcPr>
          <w:p w14:paraId="55BEFF69" w14:textId="77777777" w:rsidR="00CB7123" w:rsidRPr="00CB7123" w:rsidRDefault="00CB7123" w:rsidP="00CB7123">
            <w:r w:rsidRPr="00CB7123">
              <w:t> 120 mm x 3</w:t>
            </w:r>
          </w:p>
        </w:tc>
      </w:tr>
      <w:tr w:rsidR="00CB7123" w:rsidRPr="00CB7123" w14:paraId="73A75DD0" w14:textId="77777777" w:rsidTr="00CB7123">
        <w:tc>
          <w:tcPr>
            <w:tcW w:w="0" w:type="auto"/>
            <w:vMerge/>
            <w:shd w:val="clear" w:color="auto" w:fill="000000"/>
            <w:vAlign w:val="center"/>
            <w:hideMark/>
          </w:tcPr>
          <w:p w14:paraId="4B3EF273" w14:textId="77777777" w:rsidR="00CB7123" w:rsidRPr="00CB7123" w:rsidRDefault="00CB7123" w:rsidP="00CB7123"/>
        </w:tc>
        <w:tc>
          <w:tcPr>
            <w:tcW w:w="0" w:type="auto"/>
            <w:shd w:val="clear" w:color="auto" w:fill="000000"/>
            <w:vAlign w:val="center"/>
            <w:hideMark/>
          </w:tcPr>
          <w:p w14:paraId="48E7F61A" w14:textId="77777777" w:rsidR="00CB7123" w:rsidRPr="00CB7123" w:rsidRDefault="00CB7123" w:rsidP="00CB7123">
            <w:r w:rsidRPr="00CB7123">
              <w:t> Top</w:t>
            </w:r>
          </w:p>
        </w:tc>
        <w:tc>
          <w:tcPr>
            <w:tcW w:w="0" w:type="auto"/>
            <w:shd w:val="clear" w:color="auto" w:fill="000000"/>
            <w:vAlign w:val="center"/>
            <w:hideMark/>
          </w:tcPr>
          <w:p w14:paraId="05D91280" w14:textId="77777777" w:rsidR="00CB7123" w:rsidRPr="00CB7123" w:rsidRDefault="00CB7123" w:rsidP="00CB7123">
            <w:r w:rsidRPr="00CB7123">
              <w:t> 120 mm x 2</w:t>
            </w:r>
          </w:p>
        </w:tc>
      </w:tr>
      <w:tr w:rsidR="00CB7123" w:rsidRPr="00CB7123" w14:paraId="5E3F54D2" w14:textId="77777777" w:rsidTr="00CB7123">
        <w:tc>
          <w:tcPr>
            <w:tcW w:w="0" w:type="auto"/>
            <w:vMerge/>
            <w:shd w:val="clear" w:color="auto" w:fill="000000"/>
            <w:vAlign w:val="center"/>
            <w:hideMark/>
          </w:tcPr>
          <w:p w14:paraId="76C6DFEF" w14:textId="77777777" w:rsidR="00CB7123" w:rsidRPr="00CB7123" w:rsidRDefault="00CB7123" w:rsidP="00CB7123"/>
        </w:tc>
        <w:tc>
          <w:tcPr>
            <w:tcW w:w="0" w:type="auto"/>
            <w:shd w:val="clear" w:color="auto" w:fill="000000"/>
            <w:vAlign w:val="center"/>
            <w:hideMark/>
          </w:tcPr>
          <w:p w14:paraId="4689B8E7" w14:textId="77777777" w:rsidR="00CB7123" w:rsidRPr="00CB7123" w:rsidRDefault="00CB7123" w:rsidP="00CB7123">
            <w:r w:rsidRPr="00CB7123">
              <w:t> Bottom</w:t>
            </w:r>
          </w:p>
        </w:tc>
        <w:tc>
          <w:tcPr>
            <w:tcW w:w="0" w:type="auto"/>
            <w:shd w:val="clear" w:color="auto" w:fill="000000"/>
            <w:vAlign w:val="center"/>
            <w:hideMark/>
          </w:tcPr>
          <w:p w14:paraId="2C87511B" w14:textId="77777777" w:rsidR="00CB7123" w:rsidRPr="00CB7123" w:rsidRDefault="00CB7123" w:rsidP="00CB7123">
            <w:r w:rsidRPr="00CB7123">
              <w:t> 120 mm x 2</w:t>
            </w:r>
          </w:p>
        </w:tc>
      </w:tr>
      <w:tr w:rsidR="00CB7123" w:rsidRPr="00CB7123" w14:paraId="043FF800" w14:textId="77777777" w:rsidTr="00CB7123">
        <w:tc>
          <w:tcPr>
            <w:tcW w:w="0" w:type="auto"/>
            <w:vMerge/>
            <w:shd w:val="clear" w:color="auto" w:fill="000000"/>
            <w:vAlign w:val="center"/>
            <w:hideMark/>
          </w:tcPr>
          <w:p w14:paraId="3EA5D83A" w14:textId="77777777" w:rsidR="00CB7123" w:rsidRPr="00CB7123" w:rsidRDefault="00CB7123" w:rsidP="00CB7123"/>
        </w:tc>
        <w:tc>
          <w:tcPr>
            <w:tcW w:w="0" w:type="auto"/>
            <w:shd w:val="clear" w:color="auto" w:fill="000000"/>
            <w:vAlign w:val="center"/>
            <w:hideMark/>
          </w:tcPr>
          <w:p w14:paraId="7B64FE09" w14:textId="77777777" w:rsidR="00CB7123" w:rsidRPr="00CB7123" w:rsidRDefault="00CB7123" w:rsidP="00CB7123">
            <w:r w:rsidRPr="00CB7123">
              <w:t> Rear</w:t>
            </w:r>
          </w:p>
        </w:tc>
        <w:tc>
          <w:tcPr>
            <w:tcW w:w="0" w:type="auto"/>
            <w:shd w:val="clear" w:color="auto" w:fill="000000"/>
            <w:vAlign w:val="center"/>
            <w:hideMark/>
          </w:tcPr>
          <w:p w14:paraId="6C729EB8" w14:textId="77777777" w:rsidR="00CB7123" w:rsidRPr="00CB7123" w:rsidRDefault="00CB7123" w:rsidP="00CB7123">
            <w:r w:rsidRPr="00CB7123">
              <w:t> 120 mm x 1</w:t>
            </w:r>
          </w:p>
        </w:tc>
      </w:tr>
      <w:tr w:rsidR="00CB7123" w:rsidRPr="00CB7123" w14:paraId="43C2FE9B" w14:textId="77777777" w:rsidTr="00CB7123">
        <w:tc>
          <w:tcPr>
            <w:tcW w:w="0" w:type="auto"/>
            <w:vMerge/>
            <w:shd w:val="clear" w:color="auto" w:fill="000000"/>
            <w:vAlign w:val="center"/>
            <w:hideMark/>
          </w:tcPr>
          <w:p w14:paraId="2519D4EB" w14:textId="77777777" w:rsidR="00CB7123" w:rsidRPr="00CB7123" w:rsidRDefault="00CB7123" w:rsidP="00CB7123"/>
        </w:tc>
        <w:tc>
          <w:tcPr>
            <w:tcW w:w="0" w:type="auto"/>
            <w:shd w:val="clear" w:color="auto" w:fill="000000"/>
            <w:vAlign w:val="center"/>
            <w:hideMark/>
          </w:tcPr>
          <w:p w14:paraId="6B0A08B2" w14:textId="77777777" w:rsidR="00CB7123" w:rsidRPr="00CB7123" w:rsidRDefault="00CB7123" w:rsidP="00CB7123">
            <w:r w:rsidRPr="00CB7123">
              <w:t> Side</w:t>
            </w:r>
          </w:p>
        </w:tc>
        <w:tc>
          <w:tcPr>
            <w:tcW w:w="0" w:type="auto"/>
            <w:shd w:val="clear" w:color="auto" w:fill="000000"/>
            <w:vAlign w:val="center"/>
            <w:hideMark/>
          </w:tcPr>
          <w:p w14:paraId="7AFC7FE2" w14:textId="77777777" w:rsidR="00CB7123" w:rsidRPr="00CB7123" w:rsidRDefault="00CB7123" w:rsidP="00CB7123">
            <w:r w:rsidRPr="00CB7123">
              <w:t> None</w:t>
            </w:r>
          </w:p>
        </w:tc>
      </w:tr>
      <w:tr w:rsidR="00CB7123" w:rsidRPr="00CB7123" w14:paraId="1D7CC860" w14:textId="77777777" w:rsidTr="00CB7123">
        <w:tc>
          <w:tcPr>
            <w:tcW w:w="2220" w:type="dxa"/>
            <w:vMerge w:val="restart"/>
            <w:shd w:val="clear" w:color="auto" w:fill="000000"/>
            <w:vAlign w:val="center"/>
            <w:hideMark/>
          </w:tcPr>
          <w:p w14:paraId="2AAE63BD" w14:textId="77777777" w:rsidR="00CB7123" w:rsidRPr="00CB7123" w:rsidRDefault="00CB7123" w:rsidP="00CB7123">
            <w:r w:rsidRPr="00CB7123">
              <w:t> Liquid Cooling Support       (Maximum)</w:t>
            </w:r>
          </w:p>
        </w:tc>
        <w:tc>
          <w:tcPr>
            <w:tcW w:w="0" w:type="auto"/>
            <w:shd w:val="clear" w:color="auto" w:fill="000000"/>
            <w:vAlign w:val="center"/>
            <w:hideMark/>
          </w:tcPr>
          <w:p w14:paraId="7F3524EB" w14:textId="77777777" w:rsidR="00CB7123" w:rsidRPr="00CB7123" w:rsidRDefault="00CB7123" w:rsidP="00CB7123">
            <w:r w:rsidRPr="00CB7123">
              <w:t> Front</w:t>
            </w:r>
          </w:p>
        </w:tc>
        <w:tc>
          <w:tcPr>
            <w:tcW w:w="0" w:type="auto"/>
            <w:shd w:val="clear" w:color="auto" w:fill="000000"/>
            <w:vAlign w:val="center"/>
            <w:hideMark/>
          </w:tcPr>
          <w:p w14:paraId="34D654B7" w14:textId="77777777" w:rsidR="00CB7123" w:rsidRPr="00CB7123" w:rsidRDefault="00CB7123" w:rsidP="00CB7123">
            <w:r w:rsidRPr="00CB7123">
              <w:t> 120 / 240 mm</w:t>
            </w:r>
          </w:p>
        </w:tc>
      </w:tr>
      <w:tr w:rsidR="00CB7123" w:rsidRPr="00CB7123" w14:paraId="5F869A33" w14:textId="77777777" w:rsidTr="00CB7123">
        <w:tc>
          <w:tcPr>
            <w:tcW w:w="0" w:type="auto"/>
            <w:vMerge/>
            <w:shd w:val="clear" w:color="auto" w:fill="000000"/>
            <w:vAlign w:val="center"/>
            <w:hideMark/>
          </w:tcPr>
          <w:p w14:paraId="571FC0D3" w14:textId="77777777" w:rsidR="00CB7123" w:rsidRPr="00CB7123" w:rsidRDefault="00CB7123" w:rsidP="00CB7123"/>
        </w:tc>
        <w:tc>
          <w:tcPr>
            <w:tcW w:w="0" w:type="auto"/>
            <w:shd w:val="clear" w:color="auto" w:fill="000000"/>
            <w:vAlign w:val="center"/>
            <w:hideMark/>
          </w:tcPr>
          <w:p w14:paraId="78353019" w14:textId="77777777" w:rsidR="00CB7123" w:rsidRPr="00CB7123" w:rsidRDefault="00CB7123" w:rsidP="00CB7123">
            <w:r w:rsidRPr="00CB7123">
              <w:t> Rear</w:t>
            </w:r>
          </w:p>
        </w:tc>
        <w:tc>
          <w:tcPr>
            <w:tcW w:w="0" w:type="auto"/>
            <w:shd w:val="clear" w:color="auto" w:fill="000000"/>
            <w:vAlign w:val="center"/>
            <w:hideMark/>
          </w:tcPr>
          <w:p w14:paraId="2B8319EE" w14:textId="77777777" w:rsidR="00CB7123" w:rsidRPr="00CB7123" w:rsidRDefault="00CB7123" w:rsidP="00CB7123">
            <w:r w:rsidRPr="00CB7123">
              <w:t> 120 mm x 1</w:t>
            </w:r>
          </w:p>
        </w:tc>
      </w:tr>
      <w:tr w:rsidR="00CB7123" w:rsidRPr="00CB7123" w14:paraId="1C8F89FE" w14:textId="77777777" w:rsidTr="00CB7123">
        <w:tc>
          <w:tcPr>
            <w:tcW w:w="0" w:type="auto"/>
            <w:vMerge/>
            <w:shd w:val="clear" w:color="auto" w:fill="000000"/>
            <w:vAlign w:val="center"/>
            <w:hideMark/>
          </w:tcPr>
          <w:p w14:paraId="49D66F18" w14:textId="77777777" w:rsidR="00CB7123" w:rsidRPr="00CB7123" w:rsidRDefault="00CB7123" w:rsidP="00CB7123"/>
        </w:tc>
        <w:tc>
          <w:tcPr>
            <w:tcW w:w="0" w:type="auto"/>
            <w:shd w:val="clear" w:color="auto" w:fill="000000"/>
            <w:vAlign w:val="center"/>
            <w:hideMark/>
          </w:tcPr>
          <w:p w14:paraId="4270BA05" w14:textId="77777777" w:rsidR="00CB7123" w:rsidRPr="00CB7123" w:rsidRDefault="00CB7123" w:rsidP="00CB7123">
            <w:r w:rsidRPr="00CB7123">
              <w:t> Top</w:t>
            </w:r>
          </w:p>
        </w:tc>
        <w:tc>
          <w:tcPr>
            <w:tcW w:w="0" w:type="auto"/>
            <w:shd w:val="clear" w:color="auto" w:fill="000000"/>
            <w:vAlign w:val="center"/>
            <w:hideMark/>
          </w:tcPr>
          <w:p w14:paraId="799D2489" w14:textId="77777777" w:rsidR="00CB7123" w:rsidRPr="00CB7123" w:rsidRDefault="00CB7123" w:rsidP="00CB7123">
            <w:r w:rsidRPr="00CB7123">
              <w:t> None</w:t>
            </w:r>
          </w:p>
        </w:tc>
      </w:tr>
      <w:tr w:rsidR="00CB7123" w:rsidRPr="00CB7123" w14:paraId="27CC08B1" w14:textId="77777777" w:rsidTr="00CB7123">
        <w:tc>
          <w:tcPr>
            <w:tcW w:w="0" w:type="auto"/>
            <w:shd w:val="clear" w:color="auto" w:fill="000000"/>
            <w:vAlign w:val="center"/>
            <w:hideMark/>
          </w:tcPr>
          <w:p w14:paraId="49AD903E" w14:textId="77777777" w:rsidR="00CB7123" w:rsidRPr="00CB7123" w:rsidRDefault="00CB7123" w:rsidP="00CB7123">
            <w:r w:rsidRPr="00CB7123">
              <w:t> Pre-Installed Fans</w:t>
            </w:r>
          </w:p>
        </w:tc>
        <w:tc>
          <w:tcPr>
            <w:tcW w:w="0" w:type="auto"/>
            <w:gridSpan w:val="2"/>
            <w:shd w:val="clear" w:color="auto" w:fill="000000"/>
            <w:vAlign w:val="center"/>
            <w:hideMark/>
          </w:tcPr>
          <w:p w14:paraId="2283727E" w14:textId="77777777" w:rsidR="00CB7123" w:rsidRPr="00CB7123" w:rsidRDefault="00CB7123" w:rsidP="00CB7123">
            <w:r w:rsidRPr="00CB7123">
              <w:t> x 1 Rear Fan</w:t>
            </w:r>
          </w:p>
        </w:tc>
      </w:tr>
      <w:tr w:rsidR="00CB7123" w:rsidRPr="00CB7123" w14:paraId="7CBC7270" w14:textId="77777777" w:rsidTr="00CB7123">
        <w:tc>
          <w:tcPr>
            <w:tcW w:w="2220" w:type="dxa"/>
            <w:vMerge w:val="restart"/>
            <w:shd w:val="clear" w:color="auto" w:fill="000000"/>
            <w:vAlign w:val="center"/>
            <w:hideMark/>
          </w:tcPr>
          <w:p w14:paraId="59763BA0" w14:textId="77777777" w:rsidR="00CB7123" w:rsidRPr="00CB7123" w:rsidRDefault="00CB7123" w:rsidP="00CB7123">
            <w:r w:rsidRPr="00CB7123">
              <w:t> Compatibility                     ( Maximum )</w:t>
            </w:r>
          </w:p>
        </w:tc>
        <w:tc>
          <w:tcPr>
            <w:tcW w:w="0" w:type="auto"/>
            <w:shd w:val="clear" w:color="auto" w:fill="000000"/>
            <w:vAlign w:val="center"/>
            <w:hideMark/>
          </w:tcPr>
          <w:p w14:paraId="27DA5459" w14:textId="77777777" w:rsidR="00CB7123" w:rsidRPr="00CB7123" w:rsidRDefault="00CB7123" w:rsidP="00CB7123">
            <w:r w:rsidRPr="00CB7123">
              <w:t> VGA Card Length</w:t>
            </w:r>
          </w:p>
        </w:tc>
        <w:tc>
          <w:tcPr>
            <w:tcW w:w="0" w:type="auto"/>
            <w:shd w:val="clear" w:color="auto" w:fill="000000"/>
            <w:vAlign w:val="center"/>
            <w:hideMark/>
          </w:tcPr>
          <w:p w14:paraId="7DE2B165" w14:textId="77777777" w:rsidR="00CB7123" w:rsidRPr="00CB7123" w:rsidRDefault="00CB7123" w:rsidP="00CB7123">
            <w:r w:rsidRPr="00CB7123">
              <w:t> 335 mm</w:t>
            </w:r>
          </w:p>
        </w:tc>
      </w:tr>
      <w:tr w:rsidR="00CB7123" w:rsidRPr="00CB7123" w14:paraId="0140204C" w14:textId="77777777" w:rsidTr="00CB7123">
        <w:tc>
          <w:tcPr>
            <w:tcW w:w="0" w:type="auto"/>
            <w:vMerge/>
            <w:shd w:val="clear" w:color="auto" w:fill="000000"/>
            <w:vAlign w:val="center"/>
            <w:hideMark/>
          </w:tcPr>
          <w:p w14:paraId="647F318A" w14:textId="77777777" w:rsidR="00CB7123" w:rsidRPr="00CB7123" w:rsidRDefault="00CB7123" w:rsidP="00CB7123"/>
        </w:tc>
        <w:tc>
          <w:tcPr>
            <w:tcW w:w="0" w:type="auto"/>
            <w:shd w:val="clear" w:color="auto" w:fill="000000"/>
            <w:vAlign w:val="center"/>
            <w:hideMark/>
          </w:tcPr>
          <w:p w14:paraId="7E9C68E6" w14:textId="77777777" w:rsidR="00CB7123" w:rsidRPr="00CB7123" w:rsidRDefault="00CB7123" w:rsidP="00CB7123">
            <w:r w:rsidRPr="00CB7123">
              <w:t> CPU Cooler Height</w:t>
            </w:r>
          </w:p>
        </w:tc>
        <w:tc>
          <w:tcPr>
            <w:tcW w:w="0" w:type="auto"/>
            <w:shd w:val="clear" w:color="auto" w:fill="000000"/>
            <w:vAlign w:val="center"/>
            <w:hideMark/>
          </w:tcPr>
          <w:p w14:paraId="517143BA" w14:textId="77777777" w:rsidR="00CB7123" w:rsidRPr="00CB7123" w:rsidRDefault="00CB7123" w:rsidP="00CB7123">
            <w:r w:rsidRPr="00CB7123">
              <w:t> 150 mm</w:t>
            </w:r>
          </w:p>
        </w:tc>
      </w:tr>
      <w:tr w:rsidR="00CB7123" w:rsidRPr="00CB7123" w14:paraId="16FD0C24" w14:textId="77777777" w:rsidTr="00CB7123">
        <w:tc>
          <w:tcPr>
            <w:tcW w:w="0" w:type="auto"/>
            <w:shd w:val="clear" w:color="auto" w:fill="000000"/>
            <w:vAlign w:val="center"/>
            <w:hideMark/>
          </w:tcPr>
          <w:p w14:paraId="1423C267" w14:textId="77777777" w:rsidR="00CB7123" w:rsidRPr="00CB7123" w:rsidRDefault="00CB7123" w:rsidP="00CB7123">
            <w:r w:rsidRPr="00CB7123">
              <w:t> I/O Panel</w:t>
            </w:r>
          </w:p>
        </w:tc>
        <w:tc>
          <w:tcPr>
            <w:tcW w:w="0" w:type="auto"/>
            <w:gridSpan w:val="2"/>
            <w:shd w:val="clear" w:color="auto" w:fill="000000"/>
            <w:vAlign w:val="center"/>
            <w:hideMark/>
          </w:tcPr>
          <w:p w14:paraId="3AE5A523" w14:textId="77777777" w:rsidR="00CB7123" w:rsidRPr="00CB7123" w:rsidRDefault="00CB7123" w:rsidP="00CB7123">
            <w:r w:rsidRPr="00CB7123">
              <w:t> 1 x USB 2.0, 1 x USB 3.0, 1 x Audio In, 1 x Mic</w:t>
            </w:r>
          </w:p>
        </w:tc>
      </w:tr>
      <w:tr w:rsidR="00CB7123" w:rsidRPr="00CB7123" w14:paraId="7B44F56C" w14:textId="77777777" w:rsidTr="00CB7123">
        <w:tc>
          <w:tcPr>
            <w:tcW w:w="0" w:type="auto"/>
            <w:gridSpan w:val="2"/>
            <w:shd w:val="clear" w:color="auto" w:fill="000000"/>
            <w:vAlign w:val="center"/>
            <w:hideMark/>
          </w:tcPr>
          <w:p w14:paraId="04C789C3" w14:textId="77777777" w:rsidR="00CB7123" w:rsidRPr="00CB7123" w:rsidRDefault="00CB7123" w:rsidP="00CB7123">
            <w:r w:rsidRPr="00CB7123">
              <w:t> Expansion Slots</w:t>
            </w:r>
          </w:p>
        </w:tc>
        <w:tc>
          <w:tcPr>
            <w:tcW w:w="0" w:type="auto"/>
            <w:shd w:val="clear" w:color="auto" w:fill="000000"/>
            <w:vAlign w:val="center"/>
            <w:hideMark/>
          </w:tcPr>
          <w:p w14:paraId="75FCB8A8" w14:textId="77777777" w:rsidR="00CB7123" w:rsidRPr="00CB7123" w:rsidRDefault="00CB7123" w:rsidP="00CB7123">
            <w:r w:rsidRPr="00CB7123">
              <w:t>7</w:t>
            </w:r>
          </w:p>
        </w:tc>
      </w:tr>
    </w:tbl>
    <w:p w14:paraId="20A49F41" w14:textId="77777777" w:rsidR="00CB7123" w:rsidRDefault="00CB7123"/>
    <w:sectPr w:rsidR="00CB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44"/>
    <w:rsid w:val="0049098D"/>
    <w:rsid w:val="00545C43"/>
    <w:rsid w:val="00573944"/>
    <w:rsid w:val="005F2566"/>
    <w:rsid w:val="00645AE6"/>
    <w:rsid w:val="00C020D6"/>
    <w:rsid w:val="00CB7123"/>
    <w:rsid w:val="00DB5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7CB8"/>
  <w15:chartTrackingRefBased/>
  <w15:docId w15:val="{D4A3CBDC-D5B7-4ADA-93DD-5B51DAFC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944"/>
    <w:rPr>
      <w:rFonts w:eastAsiaTheme="majorEastAsia" w:cstheme="majorBidi"/>
      <w:color w:val="272727" w:themeColor="text1" w:themeTint="D8"/>
    </w:rPr>
  </w:style>
  <w:style w:type="paragraph" w:styleId="Title">
    <w:name w:val="Title"/>
    <w:basedOn w:val="Normal"/>
    <w:next w:val="Normal"/>
    <w:link w:val="TitleChar"/>
    <w:uiPriority w:val="10"/>
    <w:qFormat/>
    <w:rsid w:val="0057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944"/>
    <w:pPr>
      <w:spacing w:before="160"/>
      <w:jc w:val="center"/>
    </w:pPr>
    <w:rPr>
      <w:i/>
      <w:iCs/>
      <w:color w:val="404040" w:themeColor="text1" w:themeTint="BF"/>
    </w:rPr>
  </w:style>
  <w:style w:type="character" w:customStyle="1" w:styleId="QuoteChar">
    <w:name w:val="Quote Char"/>
    <w:basedOn w:val="DefaultParagraphFont"/>
    <w:link w:val="Quote"/>
    <w:uiPriority w:val="29"/>
    <w:rsid w:val="00573944"/>
    <w:rPr>
      <w:i/>
      <w:iCs/>
      <w:color w:val="404040" w:themeColor="text1" w:themeTint="BF"/>
    </w:rPr>
  </w:style>
  <w:style w:type="paragraph" w:styleId="ListParagraph">
    <w:name w:val="List Paragraph"/>
    <w:basedOn w:val="Normal"/>
    <w:uiPriority w:val="34"/>
    <w:qFormat/>
    <w:rsid w:val="00573944"/>
    <w:pPr>
      <w:ind w:left="720"/>
      <w:contextualSpacing/>
    </w:pPr>
  </w:style>
  <w:style w:type="character" w:styleId="IntenseEmphasis">
    <w:name w:val="Intense Emphasis"/>
    <w:basedOn w:val="DefaultParagraphFont"/>
    <w:uiPriority w:val="21"/>
    <w:qFormat/>
    <w:rsid w:val="00573944"/>
    <w:rPr>
      <w:i/>
      <w:iCs/>
      <w:color w:val="0F4761" w:themeColor="accent1" w:themeShade="BF"/>
    </w:rPr>
  </w:style>
  <w:style w:type="paragraph" w:styleId="IntenseQuote">
    <w:name w:val="Intense Quote"/>
    <w:basedOn w:val="Normal"/>
    <w:next w:val="Normal"/>
    <w:link w:val="IntenseQuoteChar"/>
    <w:uiPriority w:val="30"/>
    <w:qFormat/>
    <w:rsid w:val="00573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944"/>
    <w:rPr>
      <w:i/>
      <w:iCs/>
      <w:color w:val="0F4761" w:themeColor="accent1" w:themeShade="BF"/>
    </w:rPr>
  </w:style>
  <w:style w:type="character" w:styleId="IntenseReference">
    <w:name w:val="Intense Reference"/>
    <w:basedOn w:val="DefaultParagraphFont"/>
    <w:uiPriority w:val="32"/>
    <w:qFormat/>
    <w:rsid w:val="00573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0556">
      <w:bodyDiv w:val="1"/>
      <w:marLeft w:val="0"/>
      <w:marRight w:val="0"/>
      <w:marTop w:val="0"/>
      <w:marBottom w:val="0"/>
      <w:divBdr>
        <w:top w:val="none" w:sz="0" w:space="0" w:color="auto"/>
        <w:left w:val="none" w:sz="0" w:space="0" w:color="auto"/>
        <w:bottom w:val="none" w:sz="0" w:space="0" w:color="auto"/>
        <w:right w:val="none" w:sz="0" w:space="0" w:color="auto"/>
      </w:divBdr>
    </w:div>
    <w:div w:id="219098970">
      <w:bodyDiv w:val="1"/>
      <w:marLeft w:val="0"/>
      <w:marRight w:val="0"/>
      <w:marTop w:val="0"/>
      <w:marBottom w:val="0"/>
      <w:divBdr>
        <w:top w:val="none" w:sz="0" w:space="0" w:color="auto"/>
        <w:left w:val="none" w:sz="0" w:space="0" w:color="auto"/>
        <w:bottom w:val="none" w:sz="0" w:space="0" w:color="auto"/>
        <w:right w:val="none" w:sz="0" w:space="0" w:color="auto"/>
      </w:divBdr>
    </w:div>
    <w:div w:id="672033072">
      <w:bodyDiv w:val="1"/>
      <w:marLeft w:val="0"/>
      <w:marRight w:val="0"/>
      <w:marTop w:val="0"/>
      <w:marBottom w:val="0"/>
      <w:divBdr>
        <w:top w:val="none" w:sz="0" w:space="0" w:color="auto"/>
        <w:left w:val="none" w:sz="0" w:space="0" w:color="auto"/>
        <w:bottom w:val="none" w:sz="0" w:space="0" w:color="auto"/>
        <w:right w:val="none" w:sz="0" w:space="0" w:color="auto"/>
      </w:divBdr>
    </w:div>
    <w:div w:id="1486778706">
      <w:bodyDiv w:val="1"/>
      <w:marLeft w:val="0"/>
      <w:marRight w:val="0"/>
      <w:marTop w:val="0"/>
      <w:marBottom w:val="0"/>
      <w:divBdr>
        <w:top w:val="none" w:sz="0" w:space="0" w:color="auto"/>
        <w:left w:val="none" w:sz="0" w:space="0" w:color="auto"/>
        <w:bottom w:val="none" w:sz="0" w:space="0" w:color="auto"/>
        <w:right w:val="none" w:sz="0" w:space="0" w:color="auto"/>
      </w:divBdr>
    </w:div>
    <w:div w:id="1861964936">
      <w:bodyDiv w:val="1"/>
      <w:marLeft w:val="0"/>
      <w:marRight w:val="0"/>
      <w:marTop w:val="0"/>
      <w:marBottom w:val="0"/>
      <w:divBdr>
        <w:top w:val="none" w:sz="0" w:space="0" w:color="auto"/>
        <w:left w:val="none" w:sz="0" w:space="0" w:color="auto"/>
        <w:bottom w:val="none" w:sz="0" w:space="0" w:color="auto"/>
        <w:right w:val="none" w:sz="0" w:space="0" w:color="auto"/>
      </w:divBdr>
    </w:div>
    <w:div w:id="20551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5</cp:revision>
  <dcterms:created xsi:type="dcterms:W3CDTF">2024-11-05T09:05:00Z</dcterms:created>
  <dcterms:modified xsi:type="dcterms:W3CDTF">2024-11-05T09:07:00Z</dcterms:modified>
</cp:coreProperties>
</file>