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Inter SemiBold" w:cs="Inter SemiBold" w:eastAsia="Inter SemiBold" w:hAnsi="Inter SemiBold"/>
          <w:color w:val="003492"/>
          <w:sz w:val="18"/>
          <w:szCs w:val="18"/>
        </w:rPr>
        <w:t xml:space="preserve">April 20, 2026</w:t>
      </w:r>
    </w:p>
    <w:p>
      <w:pPr>
        <w:spacing w:after="80"/>
      </w:pPr>
      <w:r>
        <w:rPr>
          <w:rFonts w:ascii="Inter Medium" w:cs="Inter Medium" w:eastAsia="Inter Medium" w:hAnsi="Inter Medium"/>
          <w:color w:val="000000"/>
          <w:sz w:val="48"/>
          <w:szCs w:val="48"/>
        </w:rPr>
        <w:t xml:space="preserve">AIOC+ V1 Pedestrian Warning: Use Cases</w:t>
      </w:r>
    </w:p>
    <w:p>
      <w:pPr>
        <w:spacing w:after="200"/>
      </w:pPr>
      <w:r>
        <w:rPr>
          <w:rFonts w:ascii="Inter" w:cs="Inter" w:eastAsia="Inter" w:hAnsi="Inter"/>
          <w:color w:val="999999"/>
          <w:sz w:val="20"/>
          <w:szCs w:val="20"/>
        </w:rPr>
        <w:t xml:space="preserve">32 scenarios across motion, AIOC+ eligibility, and intent. Draft for PM alignment.</w:t>
      </w:r>
    </w:p>
    <w:p>
      <w:pPr>
        <w:pBdr>
          <w:bottom w:val="single" w:color="003492" w:sz="6" w:space="1"/>
        </w:pBdr>
        <w:spacing w:after="240"/>
      </w:pPr>
    </w:p>
    <w:p>
      <w:pPr>
        <w:pStyle w:val="Heading2"/>
        <w:spacing w:after="80" w:before="240"/>
      </w:pPr>
      <w:r>
        <w:rPr>
          <w:rFonts w:ascii="Inter SemiBold" w:cs="Inter SemiBold" w:eastAsia="Inter SemiBold" w:hAnsi="Inter SemiBold"/>
          <w:color w:val="1B2736"/>
          <w:sz w:val="24"/>
          <w:szCs w:val="24"/>
        </w:rPr>
        <w:t xml:space="preserve">Use Cases</w:t>
      </w:r>
    </w:p>
    <w:p>
      <w:pPr>
        <w:spacing w:after="120" w:line="280"/>
      </w:pPr>
      <w:r>
        <w:rPr>
          <w:rFonts w:ascii="Inter SemiBold" w:cs="Inter SemiBold" w:eastAsia="Inter SemiBold" w:hAnsi="Inter SemiBold"/>
          <w:color w:val="2E2E2E"/>
          <w:sz w:val="20"/>
          <w:szCs w:val="20"/>
        </w:rPr>
        <w:t xml:space="preserve">Legend. </w:t>
      </w:r>
      <w:r>
        <w:rPr>
          <w:rFonts w:ascii="Inter" w:cs="Inter" w:eastAsia="Inter" w:hAnsi="Inter"/>
          <w:color w:val="2E2E2E"/>
          <w:sz w:val="20"/>
          <w:szCs w:val="20"/>
        </w:rPr>
        <w:t xml:space="preserve">⭐ marks uniquely solved by AIOC+ (no other Motive product, competitor slice, or camera arrangement covers this). ⚠ marks a known technical gap in V1.</w:t>
      </w:r>
    </w:p>
    <w:p>
      <w:pPr>
        <w:pStyle w:val="Heading3"/>
        <w:spacing w:after="60" w:before="180"/>
      </w:pPr>
      <w:r>
        <w:rPr>
          <w:rFonts w:ascii="Inter SemiBold" w:cs="Inter SemiBold" w:eastAsia="Inter SemiBold" w:hAnsi="Inter SemiBold"/>
          <w:color w:val="2E2E2E"/>
          <w:sz w:val="20"/>
          <w:szCs w:val="20"/>
        </w:rPr>
        <w:t xml:space="preserve">Motion × AIOC+ eligibility × intent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15"/>
        <w:gridCol w:w="2815"/>
        <w:gridCol w:w="2815"/>
        <w:gridCol w:w="2815"/>
      </w:tblGrid>
      <w:tr>
        <w:tc>
          <w:tcPr>
            <w:tcW w:type="dxa" w:w="1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B27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 SemiBold" w:cs="Inter SemiBold" w:eastAsia="Inter SemiBold" w:hAnsi="Inter SemiBold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815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B27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 SemiBold" w:cs="Inter SemiBold" w:eastAsia="Inter SemiBold" w:hAnsi="Inter SemiBold"/>
                <w:color w:val="FFFFFF"/>
                <w:sz w:val="18"/>
                <w:szCs w:val="18"/>
              </w:rPr>
              <w:t xml:space="preserve">Eligible YES · Proactive</w:t>
            </w:r>
          </w:p>
        </w:tc>
        <w:tc>
          <w:tcPr>
            <w:tcW w:type="dxa" w:w="2815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B27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 SemiBold" w:cs="Inter SemiBold" w:eastAsia="Inter SemiBold" w:hAnsi="Inter SemiBold"/>
                <w:color w:val="FFFFFF"/>
                <w:sz w:val="18"/>
                <w:szCs w:val="18"/>
              </w:rPr>
              <w:t xml:space="preserve">Eligible YES · Reactive</w:t>
            </w:r>
          </w:p>
        </w:tc>
        <w:tc>
          <w:tcPr>
            <w:tcW w:type="dxa" w:w="2815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B27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 SemiBold" w:cs="Inter SemiBold" w:eastAsia="Inter SemiBold" w:hAnsi="Inter SemiBold"/>
                <w:color w:val="FFFFFF"/>
                <w:sz w:val="18"/>
                <w:szCs w:val="18"/>
              </w:rPr>
              <w:t xml:space="preserve">Eligible NO · Proactive</w:t>
            </w:r>
          </w:p>
        </w:tc>
        <w:tc>
          <w:tcPr>
            <w:tcW w:type="dxa" w:w="2815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B27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 SemiBold" w:cs="Inter SemiBold" w:eastAsia="Inter SemiBold" w:hAnsi="Inter SemiBold"/>
                <w:color w:val="FFFFFF"/>
                <w:sz w:val="18"/>
                <w:szCs w:val="18"/>
              </w:rPr>
              <w:t xml:space="preserve">Eligible NO · Reactive</w:t>
            </w:r>
          </w:p>
        </w:tc>
      </w:tr>
      <w:tr>
        <w:tc>
          <w:tcPr>
            <w:tcW w:type="dxa" w:w="1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Inter" w:cs="Inter" w:eastAsia="Inter" w:hAnsi="Inter"/>
                <w:color w:val="2E2E2E"/>
                <w:sz w:val="16"/>
                <w:szCs w:val="16"/>
              </w:rPr>
              <w:t xml:space="preserve">In motion (&gt; 0 mph)</w:t>
            </w:r>
          </w:p>
        </w:tc>
        <w:tc>
          <w:tcPr>
            <w:tcW w:type="dxa" w:w="2815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Inter" w:cs="Inter" w:eastAsia="Inter" w:hAnsi="Inter"/>
                <w:color w:val="2E2E2E"/>
                <w:sz w:val="16"/>
                <w:szCs w:val="16"/>
              </w:rPr>
              <w:t xml:space="preserve">⭐ 1. Backing at dock / driveway / residential pickup (rear)</w:t>
            </w:r>
          </w:p>
          <w:p>
            <w:pPr>
              <w:spacing w:after="40" w:line="240"/>
            </w:pPr>
            <w:r>
              <w:rPr>
                <w:rFonts w:ascii="Inter" w:cs="Inter" w:eastAsia="Inter" w:hAnsi="Inter"/>
                <w:color w:val="2E2E2E"/>
                <w:sz w:val="16"/>
                <w:szCs w:val="16"/>
              </w:rPr>
              <w:t xml:space="preserve">2. Slow-roll forward in yard, worker in path (side, partial)</w:t>
            </w:r>
          </w:p>
          <w:p>
            <w:pPr>
              <w:spacing w:after="40" w:line="240"/>
            </w:pPr>
            <w:r>
              <w:rPr>
                <w:rFonts w:ascii="Inter" w:cs="Inter" w:eastAsia="Inter" w:hAnsi="Inter"/>
                <w:color w:val="2E2E2E"/>
                <w:sz w:val="16"/>
                <w:szCs w:val="16"/>
              </w:rPr>
              <w:t xml:space="preserve">⭐ 3. Right turn, nearside ped or cyclist (side nearside)</w:t>
            </w:r>
          </w:p>
          <w:p>
            <w:pPr>
              <w:spacing w:after="40" w:line="240"/>
            </w:pPr>
            <w:r>
              <w:rPr>
                <w:rFonts w:ascii="Inter" w:cs="Inter" w:eastAsia="Inter" w:hAnsi="Inter"/>
                <w:color w:val="2E2E2E"/>
                <w:sz w:val="16"/>
                <w:szCs w:val="16"/>
              </w:rPr>
              <w:t xml:space="preserve">⭐ 4. Highway lane change, BSM (side)</w:t>
            </w:r>
          </w:p>
          <w:p>
            <w:pPr>
              <w:spacing w:after="40" w:line="240"/>
            </w:pPr>
            <w:r>
              <w:rPr>
                <w:rFonts w:ascii="Inter" w:cs="Inter" w:eastAsia="Inter" w:hAnsi="Inter"/>
                <w:color w:val="2E2E2E"/>
                <w:sz w:val="16"/>
                <w:szCs w:val="16"/>
              </w:rPr>
              <w:t xml:space="preserve">⭐ 6. Highway merge, adjacent lane (side)</w:t>
            </w:r>
          </w:p>
          <w:p>
            <w:pPr>
              <w:spacing w:after="40" w:line="240"/>
            </w:pPr>
            <w:r>
              <w:rPr>
                <w:rFonts w:ascii="Inter" w:cs="Inter" w:eastAsia="Inter" w:hAnsi="Inter"/>
                <w:color w:val="2E2E2E"/>
                <w:sz w:val="16"/>
                <w:szCs w:val="16"/>
              </w:rPr>
              <w:t xml:space="preserve">⭐ 7. Tight-space low-speed maneuver (all external)</w:t>
            </w:r>
          </w:p>
          <w:p>
            <w:pPr>
              <w:spacing w:after="40" w:line="240"/>
            </w:pPr>
            <w:r>
              <w:rPr>
                <w:rFonts w:ascii="Inter" w:cs="Inter" w:eastAsia="Inter" w:hAnsi="Inter"/>
                <w:color w:val="2E2E2E"/>
                <w:sz w:val="16"/>
                <w:szCs w:val="16"/>
              </w:rPr>
              <w:t xml:space="preserve">⭐⚠ 8. Tractor-trailer wide turn, nearside cyclist (side nearside; birdseye tractor gap)</w:t>
            </w:r>
          </w:p>
          <w:p>
            <w:pPr>
              <w:spacing w:after="40" w:line="240"/>
            </w:pPr>
            <w:r>
              <w:rPr>
                <w:rFonts w:ascii="Inter" w:cs="Inter" w:eastAsia="Inter" w:hAnsi="Inter"/>
                <w:color w:val="2E2E2E"/>
                <w:sz w:val="16"/>
                <w:szCs w:val="16"/>
              </w:rPr>
              <w:t xml:space="preserve">⭐ 9. Pulling away from curb, ped walking past (rear + side)</w:t>
            </w:r>
          </w:p>
        </w:tc>
        <w:tc>
          <w:tcPr>
            <w:tcW w:type="dxa" w:w="2815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Inter" w:cs="Inter" w:eastAsia="Inter" w:hAnsi="Inter"/>
                <w:color w:val="2E2E2E"/>
                <w:sz w:val="16"/>
                <w:szCs w:val="16"/>
              </w:rPr>
              <w:t xml:space="preserve">⭐ 11. Ped struck during backing, claim evidence (rear)</w:t>
            </w:r>
          </w:p>
          <w:p>
            <w:pPr>
              <w:spacing w:after="40" w:line="240"/>
            </w:pPr>
            <w:r>
              <w:rPr>
                <w:rFonts w:ascii="Inter" w:cs="Inter" w:eastAsia="Inter" w:hAnsi="Inter"/>
                <w:color w:val="2E2E2E"/>
                <w:sz w:val="16"/>
                <w:szCs w:val="16"/>
              </w:rPr>
              <w:t xml:space="preserve">12. Ped struck during turn, liability evidence (side + forward, partial)</w:t>
            </w:r>
          </w:p>
          <w:p>
            <w:pPr>
              <w:spacing w:after="40" w:line="240"/>
            </w:pPr>
            <w:r>
              <w:rPr>
                <w:rFonts w:ascii="Inter" w:cs="Inter" w:eastAsia="Inter" w:hAnsi="Inter"/>
                <w:color w:val="2E2E2E"/>
                <w:sz w:val="16"/>
                <w:szCs w:val="16"/>
              </w:rPr>
              <w:t xml:space="preserve">⭐ 13. Sidewalk ped mirror-contact claim (side)</w:t>
            </w:r>
          </w:p>
          <w:p>
            <w:pPr>
              <w:spacing w:after="40" w:line="240"/>
            </w:pPr>
            <w:r>
              <w:rPr>
                <w:rFonts w:ascii="Inter" w:cs="Inter" w:eastAsia="Inter" w:hAnsi="Inter"/>
                <w:color w:val="2E2E2E"/>
                <w:sz w:val="16"/>
                <w:szCs w:val="16"/>
              </w:rPr>
              <w:t xml:space="preserve">⭐ 15. Ped walked into side of moving truck (side)</w:t>
            </w:r>
          </w:p>
          <w:p>
            <w:pPr>
              <w:spacing w:after="40" w:line="240"/>
            </w:pPr>
            <w:r>
              <w:rPr>
                <w:rFonts w:ascii="Inter" w:cs="Inter" w:eastAsia="Inter" w:hAnsi="Inter"/>
                <w:color w:val="2E2E2E"/>
                <w:sz w:val="16"/>
                <w:szCs w:val="16"/>
              </w:rPr>
              <w:t xml:space="preserve">⭐ 16. Bike or e-scooter struck during lane change (side)</w:t>
            </w:r>
          </w:p>
          <w:p>
            <w:pPr>
              <w:spacing w:after="40" w:line="240"/>
            </w:pPr>
            <w:r>
              <w:rPr>
                <w:rFonts w:ascii="Inter" w:cs="Inter" w:eastAsia="Inter" w:hAnsi="Inter"/>
                <w:color w:val="2E2E2E"/>
                <w:sz w:val="16"/>
                <w:szCs w:val="16"/>
              </w:rPr>
              <w:t xml:space="preserve">⭐ 17. Disputed yard low-speed incident (all external)</w:t>
            </w:r>
          </w:p>
          <w:p>
            <w:pPr>
              <w:spacing w:after="40" w:line="240"/>
            </w:pPr>
            <w:r>
              <w:rPr>
                <w:rFonts w:ascii="Inter" w:cs="Inter" w:eastAsia="Inter" w:hAnsi="Inter"/>
                <w:color w:val="2E2E2E"/>
                <w:sz w:val="16"/>
                <w:szCs w:val="16"/>
              </w:rPr>
              <w:t xml:space="preserve">⭐ 18. Reverse hit-and-run, ped behind rolling truck (rear)</w:t>
            </w:r>
          </w:p>
        </w:tc>
        <w:tc>
          <w:tcPr>
            <w:tcW w:type="dxa" w:w="2815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Inter" w:cs="Inter" w:eastAsia="Inter" w:hAnsi="Inter"/>
                <w:color w:val="2E2E2E"/>
                <w:sz w:val="16"/>
                <w:szCs w:val="16"/>
              </w:rPr>
              <w:t xml:space="preserve">5. Approaching crosswalk, ped AEB (AIDC+ FPW)</w:t>
            </w:r>
          </w:p>
          <w:p>
            <w:pPr>
              <w:spacing w:after="40" w:line="240"/>
            </w:pPr>
            <w:r>
              <w:rPr>
                <w:rFonts w:ascii="Inter" w:cs="Inter" w:eastAsia="Inter" w:hAnsi="Inter"/>
                <w:color w:val="2E2E2E"/>
                <w:sz w:val="16"/>
                <w:szCs w:val="16"/>
              </w:rPr>
              <w:t xml:space="preserve">10. Forward ped in lane ahead (AIDC+ FPW)</w:t>
            </w:r>
          </w:p>
        </w:tc>
        <w:tc>
          <w:tcPr>
            <w:tcW w:type="dxa" w:w="2815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Inter" w:cs="Inter" w:eastAsia="Inter" w:hAnsi="Inter"/>
                <w:color w:val="2E2E2E"/>
                <w:sz w:val="16"/>
                <w:szCs w:val="16"/>
              </w:rPr>
              <w:t xml:space="preserve">14. Jaywalker, exonerate forward strike (AIDC+)</w:t>
            </w:r>
          </w:p>
        </w:tc>
      </w:tr>
      <w:tr>
        <w:tc>
          <w:tcPr>
            <w:tcW w:type="dxa" w:w="1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Inter" w:cs="Inter" w:eastAsia="Inter" w:hAnsi="Inter"/>
                <w:color w:val="2E2E2E"/>
                <w:sz w:val="16"/>
                <w:szCs w:val="16"/>
              </w:rPr>
              <w:t xml:space="preserve">At rest (0 mph)</w:t>
            </w:r>
          </w:p>
        </w:tc>
        <w:tc>
          <w:tcPr>
            <w:tcW w:type="dxa" w:w="2815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Inter" w:cs="Inter" w:eastAsia="Inter" w:hAnsi="Inter"/>
                <w:color w:val="2E2E2E"/>
                <w:sz w:val="16"/>
                <w:szCs w:val="16"/>
              </w:rPr>
              <w:t xml:space="preserve">⭐ 20. Stopped at curb or bus stop, ped approaching driver-side door (side)</w:t>
            </w:r>
          </w:p>
          <w:p>
            <w:pPr>
              <w:spacing w:after="40" w:line="240"/>
            </w:pPr>
            <w:r>
              <w:rPr>
                <w:rFonts w:ascii="Inter" w:cs="Inter" w:eastAsia="Inter" w:hAnsi="Inter"/>
                <w:color w:val="2E2E2E"/>
                <w:sz w:val="16"/>
                <w:szCs w:val="16"/>
              </w:rPr>
              <w:t xml:space="preserve">⭐ 21. Stopped in yard, worker approaching rear or side pre-shift (rear + side)</w:t>
            </w:r>
          </w:p>
          <w:p>
            <w:pPr>
              <w:spacing w:after="40" w:line="240"/>
            </w:pPr>
            <w:r>
              <w:rPr>
                <w:rFonts w:ascii="Inter" w:cs="Inter" w:eastAsia="Inter" w:hAnsi="Inter"/>
                <w:color w:val="2E2E2E"/>
                <w:sz w:val="16"/>
                <w:szCs w:val="16"/>
              </w:rPr>
              <w:t xml:space="preserve">⭐ 22. Parked at loading dock, worker around blind corner (rear + side)</w:t>
            </w:r>
          </w:p>
          <w:p>
            <w:pPr>
              <w:spacing w:after="40" w:line="240"/>
            </w:pPr>
            <w:r>
              <w:rPr>
                <w:rFonts w:ascii="Inter" w:cs="Inter" w:eastAsia="Inter" w:hAnsi="Inter"/>
                <w:color w:val="2E2E2E"/>
                <w:sz w:val="16"/>
                <w:szCs w:val="16"/>
              </w:rPr>
              <w:t xml:space="preserve">⭐ 23. Stopped at traffic signal, ped in pre-turn blind spot (side nearside)</w:t>
            </w:r>
          </w:p>
          <w:p>
            <w:pPr>
              <w:spacing w:after="40" w:line="240"/>
            </w:pPr>
            <w:r>
              <w:rPr>
                <w:rFonts w:ascii="Inter" w:cs="Inter" w:eastAsia="Inter" w:hAnsi="Inter"/>
                <w:color w:val="2E2E2E"/>
                <w:sz w:val="16"/>
                <w:szCs w:val="16"/>
              </w:rPr>
              <w:t xml:space="preserve">⭐ 24. Residential pickup stopped, homeowner or kid approaches truck (rear + side). Waste anchor.</w:t>
            </w:r>
          </w:p>
          <w:p>
            <w:pPr>
              <w:spacing w:after="40" w:line="240"/>
            </w:pPr>
            <w:r>
              <w:rPr>
                <w:rFonts w:ascii="Inter" w:cs="Inter" w:eastAsia="Inter" w:hAnsi="Inter"/>
                <w:color w:val="2E2E2E"/>
                <w:sz w:val="16"/>
                <w:szCs w:val="16"/>
              </w:rPr>
              <w:t xml:space="preserve">⭐ 25. Stopped at construction yard, worker on foot around vehicle (all external)</w:t>
            </w:r>
          </w:p>
        </w:tc>
        <w:tc>
          <w:tcPr>
            <w:tcW w:type="dxa" w:w="2815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Inter" w:cs="Inter" w:eastAsia="Inter" w:hAnsi="Inter"/>
                <w:color w:val="2E2E2E"/>
                <w:sz w:val="16"/>
                <w:szCs w:val="16"/>
              </w:rPr>
              <w:t xml:space="preserve">⭐ 26. Ped walked into stopped truck, injury claim. Clean Harbors pattern. (rear or side)</w:t>
            </w:r>
          </w:p>
          <w:p>
            <w:pPr>
              <w:spacing w:after="40" w:line="240"/>
            </w:pPr>
            <w:r>
              <w:rPr>
                <w:rFonts w:ascii="Inter" w:cs="Inter" w:eastAsia="Inter" w:hAnsi="Inter"/>
                <w:color w:val="2E2E2E"/>
                <w:sz w:val="16"/>
                <w:szCs w:val="16"/>
              </w:rPr>
              <w:t xml:space="preserve">⭐ 27. Slip-and-fall near parked vehicle (side)</w:t>
            </w:r>
          </w:p>
          <w:p>
            <w:pPr>
              <w:spacing w:after="40" w:line="240"/>
            </w:pPr>
            <w:r>
              <w:rPr>
                <w:rFonts w:ascii="Inter" w:cs="Inter" w:eastAsia="Inter" w:hAnsi="Inter"/>
                <w:color w:val="2E2E2E"/>
                <w:sz w:val="16"/>
                <w:szCs w:val="16"/>
              </w:rPr>
              <w:t xml:space="preserve">⭐ 28. Hit-and-run or vandalism at parked vehicle (all external)</w:t>
            </w:r>
          </w:p>
          <w:p>
            <w:pPr>
              <w:spacing w:after="40" w:line="240"/>
            </w:pPr>
            <w:r>
              <w:rPr>
                <w:rFonts w:ascii="Inter" w:cs="Inter" w:eastAsia="Inter" w:hAnsi="Inter"/>
                <w:color w:val="2E2E2E"/>
                <w:sz w:val="16"/>
                <w:szCs w:val="16"/>
              </w:rPr>
              <w:t xml:space="preserve">⭐ 29. Worker injury near stopped truck, OSHA claim (rear or side)</w:t>
            </w:r>
          </w:p>
          <w:p>
            <w:pPr>
              <w:spacing w:after="40" w:line="240"/>
            </w:pPr>
            <w:r>
              <w:rPr>
                <w:rFonts w:ascii="Inter" w:cs="Inter" w:eastAsia="Inter" w:hAnsi="Inter"/>
                <w:color w:val="2E2E2E"/>
                <w:sz w:val="16"/>
                <w:szCs w:val="16"/>
              </w:rPr>
              <w:t xml:space="preserve">⭐ 30. Delivery or mail truck, ped injury claim near stopped vehicle (rear or side)</w:t>
            </w:r>
          </w:p>
          <w:p>
            <w:pPr>
              <w:spacing w:after="40" w:line="240"/>
            </w:pPr>
            <w:r>
              <w:rPr>
                <w:rFonts w:ascii="Inter" w:cs="Inter" w:eastAsia="Inter" w:hAnsi="Inter"/>
                <w:color w:val="2E2E2E"/>
                <w:sz w:val="16"/>
                <w:szCs w:val="16"/>
              </w:rPr>
              <w:t xml:space="preserve">⭐ 31. Disputed loading or unloading at-rest incident (rear)</w:t>
            </w:r>
          </w:p>
          <w:p>
            <w:pPr>
              <w:spacing w:after="40" w:line="240"/>
            </w:pPr>
            <w:r>
              <w:rPr>
                <w:rFonts w:ascii="Inter" w:cs="Inter" w:eastAsia="Inter" w:hAnsi="Inter"/>
                <w:color w:val="2E2E2E"/>
                <w:sz w:val="16"/>
                <w:szCs w:val="16"/>
              </w:rPr>
              <w:t xml:space="preserve">⭐ 32. Kid runs up to stopped truck, homeowner claim (side or rear)</w:t>
            </w:r>
          </w:p>
        </w:tc>
        <w:tc>
          <w:tcPr>
            <w:tcW w:type="dxa" w:w="2815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Inter" w:cs="Inter" w:eastAsia="Inter" w:hAnsi="Inter"/>
                <w:color w:val="2E2E2E"/>
                <w:sz w:val="16"/>
                <w:szCs w:val="16"/>
              </w:rPr>
              <w:t xml:space="preserve">19. Stopped at crosswalk, ped about to cross in front (AIDC+)</w:t>
            </w:r>
          </w:p>
        </w:tc>
        <w:tc>
          <w:tcPr>
            <w:tcW w:type="dxa" w:w="2815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Inter" w:cs="Inter" w:eastAsia="Inter" w:hAnsi="Inter"/>
                <w:color w:val="2E2E2E"/>
                <w:sz w:val="16"/>
                <w:szCs w:val="16"/>
              </w:rPr>
              <w:t xml:space="preserve">(none. Forward-stopped-evidence is rare, and captured by AIDC+ cabin DMS or FPW when present.)</w:t>
            </w:r>
          </w:p>
        </w:tc>
      </w:tr>
    </w:tbl>
    <w:p>
      <w:pPr>
        <w:pStyle w:val="Heading3"/>
        <w:spacing w:after="60" w:before="180"/>
      </w:pPr>
      <w:r>
        <w:rPr>
          <w:rFonts w:ascii="Inter SemiBold" w:cs="Inter SemiBold" w:eastAsia="Inter SemiBold" w:hAnsi="Inter SemiBold"/>
          <w:color w:val="2E2E2E"/>
          <w:sz w:val="20"/>
          <w:szCs w:val="20"/>
        </w:rPr>
        <w:t xml:space="preserve">What the table reveals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6480"/>
      </w:tblGrid>
      <w:tr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B27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 SemiBold" w:cs="Inter SemiBold" w:eastAsia="Inter SemiBold" w:hAnsi="Inter SemiBold"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B27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 SemiBold" w:cs="Inter SemiBold" w:eastAsia="Inter SemiBold" w:hAnsi="Inter SemiBold"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AIOC+ owns 'at rest, reactive' outright. 7 of 7 rows are uniquely AIOC+.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Row: At rest / Yes / Reactive</w:t>
            </w:r>
          </w:p>
        </w:tc>
      </w:tr>
      <w:tr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AIOC+ owns 'at rest, proactive' outright. 6 of 6 rows are uniquely AIOC+.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Row: At rest / Yes / Proactive</w:t>
            </w:r>
          </w:p>
        </w:tc>
      </w:tr>
      <w:tr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'In motion, proactive' is mostly uniquely AIOC+ (7 of 8), but this is where false positives destroy driver trust. Only slow-roll-yard and turn-strike evidence are partial.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Row: In motion / Yes / Proactive</w:t>
            </w:r>
          </w:p>
        </w:tc>
      </w:tr>
      <w:tr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The 'No' column is thin. 4 use cases total, all forward, all AIDC+.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Right two columns</w:t>
            </w:r>
          </w:p>
        </w:tc>
      </w:tr>
      <w:tr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Tractor-trailer turn is the only row where eligibility does not equal feasibility.</w:t>
            </w:r>
          </w:p>
        </w:tc>
        <w:tc>
          <w:tcPr>
            <w:tcW w:type="dxa" w:w="6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Flagged as V1 gap</w:t>
            </w:r>
          </w:p>
        </w:tc>
      </w:tr>
    </w:tbl>
    <w:p>
      <w:pPr>
        <w:pStyle w:val="Heading3"/>
        <w:spacing w:after="60" w:before="180"/>
      </w:pPr>
      <w:r>
        <w:rPr>
          <w:rFonts w:ascii="Inter SemiBold" w:cs="Inter SemiBold" w:eastAsia="Inter SemiBold" w:hAnsi="Inter SemiBold"/>
          <w:color w:val="2E2E2E"/>
          <w:sz w:val="20"/>
          <w:szCs w:val="20"/>
        </w:rPr>
        <w:t xml:space="preserve">Uniquely AIOC+ only: the 2×2 that drops out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  <w:gridCol w:w="4320"/>
      </w:tblGrid>
      <w:tr>
        <w:tc>
          <w:tcPr>
            <w:tcW w:type="dxa" w:w="43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B27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 SemiBold" w:cs="Inter SemiBold" w:eastAsia="Inter SemiBold" w:hAnsi="Inter SemiBold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3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B27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 SemiBold" w:cs="Inter SemiBold" w:eastAsia="Inter SemiBold" w:hAnsi="Inter SemiBold"/>
                <w:color w:val="FFFFFF"/>
                <w:sz w:val="18"/>
                <w:szCs w:val="18"/>
              </w:rPr>
              <w:t xml:space="preserve">Proactive</w:t>
            </w:r>
          </w:p>
        </w:tc>
        <w:tc>
          <w:tcPr>
            <w:tcW w:type="dxa" w:w="43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B27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 SemiBold" w:cs="Inter SemiBold" w:eastAsia="Inter SemiBold" w:hAnsi="Inter SemiBold"/>
                <w:color w:val="FFFFFF"/>
                <w:sz w:val="18"/>
                <w:szCs w:val="18"/>
              </w:rPr>
              <w:t xml:space="preserve">Reactive</w:t>
            </w:r>
          </w:p>
        </w:tc>
      </w:tr>
      <w:tr>
        <w:tc>
          <w:tcPr>
            <w:tcW w:type="dxa" w:w="43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In motion</w:t>
            </w:r>
          </w:p>
        </w:tc>
        <w:tc>
          <w:tcPr>
            <w:tcW w:type="dxa" w:w="43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7 use cases</w:t>
            </w:r>
          </w:p>
        </w:tc>
        <w:tc>
          <w:tcPr>
            <w:tcW w:type="dxa" w:w="43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6 use cases</w:t>
            </w:r>
          </w:p>
        </w:tc>
      </w:tr>
      <w:tr>
        <w:tc>
          <w:tcPr>
            <w:tcW w:type="dxa" w:w="43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At rest</w:t>
            </w:r>
          </w:p>
        </w:tc>
        <w:tc>
          <w:tcPr>
            <w:tcW w:type="dxa" w:w="43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6 use cases</w:t>
            </w:r>
          </w:p>
        </w:tc>
        <w:tc>
          <w:tcPr>
            <w:tcW w:type="dxa" w:w="43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7 use cases</w:t>
            </w:r>
          </w:p>
        </w:tc>
      </w:tr>
    </w:tbl>
    <w:p>
      <w:pPr>
        <w:spacing w:after="120" w:line="280"/>
      </w:pPr>
      <w:r>
        <w:rPr>
          <w:rFonts w:ascii="Inter" w:cs="Inter" w:eastAsia="Inter" w:hAnsi="Inter"/>
          <w:color w:val="2E2E2E"/>
          <w:sz w:val="20"/>
          <w:szCs w:val="20"/>
        </w:rPr>
        <w:t xml:space="preserve">At rest × reactive is the cleanest start. 7 use cases, all uncontested, lowest AI complexity (evidence, not alert), claims-dollar ROI.</w:t>
      </w:r>
    </w:p>
    <w:p>
      <w:pPr>
        <w:pStyle w:val="Heading3"/>
        <w:spacing w:after="60" w:before="180"/>
      </w:pPr>
      <w:r>
        <w:rPr>
          <w:rFonts w:ascii="Inter SemiBold" w:cs="Inter SemiBold" w:eastAsia="Inter SemiBold" w:hAnsi="Inter SemiBold"/>
          <w:color w:val="2E2E2E"/>
          <w:sz w:val="20"/>
          <w:szCs w:val="20"/>
        </w:rPr>
        <w:t xml:space="preserve">Risk, derisking behavior, and frequency by use case</w:t>
      </w:r>
    </w:p>
    <w:p>
      <w:pPr>
        <w:spacing w:after="120" w:line="280"/>
      </w:pPr>
      <w:r>
        <w:rPr>
          <w:rFonts w:ascii="Inter SemiBold" w:cs="Inter SemiBold" w:eastAsia="Inter SemiBold" w:hAnsi="Inter SemiBold"/>
          <w:color w:val="2E2E2E"/>
          <w:sz w:val="20"/>
          <w:szCs w:val="20"/>
        </w:rPr>
        <w:t xml:space="preserve">Columns. </w:t>
      </w:r>
      <w:r>
        <w:rPr>
          <w:rFonts w:ascii="Inter" w:cs="Inter" w:eastAsia="Inter" w:hAnsi="Inter"/>
          <w:color w:val="2E2E2E"/>
          <w:sz w:val="20"/>
          <w:szCs w:val="20"/>
        </w:rPr>
        <w:t xml:space="preserve">Risk: what actually goes wrong. Driver's current derisk: what they do today to mitigate without AI. Frequency: how often the need to derisk occurs, per vehicle, typical operation.</w:t>
      </w:r>
    </w:p>
    <w:p>
      <w:pPr>
        <w:spacing w:after="80" w:before="200"/>
      </w:pPr>
      <w:r>
        <w:rPr>
          <w:rFonts w:ascii="Inter SemiBold" w:cs="Inter SemiBold" w:eastAsia="Inter SemiBold" w:hAnsi="Inter SemiBold"/>
          <w:color w:val="1B2736"/>
          <w:sz w:val="20"/>
          <w:szCs w:val="20"/>
        </w:rPr>
        <w:t xml:space="preserve">In motion · Proactive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200"/>
        <w:gridCol w:w="3500"/>
        <w:gridCol w:w="3160"/>
      </w:tblGrid>
      <w:tr>
        <w:tc>
          <w:tcPr>
            <w:tcW w:type="dxa" w:w="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B27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 SemiBold" w:cs="Inter SemiBold" w:eastAsia="Inter SemiBold" w:hAnsi="Inter SemiBold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B27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 SemiBold" w:cs="Inter SemiBold" w:eastAsia="Inter SemiBold" w:hAnsi="Inter SemiBold"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B27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 SemiBold" w:cs="Inter SemiBold" w:eastAsia="Inter SemiBold" w:hAnsi="Inter SemiBold"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B27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 SemiBold" w:cs="Inter SemiBold" w:eastAsia="Inter SemiBold" w:hAnsi="Inter SemiBold"/>
                <w:color w:val="FFFFFF"/>
                <w:sz w:val="18"/>
                <w:szCs w:val="18"/>
              </w:rPr>
              <w:t xml:space="preserve">Driver's current derisk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B27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 SemiBold" w:cs="Inter SemiBold" w:eastAsia="Inter SemiBold" w:hAnsi="Inter SemiBold"/>
                <w:color w:val="FFFFFF"/>
                <w:sz w:val="18"/>
                <w:szCs w:val="18"/>
              </w:rPr>
              <w:t xml:space="preserve">Frequency</w:t>
            </w:r>
          </w:p>
        </w:tc>
      </w:tr>
      <w:tr>
        <w:tc>
          <w:tcPr>
            <w:tcW w:type="dxa" w:w="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Backing at dock / driveway / residential pickup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Fatality (backing is the #1 killer in waste). Property damage. Claim.</w:t>
            </w:r>
          </w:p>
        </w:tc>
        <w:tc>
          <w:tcPr>
            <w:tcW w:type="dxa" w:w="3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G.O.A.L. (Get Out And Look). Backup beeper. Mirror sweep. Spotter if available.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Every backing event. Waste 30-80 per route per day. Construction dozens per day.</w:t>
            </w:r>
          </w:p>
        </w:tc>
      </w:tr>
      <w:tr>
        <w:tc>
          <w:tcPr>
            <w:tcW w:type="dxa" w:w="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Slow-roll forward in yard, worker in path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Worker strike. OSHA.</w:t>
            </w:r>
          </w:p>
        </w:tc>
        <w:tc>
          <w:tcPr>
            <w:tcW w:type="dxa" w:w="3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Slow speed. Mirror sweep. Window down to listen. Hi-vis culture.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Every yard movement. 10-30 per shift.</w:t>
            </w:r>
          </w:p>
        </w:tc>
      </w:tr>
      <w:tr>
        <w:tc>
          <w:tcPr>
            <w:tcW w:type="dxa" w:w="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Right turn, nearside ped or cyclist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Fatality (urban cyclist 'right hook').</w:t>
            </w:r>
          </w:p>
        </w:tc>
        <w:tc>
          <w:tcPr>
            <w:tcW w:type="dxa" w:w="3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Mirror check. Slow the turn. Honk.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Every right turn. Urban routes 20-50 per shift.</w:t>
            </w:r>
          </w:p>
        </w:tc>
      </w:tr>
      <w:tr>
        <w:tc>
          <w:tcPr>
            <w:tcW w:type="dxa" w:w="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Highway lane change, BSM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Sideswipe. Evasive rollover.</w:t>
            </w:r>
          </w:p>
        </w:tc>
        <w:tc>
          <w:tcPr>
            <w:tcW w:type="dxa" w:w="3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Mirror + blinker + head-tilt (limited HGV sightline). OEM BSM if present.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Every lane change. 10-30 per trip.</w:t>
            </w:r>
          </w:p>
        </w:tc>
      </w:tr>
      <w:tr>
        <w:tc>
          <w:tcPr>
            <w:tcW w:type="dxa" w:w="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Highway merge, adjacent-lane object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Merge-into-vehicle.</w:t>
            </w:r>
          </w:p>
        </w:tc>
        <w:tc>
          <w:tcPr>
            <w:tcW w:type="dxa" w:w="3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Mirror, commit early, blinker.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Every merge. 2-8 per trip.</w:t>
            </w:r>
          </w:p>
        </w:tc>
      </w:tr>
      <w:tr>
        <w:tc>
          <w:tcPr>
            <w:tcW w:type="dxa" w:w="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Low-speed maneuver in tight space (garage, narrow yard)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Strike ped, object, or structure.</w:t>
            </w:r>
          </w:p>
        </w:tc>
        <w:tc>
          <w:tcPr>
            <w:tcW w:type="dxa" w:w="3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Spotter. G.O.A.L. Very slow speed.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Every dock or yard entry. Multiple per shift.</w:t>
            </w:r>
          </w:p>
        </w:tc>
      </w:tr>
      <w:tr>
        <w:tc>
          <w:tcPr>
            <w:tcW w:type="dxa" w:w="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Tractor-trailer wide turn, nearside cyclist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Cyclist fatality ('right hook,' UK DVS driver).</w:t>
            </w:r>
          </w:p>
        </w:tc>
        <w:tc>
          <w:tcPr>
            <w:tcW w:type="dxa" w:w="3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Take wide line. Nearside mirror. Wait for clear. Window-down listen.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Every commercial HGV urban right turn. 10-30 per shift.</w:t>
            </w:r>
          </w:p>
        </w:tc>
      </w:tr>
      <w:tr>
        <w:tc>
          <w:tcPr>
            <w:tcW w:type="dxa" w:w="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Pulling away from curb, ped walking past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Ped sideswipe. Bike strike.</w:t>
            </w:r>
          </w:p>
        </w:tc>
        <w:tc>
          <w:tcPr>
            <w:tcW w:type="dxa" w:w="3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Mirror sweep. Pause. Honk.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Every departure. Delivery or waste 50-150 per shift.</w:t>
            </w:r>
          </w:p>
        </w:tc>
      </w:tr>
    </w:tbl>
    <w:p>
      <w:pPr>
        <w:spacing w:after="80" w:before="200"/>
      </w:pPr>
      <w:r>
        <w:rPr>
          <w:rFonts w:ascii="Inter SemiBold" w:cs="Inter SemiBold" w:eastAsia="Inter SemiBold" w:hAnsi="Inter SemiBold"/>
          <w:color w:val="1B2736"/>
          <w:sz w:val="20"/>
          <w:szCs w:val="20"/>
        </w:rPr>
        <w:t xml:space="preserve">In motion · Reactive (evidence)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200"/>
        <w:gridCol w:w="3500"/>
        <w:gridCol w:w="3160"/>
      </w:tblGrid>
      <w:tr>
        <w:tc>
          <w:tcPr>
            <w:tcW w:type="dxa" w:w="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B27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 SemiBold" w:cs="Inter SemiBold" w:eastAsia="Inter SemiBold" w:hAnsi="Inter SemiBold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B27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 SemiBold" w:cs="Inter SemiBold" w:eastAsia="Inter SemiBold" w:hAnsi="Inter SemiBold"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B27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 SemiBold" w:cs="Inter SemiBold" w:eastAsia="Inter SemiBold" w:hAnsi="Inter SemiBold"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B27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 SemiBold" w:cs="Inter SemiBold" w:eastAsia="Inter SemiBold" w:hAnsi="Inter SemiBold"/>
                <w:color w:val="FFFFFF"/>
                <w:sz w:val="18"/>
                <w:szCs w:val="18"/>
              </w:rPr>
              <w:t xml:space="preserve">Driver's current derisk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B27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 SemiBold" w:cs="Inter SemiBold" w:eastAsia="Inter SemiBold" w:hAnsi="Inter SemiBold"/>
                <w:color w:val="FFFFFF"/>
                <w:sz w:val="18"/>
                <w:szCs w:val="18"/>
              </w:rPr>
              <w:t xml:space="preserve">Frequency</w:t>
            </w:r>
          </w:p>
        </w:tc>
      </w:tr>
      <w:tr>
        <w:tc>
          <w:tcPr>
            <w:tcW w:type="dxa" w:w="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Ped struck during backing, claim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Claim payout without evidence. Driver termination.</w:t>
            </w:r>
          </w:p>
        </w:tc>
        <w:tc>
          <w:tcPr>
            <w:tcW w:type="dxa" w:w="3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Hope for a witness. Forward dashcam useless.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Rare, ~1 per large fleet per year, but catastrophic.</w:t>
            </w:r>
          </w:p>
        </w:tc>
      </w:tr>
      <w:tr>
        <w:tc>
          <w:tcPr>
            <w:tcW w:type="dxa" w:w="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Ped struck during turn, liability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Fatality lawsuit. Driver termination.</w:t>
            </w:r>
          </w:p>
        </w:tc>
        <w:tc>
          <w:tcPr>
            <w:tcW w:type="dxa" w:w="3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Forward dashcam captures approach only.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Rare per fleet, but high-dollar.</w:t>
            </w:r>
          </w:p>
        </w:tc>
      </w:tr>
      <w:tr>
        <w:tc>
          <w:tcPr>
            <w:tcW w:type="dxa" w:w="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Sidewalk ped mirror-contact claim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Disputed-responsibility injury claim.</w:t>
            </w:r>
          </w:p>
        </w:tc>
        <w:tc>
          <w:tcPr>
            <w:tcW w:type="dxa" w:w="3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Nothing reliable. Driver's word vs ped's.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Several per year per large urban fleet.</w:t>
            </w:r>
          </w:p>
        </w:tc>
      </w:tr>
      <w:tr>
        <w:tc>
          <w:tcPr>
            <w:tcW w:type="dxa" w:w="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Ped walked into side of moving truck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Shared-fault or staged-fraud claim.</w:t>
            </w:r>
          </w:p>
        </w:tc>
        <w:tc>
          <w:tcPr>
            <w:tcW w:type="dxa" w:w="3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Nothing. Witness only.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Few per year per large urban fleet. Known fraud pattern.</w:t>
            </w:r>
          </w:p>
        </w:tc>
      </w:tr>
      <w:tr>
        <w:tc>
          <w:tcPr>
            <w:tcW w:type="dxa" w:w="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16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Bike or e-scooter struck during lane change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Serious injury or fatality.</w:t>
            </w:r>
          </w:p>
        </w:tc>
        <w:tc>
          <w:tcPr>
            <w:tcW w:type="dxa" w:w="3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Mirror check. Slow lane change.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Rare. Rising with e-scooter adoption.</w:t>
            </w:r>
          </w:p>
        </w:tc>
      </w:tr>
      <w:tr>
        <w:tc>
          <w:tcPr>
            <w:tcW w:type="dxa" w:w="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17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Disputed yard low-speed incident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Worker comp. OSHA citation.</w:t>
            </w:r>
          </w:p>
        </w:tc>
        <w:tc>
          <w:tcPr>
            <w:tcW w:type="dxa" w:w="3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Yard-fixed cameras (not vehicle).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Multiple per large fleet per year.</w:t>
            </w:r>
          </w:p>
        </w:tc>
      </w:tr>
      <w:tr>
        <w:tc>
          <w:tcPr>
            <w:tcW w:type="dxa" w:w="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18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Reverse hit-and-run, ped behind rolling truck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Fatality (the 'waste-worker death' scenario).</w:t>
            </w:r>
          </w:p>
        </w:tc>
        <w:tc>
          <w:tcPr>
            <w:tcW w:type="dxa" w:w="3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Backup beeper. G.O.A.L. Spotter.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Rare, but highest-consequence.</w:t>
            </w:r>
          </w:p>
        </w:tc>
      </w:tr>
    </w:tbl>
    <w:p>
      <w:pPr>
        <w:spacing w:after="80" w:before="200"/>
      </w:pPr>
      <w:r>
        <w:rPr>
          <w:rFonts w:ascii="Inter SemiBold" w:cs="Inter SemiBold" w:eastAsia="Inter SemiBold" w:hAnsi="Inter SemiBold"/>
          <w:color w:val="1B2736"/>
          <w:sz w:val="20"/>
          <w:szCs w:val="20"/>
        </w:rPr>
        <w:t xml:space="preserve">At rest · Proactive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200"/>
        <w:gridCol w:w="3500"/>
        <w:gridCol w:w="3160"/>
      </w:tblGrid>
      <w:tr>
        <w:tc>
          <w:tcPr>
            <w:tcW w:type="dxa" w:w="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B27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 SemiBold" w:cs="Inter SemiBold" w:eastAsia="Inter SemiBold" w:hAnsi="Inter SemiBold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B27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 SemiBold" w:cs="Inter SemiBold" w:eastAsia="Inter SemiBold" w:hAnsi="Inter SemiBold"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B27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 SemiBold" w:cs="Inter SemiBold" w:eastAsia="Inter SemiBold" w:hAnsi="Inter SemiBold"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B27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 SemiBold" w:cs="Inter SemiBold" w:eastAsia="Inter SemiBold" w:hAnsi="Inter SemiBold"/>
                <w:color w:val="FFFFFF"/>
                <w:sz w:val="18"/>
                <w:szCs w:val="18"/>
              </w:rPr>
              <w:t xml:space="preserve">Driver's current derisk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B27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 SemiBold" w:cs="Inter SemiBold" w:eastAsia="Inter SemiBold" w:hAnsi="Inter SemiBold"/>
                <w:color w:val="FFFFFF"/>
                <w:sz w:val="18"/>
                <w:szCs w:val="18"/>
              </w:rPr>
              <w:t xml:space="preserve">Frequency</w:t>
            </w:r>
          </w:p>
        </w:tc>
      </w:tr>
      <w:tr>
        <w:tc>
          <w:tcPr>
            <w:tcW w:type="dxa" w:w="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20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Stopped at curb or bus stop, ped approaching driver-side door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Door-strike injury. Assault.</w:t>
            </w:r>
          </w:p>
        </w:tc>
        <w:tc>
          <w:tcPr>
            <w:tcW w:type="dxa" w:w="3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Door-open check. Hesitate.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Every stop. Delivery 100-300 per shift.</w:t>
            </w:r>
          </w:p>
        </w:tc>
      </w:tr>
      <w:tr>
        <w:tc>
          <w:tcPr>
            <w:tcW w:type="dxa" w:w="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21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Stopped in yard, worker approaching rear or side pre-shift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Strike at shift-to-drive moment.</w:t>
            </w:r>
          </w:p>
        </w:tc>
        <w:tc>
          <w:tcPr>
            <w:tcW w:type="dxa" w:w="3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Mirror sweep before gear-shift. Yard rules.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Every yard departure. 1-5 per shift.</w:t>
            </w:r>
          </w:p>
        </w:tc>
      </w:tr>
      <w:tr>
        <w:tc>
          <w:tcPr>
            <w:tcW w:type="dxa" w:w="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22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Parked at loading dock, worker around blind corner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Strike forklift or worker.</w:t>
            </w:r>
          </w:p>
        </w:tc>
        <w:tc>
          <w:tcPr>
            <w:tcW w:type="dxa" w:w="3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Dock protocol. Spotter. Hi-vis.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Every dock visit. Multiple per shift.</w:t>
            </w:r>
          </w:p>
        </w:tc>
      </w:tr>
      <w:tr>
        <w:tc>
          <w:tcPr>
            <w:tcW w:type="dxa" w:w="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23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Stopped at traffic signal, ped in pre-turn blind spot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Right-hook fatality at signal change.</w:t>
            </w:r>
          </w:p>
        </w:tc>
        <w:tc>
          <w:tcPr>
            <w:tcW w:type="dxa" w:w="3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Full stop. Nearside mirror. Slow turn.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Every signalized right turn. 5-20 urban per shift.</w:t>
            </w:r>
          </w:p>
        </w:tc>
      </w:tr>
      <w:tr>
        <w:tc>
          <w:tcPr>
            <w:tcW w:type="dxa" w:w="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24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Residential pickup stopped, homeowner or kid approaches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Child fatality (most common waste-pickup catastrophe).</w:t>
            </w:r>
          </w:p>
        </w:tc>
        <w:tc>
          <w:tcPr>
            <w:tcW w:type="dxa" w:w="3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Mirror + honk. Some fleets have 'wait for curb clear.'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Every pickup. Waste 500-1,000 pickups per route per day.</w:t>
            </w:r>
          </w:p>
        </w:tc>
      </w:tr>
      <w:tr>
        <w:tc>
          <w:tcPr>
            <w:tcW w:type="dxa" w:w="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25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Stopped at construction yard, worker on foot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Strike worker. OSHA.</w:t>
            </w:r>
          </w:p>
        </w:tc>
        <w:tc>
          <w:tcPr>
            <w:tcW w:type="dxa" w:w="3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Spotter. Hi-vis. Site protocols.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Every yard entry. 2-10 per shift.</w:t>
            </w:r>
          </w:p>
        </w:tc>
      </w:tr>
    </w:tbl>
    <w:p>
      <w:pPr>
        <w:spacing w:after="80" w:before="200"/>
      </w:pPr>
      <w:r>
        <w:rPr>
          <w:rFonts w:ascii="Inter SemiBold" w:cs="Inter SemiBold" w:eastAsia="Inter SemiBold" w:hAnsi="Inter SemiBold"/>
          <w:color w:val="1B2736"/>
          <w:sz w:val="20"/>
          <w:szCs w:val="20"/>
        </w:rPr>
        <w:t xml:space="preserve">At rest · Reactive (evidence)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200"/>
        <w:gridCol w:w="3500"/>
        <w:gridCol w:w="3160"/>
      </w:tblGrid>
      <w:tr>
        <w:tc>
          <w:tcPr>
            <w:tcW w:type="dxa" w:w="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B27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 SemiBold" w:cs="Inter SemiBold" w:eastAsia="Inter SemiBold" w:hAnsi="Inter SemiBold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B27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 SemiBold" w:cs="Inter SemiBold" w:eastAsia="Inter SemiBold" w:hAnsi="Inter SemiBold"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B27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 SemiBold" w:cs="Inter SemiBold" w:eastAsia="Inter SemiBold" w:hAnsi="Inter SemiBold"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B27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 SemiBold" w:cs="Inter SemiBold" w:eastAsia="Inter SemiBold" w:hAnsi="Inter SemiBold"/>
                <w:color w:val="FFFFFF"/>
                <w:sz w:val="18"/>
                <w:szCs w:val="18"/>
              </w:rPr>
              <w:t xml:space="preserve">Driver's current derisk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B27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 SemiBold" w:cs="Inter SemiBold" w:eastAsia="Inter SemiBold" w:hAnsi="Inter SemiBold"/>
                <w:color w:val="FFFFFF"/>
                <w:sz w:val="18"/>
                <w:szCs w:val="18"/>
              </w:rPr>
              <w:t xml:space="preserve">Frequency</w:t>
            </w:r>
          </w:p>
        </w:tc>
      </w:tr>
      <w:tr>
        <w:tc>
          <w:tcPr>
            <w:tcW w:type="dxa" w:w="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26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Ped walked into stopped truck, claim (Clean Harbors pattern)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Fraud or staged-fall payout. Driver termination.</w:t>
            </w:r>
          </w:p>
        </w:tc>
        <w:tc>
          <w:tcPr>
            <w:tcW w:type="dxa" w:w="3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Witness. Forward dashcam (misses side or rear).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Rare. Trending up in some urban markets.</w:t>
            </w:r>
          </w:p>
        </w:tc>
      </w:tr>
      <w:tr>
        <w:tc>
          <w:tcPr>
            <w:tcW w:type="dxa" w:w="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27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Slip-and-fall near parked vehicle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Premises-liability injury claim.</w:t>
            </w:r>
          </w:p>
        </w:tc>
        <w:tc>
          <w:tcPr>
            <w:tcW w:type="dxa" w:w="3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Nothing today.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Few per year per large fleet.</w:t>
            </w:r>
          </w:p>
        </w:tc>
      </w:tr>
      <w:tr>
        <w:tc>
          <w:tcPr>
            <w:tcW w:type="dxa" w:w="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28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Hit-and-run or vandalism at parked vehicle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Repair costs. No at-fault party recovery.</w:t>
            </w:r>
          </w:p>
        </w:tc>
        <w:tc>
          <w:tcPr>
            <w:tcW w:type="dxa" w:w="3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Secure-lot parking. Dashcam parking mode (forward only).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Regular. High-theft markets 10s per year.</w:t>
            </w:r>
          </w:p>
        </w:tc>
      </w:tr>
      <w:tr>
        <w:tc>
          <w:tcPr>
            <w:tcW w:type="dxa" w:w="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29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Worker injury near stopped truck, OSHA claim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Citation + shutdown + worker comp.</w:t>
            </w:r>
          </w:p>
        </w:tc>
        <w:tc>
          <w:tcPr>
            <w:tcW w:type="dxa" w:w="3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Site safety plan. PPE. Spotters.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Rare. Multiple per large fleet per year.</w:t>
            </w:r>
          </w:p>
        </w:tc>
      </w:tr>
      <w:tr>
        <w:tc>
          <w:tcPr>
            <w:tcW w:type="dxa" w:w="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30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Delivery or mail truck, ped injury claim near stopped vehicle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Ped injury claim. Carrier liability.</w:t>
            </w:r>
          </w:p>
        </w:tc>
        <w:tc>
          <w:tcPr>
            <w:tcW w:type="dxa" w:w="3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'3 points of contact' egress rules.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Rare per route. Multiple per year per large fleet.</w:t>
            </w:r>
          </w:p>
        </w:tc>
      </w:tr>
      <w:tr>
        <w:tc>
          <w:tcPr>
            <w:tcW w:type="dxa" w:w="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31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Disputed loading or unloading at-rest incident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Worker comp. Cargo-damage claim.</w:t>
            </w:r>
          </w:p>
        </w:tc>
        <w:tc>
          <w:tcPr>
            <w:tcW w:type="dxa" w:w="3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Yard cameras. Loading procedures.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Multiple per fleet per year.</w:t>
            </w:r>
          </w:p>
        </w:tc>
      </w:tr>
      <w:tr>
        <w:tc>
          <w:tcPr>
            <w:tcW w:type="dxa" w:w="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32</w:t>
            </w:r>
          </w:p>
        </w:tc>
        <w:tc>
          <w:tcPr>
            <w:tcW w:type="dxa" w:w="2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Kid runs up to stopped truck, homeowner claim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Child fatality. Massive liability.</w:t>
            </w:r>
          </w:p>
        </w:tc>
        <w:tc>
          <w:tcPr>
            <w:tcW w:type="dxa" w:w="3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Honk. Slow pull-out. Driver vigilance.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Rare, but catastrophic. Few per year per waste fleet.</w:t>
            </w:r>
          </w:p>
        </w:tc>
      </w:tr>
    </w:tbl>
    <w:p>
      <w:pPr>
        <w:pStyle w:val="Heading3"/>
        <w:spacing w:after="60" w:before="180"/>
      </w:pPr>
      <w:r>
        <w:rPr>
          <w:rFonts w:ascii="Inter SemiBold" w:cs="Inter SemiBold" w:eastAsia="Inter SemiBold" w:hAnsi="Inter SemiBold"/>
          <w:color w:val="2E2E2E"/>
          <w:sz w:val="20"/>
          <w:szCs w:val="20"/>
        </w:rPr>
        <w:t xml:space="preserve">Three patterns that pop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7560"/>
      </w:tblGrid>
      <w:tr>
        <w:tc>
          <w:tcPr>
            <w:tcW w:type="dxa" w:w="5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B27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 SemiBold" w:cs="Inter SemiBold" w:eastAsia="Inter SemiBold" w:hAnsi="Inter SemiBold"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B27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 SemiBold" w:cs="Inter SemiBold" w:eastAsia="Inter SemiBold" w:hAnsi="Inter SemiBold"/>
                <w:color w:val="FFFFFF"/>
                <w:sz w:val="18"/>
                <w:szCs w:val="18"/>
              </w:rPr>
              <w:t xml:space="preserve">Evidence (use-case #)</w:t>
            </w:r>
          </w:p>
        </w:tc>
      </w:tr>
      <w:tr>
        <w:tc>
          <w:tcPr>
            <w:tcW w:type="dxa" w:w="5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High-frequency, low-compensation cluster. Backing, residential pickup, curbside pull-away. Driver 'derisk' is a mirror sweep done hundreds of times per shift. Compliance degrades with fatigue.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#1, #9, #24, #21</w:t>
            </w:r>
          </w:p>
        </w:tc>
      </w:tr>
      <w:tr>
        <w:tc>
          <w:tcPr>
            <w:tcW w:type="dxa" w:w="5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Rare-but-catastrophic cluster. Fatalities in backing, right-turn cyclist, child in residential pickup. Driver has no reliable defense. Claims run into millions.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#18, #8, #24, #32</w:t>
            </w:r>
          </w:p>
        </w:tc>
      </w:tr>
      <w:tr>
        <w:tc>
          <w:tcPr>
            <w:tcW w:type="dxa" w:w="5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'Nothing today' cluster. Sidewalk mirror-contact, slip-and-fall, ped-walked-into-side. Drivers have no real defense. Entirely at the mercy of witnesses or fraud claims.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E2E2E"/>
                <w:sz w:val="18"/>
                <w:szCs w:val="18"/>
              </w:rPr>
              <w:t xml:space="preserve">#13, #15, #27</w:t>
            </w:r>
          </w:p>
        </w:tc>
      </w:tr>
    </w:tbl>
    <w:p>
      <w:pPr>
        <w:spacing w:after="120" w:line="280"/>
      </w:pPr>
      <w:r>
        <w:rPr>
          <w:rFonts w:ascii="Inter" w:cs="Inter" w:eastAsia="Inter" w:hAnsi="Inter"/>
          <w:color w:val="2E2E2E"/>
          <w:sz w:val="20"/>
          <w:szCs w:val="20"/>
        </w:rPr>
        <w:t xml:space="preserve">The overlap between uniquely-AIOC+ cells and the 'nothing today' cluster is where V1 delivers the clearest step-change. Not a 10% better mirror. Going from zero to evidence.</w:t>
      </w:r>
    </w:p>
    <w:sectPr>
      <w:pgSz w:w="12240" w:h="158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2E2E2E"/>
        <w:sz w:val="20"/>
        <w:szCs w:val="20"/>
      </w:rPr>
    </w:rPrDefault>
    <w:pPrDefault>
      <w:pPr>
        <w:spacing w:after="120"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Inter Medium" w:cs="Inter Medium" w:eastAsia="Inter Medium" w:hAnsi="Inter Medium"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Inter SemiBold" w:cs="Inter SemiBold" w:eastAsia="Inter SemiBold" w:hAnsi="Inter SemiBold"/>
      <w:color w:val="1B273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Inter SemiBold" w:cs="Inter SemiBold" w:eastAsia="Inter SemiBold" w:hAnsi="Inter SemiBold"/>
      <w:color w:val="2E2E2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2026-04-20T22:23:07.072Z</dcterms:created>
  <dcterms:modified xsi:type="dcterms:W3CDTF">2026-04-20T22:23:07.073Z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