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5731510" cy="863600"/>
            <wp:effectExtent b="0" l="0" r="0" t="0"/>
            <wp:docPr descr="Image" id="2" name="image1.png"/>
            <a:graphic>
              <a:graphicData uri="http://schemas.openxmlformats.org/drawingml/2006/picture">
                <pic:pic>
                  <pic:nvPicPr>
                    <pic:cNvPr descr="Image" id="0" name="image1.png"/>
                    <pic:cNvPicPr preferRelativeResize="0"/>
                  </pic:nvPicPr>
                  <pic:blipFill>
                    <a:blip r:embed="rId6"/>
                    <a:srcRect b="0" l="0" r="0" t="0"/>
                    <a:stretch>
                      <a:fillRect/>
                    </a:stretch>
                  </pic:blipFill>
                  <pic:spPr>
                    <a:xfrm>
                      <a:off x="0" y="0"/>
                      <a:ext cx="573151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CSE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259715</wp:posOffset>
                </wp:positionV>
                <wp:extent cx="6711950" cy="12700"/>
                <wp:effectExtent b="0" l="0" r="0" t="0"/>
                <wp:wrapNone/>
                <wp:docPr id="1" name=""/>
                <a:graphic>
                  <a:graphicData uri="http://schemas.microsoft.com/office/word/2010/wordprocessingShape">
                    <wps:wsp>
                      <wps:cNvCnPr/>
                      <wps:spPr>
                        <a:xfrm>
                          <a:off x="1990025" y="3776825"/>
                          <a:ext cx="6711950" cy="6350"/>
                        </a:xfrm>
                        <a:prstGeom prst="straightConnector1">
                          <a:avLst/>
                        </a:prstGeom>
                        <a:noFill/>
                        <a:ln cap="flat" cmpd="sng" w="1270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259715</wp:posOffset>
                </wp:positionV>
                <wp:extent cx="671195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711950" cy="12700"/>
                        </a:xfrm>
                        <a:prstGeom prst="rect"/>
                        <a:ln/>
                      </pic:spPr>
                    </pic:pic>
                  </a:graphicData>
                </a:graphic>
              </wp:anchor>
            </w:drawing>
          </mc:Fallback>
        </mc:AlternateConten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ABSTRACT SUBMISSION </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w:t>
      </w:r>
      <w:r w:rsidDel="00000000" w:rsidR="00000000" w:rsidRPr="00000000">
        <w:rPr>
          <w:rFonts w:ascii="Lato" w:cs="Lato" w:eastAsia="Lato" w:hAnsi="Lato"/>
          <w:color w:val="333333"/>
          <w:highlight w:val="white"/>
          <w:rtl w:val="0"/>
        </w:rPr>
        <w:t xml:space="preserve"> </w:t>
      </w:r>
      <w:r w:rsidDel="00000000" w:rsidR="00000000" w:rsidRPr="00000000">
        <w:rPr>
          <w:rFonts w:ascii="Times New Roman" w:cs="Times New Roman" w:eastAsia="Times New Roman" w:hAnsi="Times New Roman"/>
          <w:b w:val="1"/>
          <w:bCs w:val="1"/>
          <w:sz w:val="28"/>
          <w:szCs w:val="28"/>
          <w:rtl w:val="0"/>
        </w:rPr>
        <w:t xml:space="preserve">Data Analytics and Visualization –    24DSB3101                            </w:t>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A.Y. 2026 - 2027</w:t>
      </w:r>
    </w:p>
    <w:tbl>
      <w:tblPr>
        <w:tblStyle w:val="Table1"/>
        <w:tblW w:w="107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977"/>
        <w:gridCol w:w="5528"/>
        <w:tblGridChange w:id="0">
          <w:tblGrid>
            <w:gridCol w:w="2263"/>
            <w:gridCol w:w="2977"/>
            <w:gridCol w:w="5528"/>
          </w:tblGrid>
        </w:tblGridChange>
      </w:tblGrid>
      <w:tr>
        <w:trPr>
          <w:cantSplit w:val="0"/>
          <w:tblHeader w:val="0"/>
        </w:trPr>
        <w:tc>
          <w:tcPr/>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OF THE PROJECT</w:t>
            </w:r>
          </w:p>
        </w:tc>
        <w:tc>
          <w:tcPr>
            <w:gridSpan w:val="2"/>
          </w:tcPr>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No.</w:t>
            </w:r>
          </w:p>
        </w:tc>
        <w:tc>
          <w:tcPr/>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University ID</w:t>
            </w:r>
          </w:p>
        </w:tc>
        <w:tc>
          <w:tcPr/>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r>
      <w:tr>
        <w:trPr>
          <w:cantSplit w:val="0"/>
          <w:tblHeader w:val="0"/>
        </w:trPr>
        <w:tc>
          <w:tcPr/>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2420030395</w:t>
            </w:r>
          </w:p>
        </w:tc>
        <w:tc>
          <w:tcPr/>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Arjun Risshi V</w:t>
            </w:r>
          </w:p>
        </w:tc>
      </w:tr>
      <w:tr>
        <w:trPr>
          <w:cantSplit w:val="0"/>
          <w:tblHeader w:val="0"/>
        </w:trPr>
        <w:tc>
          <w:tcPr/>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2420030275</w:t>
            </w:r>
          </w:p>
        </w:tc>
        <w:tc>
          <w:tcPr/>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Bharath M</w:t>
            </w:r>
          </w:p>
        </w:tc>
      </w:tr>
      <w:tr>
        <w:trPr>
          <w:cantSplit w:val="0"/>
          <w:tblHeader w:val="0"/>
        </w:trPr>
        <w:tc>
          <w:tcPr/>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2420030729</w:t>
            </w:r>
          </w:p>
        </w:tc>
        <w:tc>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Sumanth B</w:t>
            </w:r>
          </w:p>
        </w:tc>
      </w:tr>
      <w:tr>
        <w:trPr>
          <w:cantSplit w:val="0"/>
          <w:tblHeader w:val="0"/>
        </w:trPr>
        <w:tc>
          <w:tcPr/>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Guide</w:t>
            </w:r>
          </w:p>
        </w:tc>
        <w:tc>
          <w:tcPr/>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Swapnika Mam</w:t>
            </w:r>
          </w:p>
        </w:tc>
      </w:tr>
    </w:tbl>
    <w:p w:rsidR="00000000" w:rsidDel="00000000" w:rsidP="00000000" w:rsidRDefault="00000000" w:rsidRPr="00000000" w14:paraId="0000001E">
      <w:pPr>
        <w:ind w:left="360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Abstract</w:t>
      </w:r>
    </w:p>
    <w:p w:rsidR="00000000" w:rsidDel="00000000" w:rsidP="00000000" w:rsidRDefault="00000000" w:rsidRPr="00000000" w14:paraId="0000001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Modern social media platforms and e-commerce ecosystems generate massive volumes of unstructured, highly informal text streams containing valuable customer insights. However, extracting actionable sentiment from such data is severely hindered by noisy text, slang, regional dialects, and emoji usage. This project introduces a robust social media sentiment analytics framework engineered to standardize and classify complex product feedback in real-time.Using benchmark datasets aggregated from e-commerce product reviews, Twitter/X posts, and aspect-level feedback, our pipeline applies advanced text normalization, tokenization, and emoji-slang encoding techniques. We evaluate and compare the performance of traditional machine learning classifiers against state-of-the-art fine-tuned BERT (Bidirectional Encoder Representations from Transformers) architectures.Beyond predictive performance, the system incorporates Explainable AI (XAI) frameworks—specifically SHAP (SHapley Additive exPlanations) and LIME (Local Interpretable Model-agnostic Explanations)—to provide transparency into model decision-making. Furthermore, to support low-latency, scalable real-time inference, the underlying architecture integrates operating system-level process scheduling and memory management optimizations. The complete framework culminates in an interactive web visualization dashboard that delivers interpretable sentiment metrics and real-time analytical insights to end-users.</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Signature of the Guide</w:t>
        <w:tab/>
        <w:tab/>
        <w:tab/>
        <w:tab/>
        <w:tab/>
        <w:tab/>
        <w:tab/>
        <w:tab/>
        <w:tab/>
        <w:t xml:space="preserve">HOD</w:t>
      </w:r>
    </w:p>
    <w:p w:rsidR="00000000" w:rsidDel="00000000" w:rsidP="00000000" w:rsidRDefault="00000000" w:rsidRPr="00000000" w14:paraId="00000022">
      <w:pPr>
        <w:ind w:firstLine="720"/>
        <w:jc w:val="center"/>
        <w:rPr>
          <w:rFonts w:ascii="Times New Roman" w:cs="Times New Roman" w:eastAsia="Times New Roman" w:hAnsi="Times New Roman"/>
          <w:sz w:val="24"/>
          <w:szCs w:val="24"/>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