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center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b/>
          <w:bCs/>
          <w:sz w:val="36"/>
          <w:szCs w:val="36"/>
          <w:lang w:val="en-GB"/>
        </w:rPr>
        <w:t xml:space="preserve">Arjun Shah</w:t>
      </w:r>
    </w:p>
    <w:p>
      <w:pPr>
        <w:spacing w:before="0" w:after="30"/>
        <w:jc w:val="center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PhD Candidate in Economics, King’s Business School, King’s College London</w:t>
      </w:r>
    </w:p>
    <w:p>
      <w:pPr>
        <w:spacing w:before="0" w:after="0"/>
        <w:jc w:val="center"/>
        <w:rPr>
          <w:rFonts w:asciiTheme="majorHAnsi" w:hAnsiTheme="majorHAnsi" w:cstheme="majorHAnsi"/>
          <w:sz w:val="21"/>
          <w:szCs w:val="21"/>
          <w:lang w:val="en-GB"/>
        </w:rPr>
      </w:pPr>
      <w:hyperlink r:id="rIdLink1" w:history="1">
        <w:r>
          <w:rPr>
            <w:rFonts w:asciiTheme="majorHAnsi" w:hAnsiTheme="majorHAnsi" w:cstheme="majorHAnsi"/>
            <w:color w:val="1F4E79"/>
            <w:sz w:val="21"/>
            <w:szCs w:val="21"/>
            <w:lang w:val="en-GB"/>
          </w:rPr>
          <w:t xml:space="preserve">arjun.1.shah@kcl.ac.uk</w:t>
        </w:r>
      </w:hyperlink>
      <w:r>
        <w:rPr>
          <w:rFonts w:asciiTheme="majorHAnsi" w:hAnsiTheme="majorHAnsi" w:cstheme="majorHAnsi"/>
          <w:sz w:val="21"/>
          <w:szCs w:val="21"/>
          <w:lang w:val="en-GB"/>
        </w:rPr>
        <w:t xml:space="preserve">   |   +44 7840 911760   |   </w:t>
      </w:r>
      <w:hyperlink r:id="rIdLink2" w:history="1">
        <w:r>
          <w:rPr>
            <w:rFonts w:asciiTheme="majorHAnsi" w:hAnsiTheme="majorHAnsi" w:cstheme="majorHAnsi"/>
            <w:color w:val="1F4E79"/>
            <w:sz w:val="21"/>
            <w:szCs w:val="21"/>
            <w:lang w:val="en-GB"/>
          </w:rPr>
          <w:t xml:space="preserve">arjunshah2.github.io</w:t>
        </w:r>
      </w:hyperlink>
    </w:p>
    <w:p>
      <w:pPr>
        <w:keepNext/>
        <w:pBdr>
          <w:bottom w:val="single" w:sz="4" w:space="1" w:color="auto"/>
        </w:pBdr>
        <w:spacing w:before="260" w:after="10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GB"/>
        </w:rPr>
        <w:t xml:space="preserve">Education</w:t>
      </w:r>
    </w:p>
    <w:p>
      <w:pPr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2023 – Present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PhD in Economics, King’s Business School, King’s College London</w:t>
      </w:r>
    </w:p>
    <w:p>
      <w:pPr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2016 – 2019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MSc in Economics and Social Sciences, Bocconi University</w:t>
      </w:r>
    </w:p>
    <w:p>
      <w:pPr>
        <w:keepNext/>
        <w:pBdr>
          <w:bottom w:val="single" w:sz="4" w:space="1" w:color="auto"/>
        </w:pBdr>
        <w:spacing w:before="260" w:after="10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GB"/>
        </w:rPr>
        <w:t xml:space="preserve">Research Interests</w:t>
      </w:r>
    </w:p>
    <w:p>
      <w:pPr>
        <w:spacing w:before="0" w:after="70" w:line="259" w:lineRule="auto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Economic measurement, economic diversification, knowledge spillovers, economics of innovation</w:t>
      </w:r>
    </w:p>
    <w:p>
      <w:pPr>
        <w:keepNext/>
        <w:pBdr>
          <w:bottom w:val="single" w:sz="4" w:space="1" w:color="auto"/>
        </w:pBdr>
        <w:spacing w:before="260" w:after="10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GB"/>
        </w:rPr>
        <w:t xml:space="preserve">Working Papers</w:t>
      </w:r>
    </w:p>
    <w:p>
      <w:pPr>
        <w:keepLines/>
        <w:spacing w:before="0" w:after="9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2026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hyperlink r:id="rIdLink3" w:history="1">
        <w:r>
          <w:rPr>
            <w:rFonts w:asciiTheme="majorHAnsi" w:hAnsiTheme="majorHAnsi" w:cstheme="majorHAnsi"/>
            <w:i/>
            <w:iCs/>
            <w:color w:val="1F4E79"/>
            <w:sz w:val="21"/>
            <w:szCs w:val="21"/>
            <w:lang w:val="en-GB"/>
          </w:rPr>
          <w:t xml:space="preserve">Spillovers from Science</w:t>
        </w:r>
      </w:hyperlink>
      <w:r>
        <w:rPr>
          <w:rFonts w:asciiTheme="majorHAnsi" w:hAnsiTheme="majorHAnsi" w:cstheme="majorHAnsi"/>
          <w:sz w:val="21"/>
          <w:szCs w:val="21"/>
          <w:lang w:val="en-GB"/>
        </w:rPr>
        <w:br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with Ralf Martin, Anna Valero and Dennis Verhoeven. CEP Discussion Paper No. 2165.</w:t>
      </w:r>
    </w:p>
    <w:p>
      <w:pPr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In progress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i/>
          <w:iCs/>
          <w:sz w:val="21"/>
          <w:szCs w:val="21"/>
          <w:lang w:val="en-GB"/>
        </w:rPr>
        <w:t xml:space="preserve">Bridging the Gap: NPRIs and Absorption of University Innovation</w:t>
      </w:r>
    </w:p>
    <w:p>
      <w:pPr>
        <w:keepNext/>
        <w:pBdr>
          <w:bottom w:val="single" w:sz="4" w:space="1" w:color="auto"/>
        </w:pBdr>
        <w:spacing w:before="260" w:after="10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GB"/>
        </w:rPr>
        <w:t xml:space="preserve">Selected Policy Publications</w:t>
      </w:r>
    </w:p>
    <w:p>
      <w:pPr>
        <w:keepLines/>
        <w:spacing w:before="0" w:after="9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2026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hyperlink r:id="rIdLink4" w:history="1">
        <w:r>
          <w:rPr>
            <w:rFonts w:asciiTheme="majorHAnsi" w:hAnsiTheme="majorHAnsi" w:cstheme="majorHAnsi"/>
            <w:i/>
            <w:iCs/>
            <w:color w:val="1F4E79"/>
            <w:sz w:val="21"/>
            <w:szCs w:val="21"/>
            <w:lang w:val="en-GB"/>
          </w:rPr>
          <w:t xml:space="preserve">Pathways to a Productive and Inclusive Net Zero</w:t>
        </w:r>
      </w:hyperlink>
      <w:r>
        <w:rPr>
          <w:rFonts w:asciiTheme="majorHAnsi" w:hAnsiTheme="majorHAnsi" w:cstheme="majorHAnsi"/>
          <w:sz w:val="21"/>
          <w:szCs w:val="21"/>
          <w:lang w:val="en-GB"/>
        </w:rPr>
        <w:br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Contributing author, briefing papers from the Productive and Inclusive Net Zero (PRINZ) programme. CEP Special Paper No. 54.</w:t>
      </w:r>
    </w:p>
    <w:p>
      <w:pPr>
        <w:keepLines/>
        <w:spacing w:before="0" w:after="9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2024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hyperlink r:id="rIdLink5" w:history="1">
        <w:r>
          <w:rPr>
            <w:rFonts w:asciiTheme="majorHAnsi" w:hAnsiTheme="majorHAnsi" w:cstheme="majorHAnsi"/>
            <w:i/>
            <w:iCs/>
            <w:color w:val="1F4E79"/>
            <w:sz w:val="21"/>
            <w:szCs w:val="21"/>
            <w:lang w:val="en-GB"/>
          </w:rPr>
          <w:t xml:space="preserve">The Green Industrial Policy Matrix: Informing an Industrial Strategy for Clean Energy Technologies</w:t>
        </w:r>
      </w:hyperlink>
      <w:r>
        <w:rPr>
          <w:rFonts w:asciiTheme="majorHAnsi" w:hAnsiTheme="majorHAnsi" w:cstheme="majorHAnsi"/>
          <w:sz w:val="21"/>
          <w:szCs w:val="21"/>
          <w:lang w:val="en-GB"/>
        </w:rPr>
        <w:br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with Esin Serin, Pia Andres, Ralf Martin, Maxwell Read and Anna Valero. CEP Special Paper No. 48.</w:t>
      </w:r>
    </w:p>
    <w:p>
      <w:pPr>
        <w:keepLines/>
        <w:spacing w:before="0" w:after="9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2023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hyperlink r:id="rIdLink6" w:history="1">
        <w:r>
          <w:rPr>
            <w:rFonts w:asciiTheme="majorHAnsi" w:hAnsiTheme="majorHAnsi" w:cstheme="majorHAnsi"/>
            <w:i/>
            <w:iCs/>
            <w:color w:val="1F4E79"/>
            <w:sz w:val="21"/>
            <w:szCs w:val="21"/>
            <w:lang w:val="en-GB"/>
          </w:rPr>
          <w:t xml:space="preserve">Seizing Sustainable Growth Opportunities from Tidal Stream Energy in the UK</w:t>
        </w:r>
      </w:hyperlink>
      <w:r>
        <w:rPr>
          <w:rFonts w:asciiTheme="majorHAnsi" w:hAnsiTheme="majorHAnsi" w:cstheme="majorHAnsi"/>
          <w:sz w:val="21"/>
          <w:szCs w:val="21"/>
          <w:lang w:val="en-GB"/>
        </w:rPr>
        <w:br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with Esin Serin, Pia Andres, Ralf Martin and Anna Valero. CEP Special Paper No. 40.</w:t>
      </w:r>
    </w:p>
    <w:p>
      <w:pPr>
        <w:keepLines/>
        <w:spacing w:before="0" w:after="9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2022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hyperlink r:id="rIdLink7" w:history="1">
        <w:r>
          <w:rPr>
            <w:rFonts w:asciiTheme="majorHAnsi" w:hAnsiTheme="majorHAnsi" w:cstheme="majorHAnsi"/>
            <w:i/>
            <w:iCs/>
            <w:color w:val="1F4E79"/>
            <w:sz w:val="21"/>
            <w:szCs w:val="21"/>
            <w:lang w:val="en-GB"/>
          </w:rPr>
          <w:t xml:space="preserve">Growing Clean: Identifying and Investing in Sustainable Growth Opportunities across the UK</w:t>
        </w:r>
      </w:hyperlink>
      <w:r>
        <w:rPr>
          <w:rFonts w:asciiTheme="majorHAnsi" w:hAnsiTheme="majorHAnsi" w:cstheme="majorHAnsi"/>
          <w:sz w:val="21"/>
          <w:szCs w:val="21"/>
          <w:lang w:val="en-GB"/>
        </w:rPr>
        <w:br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with Brendan Curran, Ralf Martin, Sabrina Muller, Viet Nguyen-Tien, Juliana Oliveira-Cunha, Esin Serin, Anna Valero and Dennis Verhoeven. The Economy 2030 Inquiry, Resolution Foundation.</w:t>
      </w:r>
    </w:p>
    <w:p>
      <w:pPr>
        <w:keepLines/>
        <w:spacing w:before="0" w:after="9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2022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hyperlink r:id="rIdLink8" w:history="1">
        <w:r>
          <w:rPr>
            <w:rFonts w:asciiTheme="majorHAnsi" w:hAnsiTheme="majorHAnsi" w:cstheme="majorHAnsi"/>
            <w:i/>
            <w:iCs/>
            <w:color w:val="1F4E79"/>
            <w:sz w:val="21"/>
            <w:szCs w:val="21"/>
            <w:lang w:val="en-GB"/>
          </w:rPr>
          <w:t xml:space="preserve">Enduring Strengths: Analysing the UK’s Current and Potential Economic Strengths, and What They Mean for Its Economic Strategy</w:t>
        </w:r>
      </w:hyperlink>
      <w:r>
        <w:rPr>
          <w:rFonts w:asciiTheme="majorHAnsi" w:hAnsiTheme="majorHAnsi" w:cstheme="majorHAnsi"/>
          <w:sz w:val="21"/>
          <w:szCs w:val="21"/>
          <w:lang w:val="en-GB"/>
        </w:rPr>
        <w:br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with Josh De Lyon, Ralf Martin, Juliana Oliveira-Cunha, Krishan Shah, Gregory Thwaites and Anna Valero. The Economy 2030 Inquiry, Resolution Foundation.</w:t>
      </w:r>
    </w:p>
    <w:p>
      <w:pPr>
        <w:keepLines/>
        <w:spacing w:before="0" w:after="9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2021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hyperlink r:id="rIdLink9" w:history="1">
        <w:r>
          <w:rPr>
            <w:rFonts w:asciiTheme="majorHAnsi" w:hAnsiTheme="majorHAnsi" w:cstheme="majorHAnsi"/>
            <w:i/>
            <w:iCs/>
            <w:color w:val="1F4E79"/>
            <w:sz w:val="21"/>
            <w:szCs w:val="21"/>
            <w:lang w:val="en-GB"/>
          </w:rPr>
          <w:t xml:space="preserve">Seizing Sustainable Growth Opportunities from Carbon Capture, Usage and Storage in the UK</w:t>
        </w:r>
      </w:hyperlink>
      <w:r>
        <w:rPr>
          <w:rFonts w:asciiTheme="majorHAnsi" w:hAnsiTheme="majorHAnsi" w:cstheme="majorHAnsi"/>
          <w:sz w:val="21"/>
          <w:szCs w:val="21"/>
          <w:lang w:val="en-GB"/>
        </w:rPr>
        <w:br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with Esin Serin, Ralf Martin, Pia Andres, Penny Mealy and Anna Valero. CEP Special Paper No. 38.</w:t>
      </w:r>
    </w:p>
    <w:p>
      <w:pPr>
        <w:keepNext/>
        <w:pBdr>
          <w:bottom w:val="single" w:sz="4" w:space="1" w:color="auto"/>
        </w:pBdr>
        <w:spacing w:before="260" w:after="10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GB"/>
        </w:rPr>
        <w:t xml:space="preserve">Research Experience</w:t>
      </w:r>
    </w:p>
    <w:p>
      <w:pPr>
        <w:keepNext/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Feb 2021 – Aug 2023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Pre-Doctoral Research Assistant to Professor Ralf Martin and Dr Anna Valero, Programme on Innovation and Diffusion, Centre for Economic Performance, London School of Economics</w:t>
      </w:r>
    </w:p>
    <w:p>
      <w:pPr>
        <w:keepNext/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Apr 2019 – Jan 2021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Research Assistant to Professor Marco Tabellini, Harvard Business School</w:t>
      </w:r>
    </w:p>
    <w:p>
      <w:pPr>
        <w:keepNext/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Sep 2019 – Aug 2020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Research Assistant to Professor Verena Schoenmueller, Bocconi University</w:t>
      </w:r>
    </w:p>
    <w:p>
      <w:pPr>
        <w:keepNext/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Sep 2019 – Jun 2020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Research Assistant to Professor Fernando Vega-Redondo, Bocconi University</w:t>
      </w:r>
    </w:p>
    <w:p>
      <w:pPr>
        <w:keepNext/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May 2019 – Dec 2019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Research Assistant to Professors Verena Schoenmueller and Dirk Hovy, Bocconi University</w:t>
      </w:r>
    </w:p>
    <w:p>
      <w:pPr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Jul 2018 – Dec 2018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Research Assistant to Professor Paolo Pin, Bocconi University (Jul – Aug and Oct – Dec)</w:t>
      </w:r>
    </w:p>
    <w:p>
      <w:pPr>
        <w:keepNext/>
        <w:pBdr>
          <w:bottom w:val="single" w:sz="4" w:space="1" w:color="auto"/>
        </w:pBdr>
        <w:spacing w:before="260" w:after="10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GB"/>
        </w:rPr>
        <w:t xml:space="preserve">Teaching</w:t>
      </w:r>
    </w:p>
    <w:p>
      <w:pPr>
        <w:keepNext/>
        <w:spacing w:before="0" w:after="70" w:line="259" w:lineRule="auto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Graduate Teaching Assistant, King’s College London</w:t>
      </w:r>
    </w:p>
    <w:p>
      <w:pPr>
        <w:keepNext/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2025, 2026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Introduction to Econometrics (5SSMN932)</w:t>
      </w:r>
    </w:p>
    <w:p>
      <w:pPr>
        <w:keepNext/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2025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Principles of Economics (4QQMB102)</w:t>
      </w:r>
    </w:p>
    <w:p>
      <w:pPr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2025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Principles of Economics: Macroeconomics (4QQMN509)</w:t>
      </w:r>
    </w:p>
    <w:p>
      <w:pPr>
        <w:keepNext/>
        <w:pBdr>
          <w:bottom w:val="single" w:sz="4" w:space="1" w:color="auto"/>
        </w:pBdr>
        <w:spacing w:before="260" w:after="10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b/>
          <w:bCs/>
          <w:sz w:val="22"/>
          <w:szCs w:val="22"/>
          <w:lang w:val="en-GB"/>
        </w:rPr>
        <w:t xml:space="preserve">Skills and Interests</w:t>
      </w:r>
    </w:p>
    <w:p>
      <w:pPr>
        <w:keepNext/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Software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Python, R, SQL, Stata, LaTeX, Markdown, MS Excel</w:t>
      </w:r>
    </w:p>
    <w:p>
      <w:pPr>
        <w:keepNext/>
        <w:keepLines/>
        <w:spacing w:before="0" w:after="7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Languages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Kutchi (native), Hindi (fluent), English (fluent), Italian (conversational), Portuguese (basic)</w:t>
      </w:r>
    </w:p>
    <w:p>
      <w:pPr>
        <w:keepLines/>
        <w:spacing w:before="0" w:after="0" w:line="259" w:lineRule="auto"/>
        <w:ind w:left="2040" w:hanging="2040"/>
        <w:rPr>
          <w:rFonts w:asciiTheme="majorHAnsi" w:hAnsiTheme="majorHAnsi" w:cstheme="majorHAnsi"/>
          <w:sz w:val="21"/>
          <w:szCs w:val="21"/>
          <w:lang w:val="en-GB"/>
        </w:rPr>
      </w:pPr>
      <w:r>
        <w:rPr>
          <w:rFonts w:asciiTheme="majorHAnsi" w:hAnsiTheme="majorHAnsi" w:cstheme="majorHAnsi"/>
          <w:sz w:val="21"/>
          <w:szCs w:val="21"/>
          <w:lang w:val="en-GB"/>
        </w:rPr>
        <w:t xml:space="preserve">Interests</w:t>
      </w:r>
      <w:r>
        <w:rPr>
          <w:rFonts w:asciiTheme="majorHAnsi" w:hAnsiTheme="majorHAnsi" w:cstheme="majorHAnsi"/>
          <w:sz w:val="21"/>
          <w:szCs w:val="21"/>
          <w:lang w:val="en-GB"/>
        </w:rPr>
        <w:tab/>
      </w:r>
      <w:r>
        <w:rPr>
          <w:rFonts w:asciiTheme="majorHAnsi" w:hAnsiTheme="majorHAnsi" w:cstheme="majorHAnsi"/>
          <w:sz w:val="21"/>
          <w:szCs w:val="21"/>
          <w:lang w:val="en-GB"/>
        </w:rPr>
        <w:t xml:space="preserve">Music, data visualisation, complexity science, cinema, literature, football, history</w:t>
      </w:r>
    </w:p>
    <w:sectPr w:rsidR="00B15D70" w:rsidSect="006C7E1D">
      <w:pgSz w:w="11900" w:h="16840"/>
      <w:pgMar w:top="1134" w:right="1021" w:bottom="1021" w:left="102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1D"/>
    <w:rsid w:val="000A0B52"/>
    <w:rsid w:val="001022BA"/>
    <w:rsid w:val="002F0953"/>
    <w:rsid w:val="00311DE8"/>
    <w:rsid w:val="003E3201"/>
    <w:rsid w:val="00427C75"/>
    <w:rsid w:val="004905F2"/>
    <w:rsid w:val="00555D69"/>
    <w:rsid w:val="005D1C40"/>
    <w:rsid w:val="0061069D"/>
    <w:rsid w:val="00644D14"/>
    <w:rsid w:val="006C7E1D"/>
    <w:rsid w:val="007A727A"/>
    <w:rsid w:val="00841D89"/>
    <w:rsid w:val="008B51B1"/>
    <w:rsid w:val="009A5791"/>
    <w:rsid w:val="00AB0D53"/>
    <w:rsid w:val="00B0094C"/>
    <w:rsid w:val="00B15D70"/>
    <w:rsid w:val="00B70375"/>
    <w:rsid w:val="00C072AA"/>
    <w:rsid w:val="00C3538E"/>
    <w:rsid w:val="00DE5566"/>
    <w:rsid w:val="00E7395C"/>
    <w:rsid w:val="00EA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E289"/>
  <w15:chartTrackingRefBased/>
  <w15:docId w15:val="{91A605EB-EC70-4958-98E9-D140AFF0C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D69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E1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E1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E1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E1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E1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E1D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E1D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E1D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E1D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GB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E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E1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7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E1D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7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E1D"/>
    <w:pPr>
      <w:spacing w:after="160" w:line="259" w:lineRule="auto"/>
      <w:ind w:left="720"/>
      <w:contextualSpacing/>
    </w:pPr>
    <w:rPr>
      <w:kern w:val="2"/>
      <w:sz w:val="22"/>
      <w:szCs w:val="2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7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Link1" Type="http://schemas.openxmlformats.org/officeDocument/2006/relationships/hyperlink" Target="mailto:arjun.1.shah@kcl.ac.uk" TargetMode="External"/><Relationship Id="rIdLink2" Type="http://schemas.openxmlformats.org/officeDocument/2006/relationships/hyperlink" Target="https://arjunshah2.github.io" TargetMode="External"/><Relationship Id="rIdLink3" Type="http://schemas.openxmlformats.org/officeDocument/2006/relationships/hyperlink" Target="https://cep.lse.ac.uk/pubs/download/dp2165.pdf" TargetMode="External"/><Relationship Id="rIdLink4" Type="http://schemas.openxmlformats.org/officeDocument/2006/relationships/hyperlink" Target="https://cep.lse.ac.uk/pubs/download/special/cepsp54.pdf" TargetMode="External"/><Relationship Id="rIdLink5" Type="http://schemas.openxmlformats.org/officeDocument/2006/relationships/hyperlink" Target="https://cep.lse.ac.uk/pubs/download/special/cepsp48.pdf" TargetMode="External"/><Relationship Id="rIdLink6" Type="http://schemas.openxmlformats.org/officeDocument/2006/relationships/hyperlink" Target="https://cep.lse.ac.uk/pubs/download/special/cepsp40.pdf" TargetMode="External"/><Relationship Id="rIdLink7" Type="http://schemas.openxmlformats.org/officeDocument/2006/relationships/hyperlink" Target="https://economy2030.resolutionfoundation.org/reports/growing-clean/" TargetMode="External"/><Relationship Id="rIdLink8" Type="http://schemas.openxmlformats.org/officeDocument/2006/relationships/hyperlink" Target="https://economy2030.resolutionfoundation.org/reports/enduring-strengths/" TargetMode="External"/><Relationship Id="rIdLink9" Type="http://schemas.openxmlformats.org/officeDocument/2006/relationships/hyperlink" Target="https://cep.lse.ac.uk/pubs/download/special/cepsp3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Arjun Shah – Curriculum Vitae</dc:title>
  <dc:subject/>
  <dc:creator>Arjun Shah</dc:creator>
  <cp:keywords/>
  <dc:description/>
  <cp:lastModifiedBy>Arjun Shah</cp:lastModifiedBy>
  <cp:revision>20</cp:revision>
  <dcterms:created xsi:type="dcterms:W3CDTF">2026-10-12T11:26:00Z</dcterms:created>
  <dcterms:modified xsi:type="dcterms:W3CDTF">2026-10-12T13:37:00Z</dcterms:modified>
</cp:coreProperties>
</file>