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RNS INSTITUTE OF TECHNOLOGY</w:t>
      </w:r>
      <w:r>
        <w:br/>
      </w:r>
      <w:r>
        <w:rPr>
          <w:b w:val="0"/>
          <w:i w:val="0"/>
        </w:rPr>
        <w:t>Department of Information Science and Engineering</w:t>
      </w:r>
    </w:p>
    <w:p>
      <w:pPr>
        <w:jc w:val="center"/>
      </w:pPr>
      <w:r>
        <w:rPr>
          <w:b w:val="0"/>
          <w:i w:val="0"/>
        </w:rPr>
        <w:t>PROJECT REPORT</w:t>
      </w:r>
    </w:p>
    <w:p>
      <w:pPr>
        <w:pStyle w:val="Heading1"/>
        <w:jc w:val="center"/>
      </w:pPr>
      <w:r>
        <w:rPr>
          <w:b w:val="0"/>
          <w:i w:val="0"/>
          <w:sz w:val="56"/>
        </w:rPr>
        <w:t>SIGNTALK AI</w:t>
      </w:r>
    </w:p>
    <w:p>
      <w:pPr>
        <w:pStyle w:val="Heading2"/>
        <w:jc w:val="center"/>
      </w:pPr>
      <w:r>
        <w:rPr>
          <w:b w:val="0"/>
          <w:i w:val="0"/>
          <w:sz w:val="34"/>
        </w:rPr>
        <w:t>A Web-Based Assistive Communication Prototype for Isolated Indian Sign Language Recognition</w:t>
      </w:r>
    </w:p>
    <w:p>
      <w:pPr>
        <w:jc w:val="center"/>
      </w:pPr>
      <w:r>
        <w:rPr>
          <w:b w:val="0"/>
          <w:i w:val="0"/>
        </w:rPr>
        <w:t>Submitted in partial fulfilment of the requirements for the</w:t>
      </w:r>
      <w:r>
        <w:br/>
      </w:r>
      <w:r>
        <w:rPr>
          <w:b/>
          <w:i w:val="0"/>
        </w:rPr>
        <w:t>Bachelor of Engineering</w:t>
      </w:r>
      <w:r>
        <w:br/>
      </w:r>
      <w:r>
        <w:rPr>
          <w:b w:val="0"/>
          <w:i w:val="0"/>
        </w:rPr>
        <w:t>in Information Science and Engineering</w:t>
      </w:r>
    </w:p>
    <w:p>
      <w:pPr>
        <w:jc w:val="center"/>
      </w:pPr>
      <w:r>
        <w:rPr>
          <w:b/>
          <w:i w:val="0"/>
        </w:rPr>
        <w:t>Project Team</w:t>
      </w:r>
      <w:r>
        <w:br/>
      </w:r>
      <w:r>
        <w:rPr>
          <w:b w:val="0"/>
          <w:i w:val="0"/>
        </w:rPr>
        <w:t>Arjun B Shetty   |   Khushi Ramesh</w:t>
      </w:r>
      <w:r>
        <w:br/>
      </w:r>
      <w:r>
        <w:rPr>
          <w:b w:val="0"/>
          <w:i w:val="0"/>
        </w:rPr>
        <w:t>Mahin S Kunder   |   Sathya Shriya G N</w:t>
      </w:r>
    </w:p>
    <w:p>
      <w:pPr>
        <w:jc w:val="center"/>
      </w:pPr>
      <w:r>
        <w:rPr>
          <w:b/>
          <w:i w:val="0"/>
        </w:rPr>
        <w:t>Project Guide:</w:t>
      </w:r>
      <w:r>
        <w:rPr>
          <w:b w:val="0"/>
          <w:i w:val="0"/>
        </w:rPr>
        <w:t xml:space="preserve"> Umesh M</w:t>
      </w:r>
    </w:p>
    <w:p>
      <w:pPr>
        <w:jc w:val="center"/>
      </w:pPr>
      <w:r>
        <w:rPr>
          <w:b w:val="0"/>
          <w:i w:val="0"/>
        </w:rPr>
        <w:t>Academic Year 2025-2026</w:t>
      </w:r>
      <w:r>
        <w:br/>
      </w:r>
      <w:r>
        <w:rPr>
          <w:b w:val="0"/>
          <w:i w:val="0"/>
        </w:rPr>
        <w:t>Report prepared October 2026</w:t>
      </w:r>
    </w:p>
    <w:p>
      <w:pPr>
        <w:jc w:val="center"/>
      </w:pPr>
      <w:r>
        <w:rPr>
          <w:b w:val="0"/>
          <w:i w:val="0"/>
          <w:color w:val="536574"/>
          <w:sz w:val="16"/>
        </w:rPr>
        <w:t>Student USNs, signatures, submission date, and department-approved formatting to be added by the team.</w:t>
      </w:r>
    </w:p>
    <w:p>
      <w:r>
        <w:br w:type="page"/>
      </w:r>
    </w:p>
    <w:p>
      <w:pPr>
        <w:pStyle w:val="Heading1"/>
      </w:pPr>
      <w:r>
        <w:rPr>
          <w:b w:val="0"/>
          <w:i w:val="0"/>
        </w:rPr>
        <w:t>Acknowledgement</w:t>
      </w:r>
    </w:p>
    <w:p>
      <w:r>
        <w:rPr>
          <w:b w:val="0"/>
          <w:i/>
        </w:rPr>
        <w:t>Draft for team review.</w:t>
      </w:r>
      <w:r>
        <w:rPr>
          <w:b w:val="0"/>
          <w:i w:val="0"/>
        </w:rPr>
        <w:t xml:space="preserve"> The project team would like to express its sincere gratitude to the project guide, </w:t>
      </w:r>
      <w:r>
        <w:rPr>
          <w:b/>
          <w:i w:val="0"/>
        </w:rPr>
        <w:t>Umesh M</w:t>
      </w:r>
      <w:r>
        <w:rPr>
          <w:b w:val="0"/>
          <w:i w:val="0"/>
        </w:rPr>
        <w:t>, for guidance and feedback during the development of SignTalk AI. The team also acknowledges the Department of Information Science and Engineering and RNS Institute of Technology for providing the academic setting in which this work was undertaken.</w:t>
      </w:r>
    </w:p>
    <w:p>
      <w:r>
        <w:rPr>
          <w:b w:val="0"/>
          <w:i w:val="0"/>
        </w:rPr>
        <w:t>The team is grateful to the creators and contributors of the INCLUDE Indian Sign Language dataset, the MediaPipe project, PyTorch, FastAPI, React, and the open research community whose datasets, papers, and software informed this prototype. Any acknowledgement of individual signers, participants, or language reviewers should be added only with their consent and with names confirmed by the team.</w:t>
      </w:r>
    </w:p>
    <w:p>
      <w:r>
        <w:br w:type="page"/>
      </w:r>
    </w:p>
    <w:p>
      <w:pPr>
        <w:pStyle w:val="Heading1"/>
      </w:pPr>
      <w:r>
        <w:rPr>
          <w:b w:val="0"/>
          <w:i w:val="0"/>
        </w:rPr>
        <w:t>Abstract</w:t>
      </w:r>
    </w:p>
    <w:p>
      <w:r>
        <w:rPr>
          <w:b w:val="0"/>
          <w:i w:val="0"/>
        </w:rPr>
        <w:t>SignTalk AI is a web-based assistive communication prototype designed to explore communication between Indian Sign Language (ISL) signers and people who do not know sign language. Its primary pathway captures a complete, isolated sign using a webcam, sends the clip to a local FastAPI service, extracts pose and hand landmarks, constructs a temporal feature sequence, and classifies the sequence using trained neural models. A confidence-aware decision stage is designed to accept clear predictions, request user confirmation for ambiguous predictions, or reject uncertain inputs rather than silently guessing. Recognized words can be combined into a sentence and presented in English, Hindi, and Kannada through a scripted-sentence, optional language-model, and phrasebook fallback design. Browser speech synthesis is used for spoken output. A secondary voice-to-caption pathway streams audio over a WebSocket and uses an optional Whisper backend.</w:t>
      </w:r>
    </w:p>
    <w:p>
      <w:r>
        <w:rPr>
          <w:b w:val="0"/>
          <w:i w:val="0"/>
        </w:rPr>
        <w:t>The current trained vocabulary contains nine greeting-related labels based on the INCLUDE Greetings category. The feature pipeline represents each frame using pose and hand landmarks, normalizes and smooths the sequence, and resamples it to a fixed length. Two model families are present: a bidirectional GRU and a Transformer. The stored validation metrics report 93.94% top-1 for the GRU and 100% top-1 for the Transformer on a 33-clip validation split. These are preliminary validation values, not independent test or signer-independent results. A threshold report records 31 of 33 validation examples accepted with no accepted errors under the thresholds used for that report. The small, stratified split can contain signer/session overlap and must not be represented as generalization performance.</w:t>
      </w:r>
    </w:p>
    <w:p>
      <w:r>
        <w:rPr>
          <w:b w:val="0"/>
          <w:i w:val="0"/>
        </w:rPr>
        <w:t>The server and web application have been started locally and responded to health/page checks; the current machine's Python test suite passed 48 tests. At the time of the local run, the trained-model manifest was not configured in the server environment, so the server used a random-initialized fallback model. The speech-caption endpoint also reported that no Whisper backend was installed. Accordingly, this report describes an implemented prototype and its measured software checks, while explicitly separating desired behavior from features and results that remain unverified or incomplete.</w:t>
      </w:r>
    </w:p>
    <w:p>
      <w:r>
        <w:rPr>
          <w:b/>
          <w:i w:val="0"/>
        </w:rPr>
        <w:t>Keywords:</w:t>
      </w:r>
      <w:r>
        <w:rPr>
          <w:b w:val="0"/>
          <w:i w:val="0"/>
        </w:rPr>
        <w:t xml:space="preserve"> Indian Sign Language, isolated sign recognition, hand landmarks, temporal classification, ensemble, confidence-aware inference, accessibility.</w:t>
      </w:r>
    </w:p>
    <w:p>
      <w:r>
        <w:br w:type="page"/>
      </w:r>
    </w:p>
    <w:p>
      <w:pPr>
        <w:pStyle w:val="Heading1"/>
      </w:pPr>
      <w:r>
        <w:rPr>
          <w:b w:val="0"/>
          <w:i w:val="0"/>
        </w:rPr>
        <w:t>Contents</w:t>
      </w:r>
    </w:p>
    <w:p>
      <w:pPr>
        <w:pStyle w:val="ListNumber"/>
      </w:pPr>
      <w:r>
        <w:rPr>
          <w:b w:val="0"/>
          <w:i w:val="0"/>
        </w:rPr>
        <w:t>Introduction</w:t>
      </w:r>
    </w:p>
    <w:p>
      <w:pPr>
        <w:pStyle w:val="ListNumber"/>
      </w:pPr>
      <w:r>
        <w:rPr>
          <w:b w:val="0"/>
          <w:i w:val="0"/>
        </w:rPr>
        <w:t>Literature Survey</w:t>
      </w:r>
    </w:p>
    <w:p>
      <w:pPr>
        <w:pStyle w:val="ListNumber"/>
      </w:pPr>
      <w:r>
        <w:rPr>
          <w:b w:val="0"/>
          <w:i w:val="0"/>
        </w:rPr>
        <w:t>Problem Statement</w:t>
      </w:r>
    </w:p>
    <w:p>
      <w:pPr>
        <w:pStyle w:val="ListNumber"/>
      </w:pPr>
      <w:r>
        <w:rPr>
          <w:b w:val="0"/>
          <w:i w:val="0"/>
        </w:rPr>
        <w:t>System Architecture / Block Diagram</w:t>
      </w:r>
    </w:p>
    <w:p>
      <w:pPr>
        <w:pStyle w:val="ListNumber"/>
      </w:pPr>
      <w:r>
        <w:rPr>
          <w:b w:val="0"/>
          <w:i w:val="0"/>
        </w:rPr>
        <w:t>Implementation</w:t>
      </w:r>
    </w:p>
    <w:p>
      <w:pPr>
        <w:pStyle w:val="ListNumber"/>
      </w:pPr>
      <w:r>
        <w:rPr>
          <w:b w:val="0"/>
          <w:i w:val="0"/>
        </w:rPr>
        <w:t>Results</w:t>
      </w:r>
    </w:p>
    <w:p>
      <w:pPr>
        <w:pStyle w:val="ListNumber"/>
      </w:pPr>
      <w:r>
        <w:rPr>
          <w:b w:val="0"/>
          <w:i w:val="0"/>
        </w:rPr>
        <w:t>Conclusion</w:t>
      </w:r>
    </w:p>
    <w:p>
      <w:pPr>
        <w:pStyle w:val="ListNumber"/>
      </w:pPr>
      <w:r>
        <w:rPr>
          <w:b w:val="0"/>
          <w:i w:val="0"/>
        </w:rPr>
        <w:t>Paper Publication</w:t>
      </w:r>
    </w:p>
    <w:p>
      <w:pPr>
        <w:pStyle w:val="ListNumber"/>
      </w:pPr>
      <w:r>
        <w:rPr>
          <w:b w:val="0"/>
          <w:i w:val="0"/>
        </w:rPr>
        <w:t>References</w:t>
      </w:r>
    </w:p>
    <w:p>
      <w:pPr>
        <w:pStyle w:val="Heading2"/>
      </w:pPr>
      <w:r>
        <w:rPr>
          <w:b w:val="0"/>
          <w:i w:val="0"/>
        </w:rPr>
        <w:t>List of Figures</w:t>
      </w:r>
    </w:p>
    <w:p>
      <w:pPr>
        <w:pStyle w:val="ListNumber"/>
      </w:pPr>
      <w:r>
        <w:rPr>
          <w:b w:val="0"/>
          <w:i w:val="0"/>
        </w:rPr>
        <w:t>SignTalk AI high-level architecture</w:t>
      </w:r>
    </w:p>
    <w:p>
      <w:pPr>
        <w:pStyle w:val="ListNumber"/>
      </w:pPr>
      <w:r>
        <w:rPr>
          <w:b w:val="0"/>
          <w:i w:val="0"/>
        </w:rPr>
        <w:t>Single-sign processing sequence</w:t>
      </w:r>
    </w:p>
    <w:p>
      <w:pPr>
        <w:pStyle w:val="ListNumber"/>
      </w:pPr>
      <w:r>
        <w:rPr>
          <w:b w:val="0"/>
          <w:i w:val="0"/>
        </w:rPr>
        <w:t>Landmark-to-feature construction</w:t>
      </w:r>
    </w:p>
    <w:p>
      <w:pPr>
        <w:pStyle w:val="ListNumber"/>
      </w:pPr>
      <w:r>
        <w:rPr>
          <w:b w:val="0"/>
          <w:i w:val="0"/>
        </w:rPr>
        <w:t>Confidence-aware decision flow</w:t>
      </w:r>
    </w:p>
    <w:p>
      <w:pPr>
        <w:pStyle w:val="Heading2"/>
      </w:pPr>
      <w:r>
        <w:rPr>
          <w:b w:val="0"/>
          <w:i w:val="0"/>
        </w:rPr>
        <w:t>List of Tables</w:t>
      </w:r>
    </w:p>
    <w:p>
      <w:pPr>
        <w:pStyle w:val="ListNumber"/>
      </w:pPr>
      <w:r>
        <w:rPr>
          <w:b w:val="0"/>
          <w:i w:val="0"/>
        </w:rPr>
        <w:t>Project scope and exclusions</w:t>
      </w:r>
    </w:p>
    <w:p>
      <w:pPr>
        <w:pStyle w:val="ListNumber"/>
      </w:pPr>
      <w:r>
        <w:rPr>
          <w:b w:val="0"/>
          <w:i w:val="0"/>
        </w:rPr>
        <w:t>Selected related work</w:t>
      </w:r>
    </w:p>
    <w:p>
      <w:pPr>
        <w:pStyle w:val="ListNumber"/>
      </w:pPr>
      <w:r>
        <w:rPr>
          <w:b w:val="0"/>
          <w:i w:val="0"/>
        </w:rPr>
        <w:t>Functional requirements</w:t>
      </w:r>
    </w:p>
    <w:p>
      <w:pPr>
        <w:pStyle w:val="ListNumber"/>
      </w:pPr>
      <w:r>
        <w:rPr>
          <w:b w:val="0"/>
          <w:i w:val="0"/>
        </w:rPr>
        <w:t>Non-functional requirements</w:t>
      </w:r>
    </w:p>
    <w:p>
      <w:pPr>
        <w:pStyle w:val="ListNumber"/>
      </w:pPr>
      <w:r>
        <w:rPr>
          <w:b w:val="0"/>
          <w:i w:val="0"/>
        </w:rPr>
        <w:t>Current implementation status</w:t>
      </w:r>
    </w:p>
    <w:p>
      <w:pPr>
        <w:pStyle w:val="ListNumber"/>
      </w:pPr>
      <w:r>
        <w:rPr>
          <w:b w:val="0"/>
          <w:i w:val="0"/>
        </w:rPr>
        <w:t>Recorded model metrics</w:t>
      </w:r>
    </w:p>
    <w:p>
      <w:r>
        <w:rPr>
          <w:b w:val="0"/>
          <w:i w:val="0"/>
          <w:color w:val="536574"/>
          <w:sz w:val="16"/>
        </w:rPr>
        <w:t>Page numbers can be updated in Microsoft Word after final formatting. This report is editable.</w:t>
      </w:r>
    </w:p>
    <w:p>
      <w:pPr>
        <w:pStyle w:val="Heading1"/>
      </w:pPr>
      <w:r>
        <w:rPr>
          <w:b w:val="0"/>
          <w:i w:val="0"/>
        </w:rPr>
        <w:t>1. Introduction</w:t>
      </w:r>
    </w:p>
    <w:p>
      <w:pPr>
        <w:pStyle w:val="Heading2"/>
      </w:pPr>
      <w:r>
        <w:rPr>
          <w:b w:val="0"/>
          <w:i w:val="0"/>
        </w:rPr>
        <w:t>1.1 Introduction about the Project</w:t>
      </w:r>
    </w:p>
    <w:p>
      <w:r>
        <w:rPr>
          <w:b w:val="0"/>
          <w:i w:val="0"/>
        </w:rPr>
        <w:t>Sign language is a visual language with its own vocabulary and linguistic structure. In many everyday interactions, a signer and a hearing non-signer may not share a common language. SignTalk AI explores a software interface that can recognize a bounded set of isolated ISL words and present them as text and speech, while also offering a separate speech-to-caption pathway for the hearing participant.</w:t>
      </w:r>
    </w:p>
    <w:p>
      <w:r>
        <w:rPr>
          <w:b w:val="0"/>
          <w:i w:val="0"/>
        </w:rPr>
        <w:t>The primary sign-to-output flow is: a browser captures a sign clip; the server extracts pose and hand landmarks; a temporal classifier estimates a word; a decision layer either accepts, asks the user to confirm, or rejects; and accepted words can be accumulated and composed into a sentence. Sentence output may be shown in English, Hindi, and Kannada, with browser speech output. The secondary voice-to-caption path sends microphone audio to the server and displays a transcript when a supported speech-recognition package is available.</w:t>
      </w:r>
    </w:p>
    <w:p>
      <w:r>
        <w:rPr>
          <w:b w:val="0"/>
          <w:i w:val="0"/>
        </w:rPr>
        <w:t xml:space="preserve">The project intentionally focuses on </w:t>
      </w:r>
      <w:r>
        <w:rPr>
          <w:b/>
          <w:i w:val="0"/>
        </w:rPr>
        <w:t>isolated-word recognition over a curated vocabulary</w:t>
      </w:r>
      <w:r>
        <w:rPr>
          <w:b w:val="0"/>
          <w:i w:val="0"/>
        </w:rPr>
        <w:t>. It does not claim to translate continuous ISL, interpret unrestricted conversation, or replace a qualified interpreter. Sentence generation after word recognition is a separate language layer and cannot recover grammatical, spatial, facial, or contextual information that was not represented in the recognized word sequence.</w:t>
      </w:r>
    </w:p>
    <w:p>
      <w:pPr>
        <w:pStyle w:val="Heading3"/>
      </w:pPr>
      <w:r>
        <w:rPr>
          <w:b w:val="0"/>
          <w:i w:val="0"/>
        </w:rPr>
        <w:t>Project scope and exclusions</w:t>
      </w:r>
    </w:p>
    <w:tbl>
      <w:tblPr>
        <w:tblStyle w:val="TableGrid"/>
        <w:tblW w:type="auto" w:w="0"/>
        <w:jc w:val="center"/>
        <w:tblLook w:firstColumn="1" w:firstRow="1" w:lastColumn="0" w:lastRow="0" w:noHBand="0" w:noVBand="1" w:val="04A0"/>
      </w:tblPr>
      <w:tblGrid>
        <w:gridCol w:w="4802"/>
        <w:gridCol w:w="4802"/>
      </w:tblGrid>
      <w:tr>
        <w:tc>
          <w:tcPr>
            <w:tcW w:type="dxa" w:w="4802"/>
            <w:vAlign w:val="top"/>
            <w:shd w:fill="DCEAF4"/>
          </w:tcPr>
          <w:p>
            <w:r>
              <w:rPr>
                <w:b/>
                <w:i w:val="0"/>
                <w:sz w:val="17"/>
              </w:rPr>
              <w:t>Included or intended</w:t>
            </w:r>
          </w:p>
        </w:tc>
        <w:tc>
          <w:tcPr>
            <w:tcW w:type="dxa" w:w="4802"/>
            <w:vAlign w:val="top"/>
            <w:shd w:fill="DCEAF4"/>
          </w:tcPr>
          <w:p>
            <w:r>
              <w:rPr>
                <w:b/>
                <w:i w:val="0"/>
                <w:sz w:val="17"/>
              </w:rPr>
              <w:t>Out of current scope</w:t>
            </w:r>
          </w:p>
        </w:tc>
      </w:tr>
      <w:tr>
        <w:tc>
          <w:tcPr>
            <w:tcW w:type="dxa" w:w="4802"/>
            <w:vAlign w:val="top"/>
          </w:tcPr>
          <w:p>
            <w:r>
              <w:rPr>
                <w:b w:val="0"/>
                <w:i w:val="0"/>
                <w:sz w:val="17"/>
              </w:rPr>
              <w:t>Web-based webcam capture; isolated ISL word classification; English/Hindi/Kannada text path; speech output; optional voice captions; signer enrollment recording.</w:t>
            </w:r>
          </w:p>
        </w:tc>
        <w:tc>
          <w:tcPr>
            <w:tcW w:type="dxa" w:w="4802"/>
            <w:vAlign w:val="top"/>
          </w:tcPr>
          <w:p>
            <w:r>
              <w:rPr>
                <w:b w:val="0"/>
                <w:i w:val="0"/>
                <w:sz w:val="17"/>
              </w:rPr>
              <w:t>Continuous sign-language translation; open-vocabulary understanding; fingerspelling; all 263 INCLUDE signs; a required native mobile application; special gloves or depth cameras.</w:t>
            </w:r>
          </w:p>
        </w:tc>
      </w:tr>
    </w:tbl>
    <w:p/>
    <w:p>
      <w:pPr>
        <w:pStyle w:val="Heading2"/>
      </w:pPr>
      <w:r>
        <w:rPr>
          <w:b w:val="0"/>
          <w:i w:val="0"/>
        </w:rPr>
        <w:t>1.2 Existing System and its Limitations</w:t>
      </w:r>
    </w:p>
    <w:p>
      <w:r>
        <w:rPr>
          <w:b w:val="0"/>
          <w:i w:val="0"/>
        </w:rPr>
        <w:t>Communication can be supported by interpreters, text messaging, or purpose-built recognition applications. Interpreters provide human understanding but may not be available in every interaction. Text messaging is broadly accessible but can slow face-to-face conversation. Machine recognition can offer a useful assistive interface, but its reliability depends on the vocabulary, video conditions, signer diversity, dataset design, and evaluation protocol.</w:t>
      </w:r>
    </w:p>
    <w:p>
      <w:r>
        <w:rPr>
          <w:b w:val="0"/>
          <w:i w:val="0"/>
        </w:rPr>
        <w:t>SignTalk AI's limitations include:</w:t>
      </w:r>
    </w:p>
    <w:p>
      <w:pPr>
        <w:pStyle w:val="ListBullet"/>
      </w:pPr>
      <w:r>
        <w:rPr>
          <w:b/>
          <w:i w:val="0"/>
        </w:rPr>
        <w:t>Restricted vocabulary:</w:t>
      </w:r>
      <w:r>
        <w:rPr>
          <w:b w:val="0"/>
          <w:i w:val="0"/>
        </w:rPr>
        <w:t xml:space="preserve"> the present classifier has nine labels. A sign outside this set cannot be reliably translated into its meaning.</w:t>
      </w:r>
    </w:p>
    <w:p>
      <w:pPr>
        <w:pStyle w:val="ListBullet"/>
      </w:pPr>
      <w:r>
        <w:rPr>
          <w:b/>
          <w:i w:val="0"/>
        </w:rPr>
        <w:t>Isolated signs only:</w:t>
      </w:r>
      <w:r>
        <w:rPr>
          <w:b w:val="0"/>
          <w:i w:val="0"/>
        </w:rPr>
        <w:t xml:space="preserve"> recognizing one clip at a time is not equivalent to understanding continuous ISL or its grammar.</w:t>
      </w:r>
    </w:p>
    <w:p>
      <w:pPr>
        <w:pStyle w:val="ListBullet"/>
      </w:pPr>
      <w:r>
        <w:rPr>
          <w:b/>
          <w:i w:val="0"/>
        </w:rPr>
        <w:t>Domain gap:</w:t>
      </w:r>
      <w:r>
        <w:rPr>
          <w:b w:val="0"/>
          <w:i w:val="0"/>
        </w:rPr>
        <w:t xml:space="preserve"> training recordings and live webcam recordings may differ in signer, camera, background, lighting, speed, and framing.</w:t>
      </w:r>
    </w:p>
    <w:p>
      <w:pPr>
        <w:pStyle w:val="ListBullet"/>
      </w:pPr>
      <w:r>
        <w:rPr>
          <w:b/>
          <w:i w:val="0"/>
        </w:rPr>
        <w:t>Small validation set:</w:t>
      </w:r>
      <w:r>
        <w:rPr>
          <w:b w:val="0"/>
          <w:i w:val="0"/>
        </w:rPr>
        <w:t xml:space="preserve"> the recorded 33-clip validation split is too small and not an independent signer-held-out evaluation.</w:t>
      </w:r>
    </w:p>
    <w:p>
      <w:pPr>
        <w:pStyle w:val="ListBullet"/>
      </w:pPr>
      <w:r>
        <w:rPr>
          <w:b/>
          <w:i w:val="0"/>
        </w:rPr>
        <w:t>Runtime configuration:</w:t>
      </w:r>
      <w:r>
        <w:rPr>
          <w:b w:val="0"/>
          <w:i w:val="0"/>
        </w:rPr>
        <w:t xml:space="preserve"> although trained checkpoints and a manifest file exist, the checked server process did not receive </w:t>
      </w:r>
      <w:r>
        <w:rPr>
          <w:rFonts w:ascii="Consolas" w:hAnsi="Consolas"/>
          <w:b w:val="0"/>
          <w:i w:val="0"/>
          <w:sz w:val="18"/>
        </w:rPr>
        <w:t>RECOGNIZER_MANIFEST</w:t>
      </w:r>
      <w:r>
        <w:rPr>
          <w:b w:val="0"/>
          <w:i w:val="0"/>
        </w:rPr>
        <w:t xml:space="preserve"> and used a random fallback model.</w:t>
      </w:r>
    </w:p>
    <w:p>
      <w:pPr>
        <w:pStyle w:val="ListBullet"/>
      </w:pPr>
      <w:r>
        <w:rPr>
          <w:b/>
          <w:i w:val="0"/>
        </w:rPr>
        <w:t>Optional speech recognition:</w:t>
      </w:r>
      <w:r>
        <w:rPr>
          <w:b w:val="0"/>
          <w:i w:val="0"/>
        </w:rPr>
        <w:t xml:space="preserve"> the captions WebSocket cannot transcribe audio when neither faster-whisper nor openai-whisper is installed. That was the observed behavior in the running setup.</w:t>
      </w:r>
    </w:p>
    <w:p>
      <w:pPr>
        <w:pStyle w:val="ListBullet"/>
      </w:pPr>
      <w:r>
        <w:rPr>
          <w:b/>
          <w:i w:val="0"/>
        </w:rPr>
        <w:t>Language quality:</w:t>
      </w:r>
      <w:r>
        <w:rPr>
          <w:b w:val="0"/>
          <w:i w:val="0"/>
        </w:rPr>
        <w:t xml:space="preserve"> Hindi and Kannada output requires fluent-speaker verification; placeholder translations must not be described as validated language output.</w:t>
      </w:r>
    </w:p>
    <w:p>
      <w:pPr>
        <w:pStyle w:val="ListBullet"/>
      </w:pPr>
      <w:r>
        <w:rPr>
          <w:b/>
          <w:i w:val="0"/>
        </w:rPr>
        <w:t>Privacy and consent:</w:t>
      </w:r>
      <w:r>
        <w:rPr>
          <w:b w:val="0"/>
          <w:i w:val="0"/>
        </w:rPr>
        <w:t xml:space="preserve"> the interface warns that webcam video is sent to the server and may be retained for training/evaluation. Participants must be informed and agree before recording.</w:t>
      </w:r>
    </w:p>
    <w:p>
      <w:pPr>
        <w:pStyle w:val="Heading1"/>
      </w:pPr>
      <w:r>
        <w:rPr>
          <w:b w:val="0"/>
          <w:i w:val="0"/>
        </w:rPr>
        <w:t>2. Literature Survey</w:t>
      </w:r>
    </w:p>
    <w:p>
      <w:pPr>
        <w:pStyle w:val="Heading2"/>
      </w:pPr>
      <w:r>
        <w:rPr>
          <w:b w:val="0"/>
          <w:i w:val="0"/>
        </w:rPr>
        <w:t>2.1 Relevant Recent Papers' Summary</w:t>
      </w:r>
    </w:p>
    <w:p>
      <w:r>
        <w:rPr>
          <w:b w:val="0"/>
          <w:i w:val="0"/>
        </w:rPr>
        <w:t>The repository's project context identifies INCLUDE, OpenHands, skeleton-aware ensemble recognition, and newer ISL benchmarks as relevant sources. The summaries below describe their relevance to this project; consult and cite each original paper for exact experimental settings and reported values.</w:t>
      </w:r>
    </w:p>
    <w:tbl>
      <w:tblPr>
        <w:tblStyle w:val="TableGrid"/>
        <w:tblW w:type="auto" w:w="0"/>
        <w:jc w:val="center"/>
        <w:tblLook w:firstColumn="1" w:firstRow="1" w:lastColumn="0" w:lastRow="0" w:noHBand="0" w:noVBand="1" w:val="04A0"/>
      </w:tblPr>
      <w:tblGrid>
        <w:gridCol w:w="3202"/>
        <w:gridCol w:w="3202"/>
        <w:gridCol w:w="3202"/>
      </w:tblGrid>
      <w:tr>
        <w:tc>
          <w:tcPr>
            <w:tcW w:type="dxa" w:w="3202"/>
            <w:vAlign w:val="top"/>
            <w:shd w:fill="DCEAF4"/>
          </w:tcPr>
          <w:p>
            <w:r>
              <w:rPr>
                <w:b/>
                <w:i w:val="0"/>
                <w:sz w:val="17"/>
              </w:rPr>
              <w:t>Work</w:t>
            </w:r>
          </w:p>
        </w:tc>
        <w:tc>
          <w:tcPr>
            <w:tcW w:type="dxa" w:w="3202"/>
            <w:vAlign w:val="top"/>
            <w:shd w:fill="DCEAF4"/>
          </w:tcPr>
          <w:p>
            <w:r>
              <w:rPr>
                <w:b/>
                <w:i w:val="0"/>
                <w:sz w:val="17"/>
              </w:rPr>
              <w:t>Contribution / relevance to SignTalk AI</w:t>
            </w:r>
          </w:p>
        </w:tc>
        <w:tc>
          <w:tcPr>
            <w:tcW w:type="dxa" w:w="3202"/>
            <w:vAlign w:val="top"/>
            <w:shd w:fill="DCEAF4"/>
          </w:tcPr>
          <w:p>
            <w:r>
              <w:rPr>
                <w:b/>
                <w:i w:val="0"/>
                <w:sz w:val="17"/>
              </w:rPr>
              <w:t>How it informs this project</w:t>
            </w:r>
          </w:p>
        </w:tc>
      </w:tr>
      <w:tr>
        <w:tc>
          <w:tcPr>
            <w:tcW w:type="dxa" w:w="3202"/>
            <w:vAlign w:val="top"/>
          </w:tcPr>
          <w:p>
            <w:r>
              <w:rPr>
                <w:b w:val="0"/>
                <w:i w:val="0"/>
                <w:sz w:val="17"/>
              </w:rPr>
              <w:t>INCLUDE dataset [1]</w:t>
            </w:r>
          </w:p>
        </w:tc>
        <w:tc>
          <w:tcPr>
            <w:tcW w:type="dxa" w:w="3202"/>
            <w:vAlign w:val="top"/>
          </w:tcPr>
          <w:p>
            <w:r>
              <w:rPr>
                <w:b w:val="0"/>
                <w:i w:val="0"/>
                <w:sz w:val="17"/>
              </w:rPr>
              <w:t>A large Indian Sign Language lexical video dataset spanning word signs and categories, with official train/test splits and an INCLUDE-50 subset. The dataset record reports 4,292 videos across 263 signs, and notes the published paper count of 4,287 before five videos were added. The record reports 766/192 train/test videos for INCLUDE50 and cites published benchmark results.</w:t>
            </w:r>
          </w:p>
        </w:tc>
        <w:tc>
          <w:tcPr>
            <w:tcW w:type="dxa" w:w="3202"/>
            <w:vAlign w:val="top"/>
          </w:tcPr>
          <w:p>
            <w:r>
              <w:rPr>
                <w:b w:val="0"/>
                <w:i w:val="0"/>
                <w:sz w:val="17"/>
              </w:rPr>
              <w:t>Provides ISL-specific data and a reference evaluation resource. The project uses examples from the Greetings category for a small vocabulary. Official dataset splits should be used for any comparable benchmark claim; project validation metrics are not INCLUDE paper results.</w:t>
            </w:r>
          </w:p>
        </w:tc>
      </w:tr>
      <w:tr>
        <w:tc>
          <w:tcPr>
            <w:tcW w:type="dxa" w:w="3202"/>
            <w:vAlign w:val="top"/>
          </w:tcPr>
          <w:p>
            <w:r>
              <w:rPr>
                <w:b w:val="0"/>
                <w:i w:val="0"/>
                <w:sz w:val="17"/>
              </w:rPr>
              <w:t>OpenHands [2]</w:t>
            </w:r>
          </w:p>
        </w:tc>
        <w:tc>
          <w:tcPr>
            <w:tcW w:type="dxa" w:w="3202"/>
            <w:vAlign w:val="top"/>
          </w:tcPr>
          <w:p>
            <w:r>
              <w:rPr>
                <w:b w:val="0"/>
                <w:i w:val="0"/>
                <w:sz w:val="17"/>
              </w:rPr>
              <w:t>“Making Sign Language Recognition Accessible with Pose-based Pretrained Models across Languages.” The project lists this work as motivation for investigating pose-based pretraining and transfer across sign-language datasets.</w:t>
            </w:r>
          </w:p>
        </w:tc>
        <w:tc>
          <w:tcPr>
            <w:tcW w:type="dxa" w:w="3202"/>
            <w:vAlign w:val="top"/>
          </w:tcPr>
          <w:p>
            <w:r>
              <w:rPr>
                <w:b w:val="0"/>
                <w:i w:val="0"/>
                <w:sz w:val="17"/>
              </w:rPr>
              <w:t>Supports considering pretrained pose models when data is limited. Check checkpoint availability, licensing, and compatibility before depending on them; no pretrained OpenHands checkpoint is claimed as used in the current model run.</w:t>
            </w:r>
          </w:p>
        </w:tc>
      </w:tr>
      <w:tr>
        <w:tc>
          <w:tcPr>
            <w:tcW w:type="dxa" w:w="3202"/>
            <w:vAlign w:val="top"/>
          </w:tcPr>
          <w:p>
            <w:r>
              <w:rPr>
                <w:b w:val="0"/>
                <w:i w:val="0"/>
                <w:sz w:val="17"/>
              </w:rPr>
              <w:t>Skeleton-Aware Multi-Model Ensemble [3]</w:t>
            </w:r>
          </w:p>
        </w:tc>
        <w:tc>
          <w:tcPr>
            <w:tcW w:type="dxa" w:w="3202"/>
            <w:vAlign w:val="top"/>
          </w:tcPr>
          <w:p>
            <w:r>
              <w:rPr>
                <w:b w:val="0"/>
                <w:i w:val="0"/>
                <w:sz w:val="17"/>
              </w:rPr>
              <w:t>“Sign Language Recognition via Skeleton-Aware Multi-Model Ensemble.” The title and project citation identify an ensemble approach that uses skeleton information.</w:t>
            </w:r>
          </w:p>
        </w:tc>
        <w:tc>
          <w:tcPr>
            <w:tcW w:type="dxa" w:w="3202"/>
            <w:vAlign w:val="top"/>
          </w:tcPr>
          <w:p>
            <w:r>
              <w:rPr>
                <w:b w:val="0"/>
                <w:i w:val="0"/>
                <w:sz w:val="17"/>
              </w:rPr>
              <w:t>Motivates using complementary temporal models and probability-level fusion rather than relying on a single prediction. The implemented configuration includes a GRU and Transformer, with equal manifest weights, when loaded.</w:t>
            </w:r>
          </w:p>
        </w:tc>
      </w:tr>
      <w:tr>
        <w:tc>
          <w:tcPr>
            <w:tcW w:type="dxa" w:w="3202"/>
            <w:vAlign w:val="top"/>
          </w:tcPr>
          <w:p>
            <w:r>
              <w:rPr>
                <w:b w:val="0"/>
                <w:i w:val="0"/>
                <w:sz w:val="17"/>
              </w:rPr>
              <w:t>Ensemble SLR study [4]</w:t>
            </w:r>
          </w:p>
        </w:tc>
        <w:tc>
          <w:tcPr>
            <w:tcW w:type="dxa" w:w="3202"/>
            <w:vAlign w:val="top"/>
          </w:tcPr>
          <w:p>
            <w:r>
              <w:rPr>
                <w:b w:val="0"/>
                <w:i w:val="0"/>
                <w:sz w:val="17"/>
              </w:rPr>
              <w:t>A survey/experimental reference on ensemble methods for isolated sign-language recognition, listed in the project context.</w:t>
            </w:r>
          </w:p>
        </w:tc>
        <w:tc>
          <w:tcPr>
            <w:tcW w:type="dxa" w:w="3202"/>
            <w:vAlign w:val="top"/>
          </w:tcPr>
          <w:p>
            <w:r>
              <w:rPr>
                <w:b w:val="0"/>
                <w:i w:val="0"/>
                <w:sz w:val="17"/>
              </w:rPr>
              <w:t>Provides broader context for comparing model diversity and fusion. Any performance claim should be checked against the paper's language, dataset, and split.</w:t>
            </w:r>
          </w:p>
        </w:tc>
      </w:tr>
      <w:tr>
        <w:tc>
          <w:tcPr>
            <w:tcW w:type="dxa" w:w="3202"/>
            <w:vAlign w:val="top"/>
          </w:tcPr>
          <w:p>
            <w:r>
              <w:rPr>
                <w:b w:val="0"/>
                <w:i w:val="0"/>
                <w:sz w:val="17"/>
              </w:rPr>
              <w:t>iSign [5]</w:t>
            </w:r>
          </w:p>
        </w:tc>
        <w:tc>
          <w:tcPr>
            <w:tcW w:type="dxa" w:w="3202"/>
            <w:vAlign w:val="top"/>
          </w:tcPr>
          <w:p>
            <w:r>
              <w:rPr>
                <w:b w:val="0"/>
                <w:i w:val="0"/>
                <w:sz w:val="17"/>
              </w:rPr>
              <w:t>“iSign: A Benchmark for Indian Sign Language Processing.” It is relevant as an ISL benchmark and evaluation resource.</w:t>
            </w:r>
          </w:p>
        </w:tc>
        <w:tc>
          <w:tcPr>
            <w:tcW w:type="dxa" w:w="3202"/>
            <w:vAlign w:val="top"/>
          </w:tcPr>
          <w:p>
            <w:r>
              <w:rPr>
                <w:b w:val="0"/>
                <w:i w:val="0"/>
                <w:sz w:val="17"/>
              </w:rPr>
              <w:t>Highlights the importance of ISL-specific benchmarks and task definitions; SignTalk AI's isolated-word task should not be conflated with broader language-processing tasks.</w:t>
            </w:r>
          </w:p>
        </w:tc>
      </w:tr>
      <w:tr>
        <w:tc>
          <w:tcPr>
            <w:tcW w:type="dxa" w:w="3202"/>
            <w:vAlign w:val="top"/>
          </w:tcPr>
          <w:p>
            <w:r>
              <w:rPr>
                <w:b w:val="0"/>
                <w:i w:val="0"/>
                <w:sz w:val="17"/>
              </w:rPr>
              <w:t>Uni-Sign, TwoStream-SLR/SLT and related work [6–7]</w:t>
            </w:r>
          </w:p>
        </w:tc>
        <w:tc>
          <w:tcPr>
            <w:tcW w:type="dxa" w:w="3202"/>
            <w:vAlign w:val="top"/>
          </w:tcPr>
          <w:p>
            <w:r>
              <w:rPr>
                <w:b w:val="0"/>
                <w:i w:val="0"/>
                <w:sz w:val="17"/>
              </w:rPr>
              <w:t>These references represent broader sign recognition/translation and multimodal or multi-stream research directions.</w:t>
            </w:r>
          </w:p>
        </w:tc>
        <w:tc>
          <w:tcPr>
            <w:tcW w:type="dxa" w:w="3202"/>
            <w:vAlign w:val="top"/>
          </w:tcPr>
          <w:p>
            <w:r>
              <w:rPr>
                <w:b w:val="0"/>
                <w:i w:val="0"/>
                <w:sz w:val="17"/>
              </w:rPr>
              <w:t>They contextualize possible future work such as richer inputs and continuous recognition, which remain outside this prototype's current claim.</w:t>
            </w:r>
          </w:p>
        </w:tc>
      </w:tr>
    </w:tbl>
    <w:p/>
    <w:p>
      <w:r>
        <w:rPr>
          <w:b w:val="0"/>
          <w:i w:val="0"/>
        </w:rPr>
        <w:t>A sound comparison should report language, vocabulary size, isolated versus continuous task, input representation, model, train/test protocol, signer independence, and metrics. Comparing only headline accuracy is misleading when datasets and splits differ.</w:t>
      </w:r>
    </w:p>
    <w:p>
      <w:pPr>
        <w:pStyle w:val="Heading2"/>
      </w:pPr>
      <w:r>
        <w:rPr>
          <w:b w:val="0"/>
          <w:i w:val="0"/>
        </w:rPr>
        <w:t>2.2 Conclusion about the Literature Survey</w:t>
      </w:r>
    </w:p>
    <w:p>
      <w:r>
        <w:rPr>
          <w:b w:val="0"/>
          <w:i w:val="0"/>
        </w:rPr>
        <w:t>The selected literature motivates three core engineering choices: use ISL-relevant data; preserve temporal information with sequence models; and combine confidence-aware decisions with careful evaluation. Hand landmarks complement upper-body pose because hand shape can distinguish signs. Ensembling may reduce some single-model errors, but it does not by itself guarantee accuracy. A proper held-out test, signer/session separation, and disclosure of the system's vocabulary and abstention behavior are essential.</w:t>
      </w:r>
    </w:p>
    <w:p>
      <w:pPr>
        <w:pStyle w:val="Heading1"/>
      </w:pPr>
      <w:r>
        <w:rPr>
          <w:b w:val="0"/>
          <w:i w:val="0"/>
        </w:rPr>
        <w:t>3. Problem Statement</w:t>
      </w:r>
    </w:p>
    <w:p>
      <w:r>
        <w:rPr>
          <w:b/>
          <w:i w:val="0"/>
        </w:rPr>
        <w:t>Problem:</w:t>
      </w:r>
      <w:r>
        <w:rPr>
          <w:b w:val="0"/>
          <w:i w:val="0"/>
        </w:rPr>
        <w:t xml:space="preserve"> Build a local web prototype that accepts a camera-recorded clip of one sign from a defined ISL vocabulary and returns a useful, understandable result to a non-signer, while avoiding unsupported claims about continuous translation or accuracy. Provide a companion speech-to-caption path where server dependencies allow.</w:t>
      </w:r>
    </w:p>
    <w:p>
      <w:pPr>
        <w:pStyle w:val="Heading2"/>
      </w:pPr>
      <w:r>
        <w:rPr>
          <w:b w:val="0"/>
          <w:i w:val="0"/>
        </w:rPr>
        <w:t>3.1 Objectives</w:t>
      </w:r>
    </w:p>
    <w:p>
      <w:pPr>
        <w:pStyle w:val="ListNumber"/>
      </w:pPr>
      <w:r>
        <w:rPr>
          <w:b w:val="0"/>
          <w:i w:val="0"/>
        </w:rPr>
        <w:t>Capture a complete sign as a clip using a browser camera.</w:t>
      </w:r>
    </w:p>
    <w:p>
      <w:pPr>
        <w:pStyle w:val="ListNumber"/>
      </w:pPr>
      <w:r>
        <w:rPr>
          <w:b w:val="0"/>
          <w:i w:val="0"/>
        </w:rPr>
        <w:t>Extract upper-body pose and hand landmarks from video frames.</w:t>
      </w:r>
    </w:p>
    <w:p>
      <w:pPr>
        <w:pStyle w:val="ListNumber"/>
      </w:pPr>
      <w:r>
        <w:rPr>
          <w:b w:val="0"/>
          <w:i w:val="0"/>
        </w:rPr>
        <w:t>Transform landmarks into a normalized, fixed-length time-series feature representation shared by training and inference.</w:t>
      </w:r>
    </w:p>
    <w:p>
      <w:pPr>
        <w:pStyle w:val="ListNumber"/>
      </w:pPr>
      <w:r>
        <w:rPr>
          <w:b w:val="0"/>
          <w:i w:val="0"/>
        </w:rPr>
        <w:t>Classify a clip among a bounded set of ISL labels using temporal neural models.</w:t>
      </w:r>
    </w:p>
    <w:p>
      <w:pPr>
        <w:pStyle w:val="ListNumber"/>
      </w:pPr>
      <w:r>
        <w:rPr>
          <w:b w:val="0"/>
          <w:i w:val="0"/>
        </w:rPr>
        <w:t>Use confidence, class margin, model agreement, TTA agreement, and clip quality to accept, request confirmation, or reject a prediction.</w:t>
      </w:r>
    </w:p>
    <w:p>
      <w:pPr>
        <w:pStyle w:val="ListNumber"/>
      </w:pPr>
      <w:r>
        <w:rPr>
          <w:b w:val="0"/>
          <w:i w:val="0"/>
        </w:rPr>
        <w:t>Compose recognized words into sentence text and provide English, Hindi, and Kannada output paths with explicit fallbacks.</w:t>
      </w:r>
    </w:p>
    <w:p>
      <w:pPr>
        <w:pStyle w:val="ListNumber"/>
      </w:pPr>
      <w:r>
        <w:rPr>
          <w:b w:val="0"/>
          <w:i w:val="0"/>
        </w:rPr>
        <w:t>Record signer-specific enrollment clips and report per-sign recording progress.</w:t>
      </w:r>
    </w:p>
    <w:p>
      <w:pPr>
        <w:pStyle w:val="ListNumber"/>
      </w:pPr>
      <w:r>
        <w:rPr>
          <w:b w:val="0"/>
          <w:i w:val="0"/>
        </w:rPr>
        <w:t>Support speech-to-text captions when a compatible Whisper backend is installed.</w:t>
      </w:r>
    </w:p>
    <w:p>
      <w:pPr>
        <w:pStyle w:val="ListNumber"/>
      </w:pPr>
      <w:r>
        <w:rPr>
          <w:b w:val="0"/>
          <w:i w:val="0"/>
        </w:rPr>
        <w:t>Evaluate software behavior and model performance separately, using reproducible runs and honest test splits.</w:t>
      </w:r>
    </w:p>
    <w:p>
      <w:pPr>
        <w:pStyle w:val="Heading1"/>
      </w:pPr>
      <w:r>
        <w:rPr>
          <w:b w:val="0"/>
          <w:i w:val="0"/>
        </w:rPr>
        <w:t>4. System Architecture / Block Diagram</w:t>
      </w:r>
    </w:p>
    <w:p>
      <w:pPr>
        <w:pStyle w:val="Heading2"/>
      </w:pPr>
      <w:r>
        <w:rPr>
          <w:b w:val="0"/>
          <w:i w:val="0"/>
        </w:rPr>
        <w:t>4.1 Diagrams with Explanation</w:t>
      </w:r>
    </w:p>
    <w:p>
      <w:pPr>
        <w:pStyle w:val="Heading3"/>
      </w:pPr>
      <w:r>
        <w:rPr>
          <w:b w:val="0"/>
          <w:i w:val="0"/>
        </w:rPr>
        <w:t>Figure 1. High-level architecture</w:t>
      </w:r>
    </w:p>
    <w:p>
      <w:pPr>
        <w:spacing w:before="80" w:after="160"/>
        <w:ind w:left="173" w:right="173"/>
        <w:shd w:fill="F0F4F7"/>
      </w:pPr>
      <w:r>
        <w:rPr>
          <w:rFonts w:ascii="Consolas" w:hAnsi="Consolas"/>
          <w:sz w:val="16"/>
        </w:rPr>
        <w:br/>
        <w:br/>
        <w:t>SIGN TO SENTENCE</w:t>
        <w:br/>
        <w:br/>
        <w:t>Webcam -&gt; whole-sign clip -&gt; HTTP POST /api/recognize</w:t>
        <w:br/>
        <w:br/>
        <w:t xml:space="preserve">       -&gt; video decoding -&gt; MediaPipe Pose + Hand landmarks</w:t>
        <w:br/>
        <w:br/>
        <w:t xml:space="preserve">       -&gt; quality checks -&gt; normalized 374-D/frame features</w:t>
        <w:br/>
        <w:br/>
        <w:t xml:space="preserve">       -&gt; GRU and Transformer -&gt; calibration / TTA / fusion</w:t>
        <w:br/>
        <w:br/>
        <w:t xml:space="preserve">       -&gt; ACCEPT | CONFIRM | REJECT -&gt; word sequence</w:t>
        <w:br/>
        <w:br/>
        <w:t xml:space="preserve">       -&gt; scripted sentence / optional LLM / phrasebook fallback</w:t>
        <w:br/>
        <w:br/>
        <w:t xml:space="preserve">       -&gt; English, Hindi, Kannada display + browser speech</w:t>
        <w:br/>
        <w:br/>
        <w:br/>
        <w:br/>
        <w:t>VOICE TO CAPTIONS</w:t>
        <w:br/>
        <w:br/>
        <w:t>Microphone -&gt; audio chunks -&gt; WebSocket /ws/speech</w:t>
        <w:br/>
        <w:br/>
        <w:t xml:space="preserve">           -&gt; optional Whisper backend -&gt; caption + conversation log</w:t>
        <w:br/>
        <w:br/>
      </w:r>
    </w:p>
    <w:p>
      <w:r>
        <w:rPr>
          <w:b w:val="0"/>
          <w:i w:val="0"/>
        </w:rPr>
        <w:t>The browser handles interaction and clip capture; the server handles video decoding, landmark extraction, model inference, and persistence. The sentence layer is separate from the recognition model. The speech-caption WebSocket is another independent path and can be unavailable even while the sign-recognition web interface works.</w:t>
      </w:r>
    </w:p>
    <w:p>
      <w:pPr>
        <w:pStyle w:val="Heading3"/>
      </w:pPr>
      <w:r>
        <w:rPr>
          <w:b w:val="0"/>
          <w:i w:val="0"/>
        </w:rPr>
        <w:t>Figure 2. One sign through the pipeline</w:t>
      </w:r>
    </w:p>
    <w:p>
      <w:pPr>
        <w:pStyle w:val="ListNumber"/>
      </w:pPr>
      <w:r>
        <w:rPr>
          <w:b w:val="0"/>
          <w:i w:val="0"/>
        </w:rPr>
        <w:t>The signer frames hands and upper body and records one sign.</w:t>
      </w:r>
    </w:p>
    <w:p>
      <w:pPr>
        <w:pStyle w:val="ListNumber"/>
      </w:pPr>
      <w:r>
        <w:rPr>
          <w:b w:val="0"/>
          <w:i w:val="0"/>
        </w:rPr>
        <w:t>The browser sends a clip or frame batch.</w:t>
      </w:r>
    </w:p>
    <w:p>
      <w:pPr>
        <w:pStyle w:val="ListNumber"/>
      </w:pPr>
      <w:r>
        <w:rPr>
          <w:b w:val="0"/>
          <w:i w:val="0"/>
        </w:rPr>
        <w:t>The server decodes frames and extracts pose/hand landmarks.</w:t>
      </w:r>
    </w:p>
    <w:p>
      <w:pPr>
        <w:pStyle w:val="ListNumber"/>
      </w:pPr>
      <w:r>
        <w:rPr>
          <w:b w:val="0"/>
          <w:i w:val="0"/>
        </w:rPr>
        <w:t>Quality checks and feature construction prepare a sequence for the models.</w:t>
      </w:r>
    </w:p>
    <w:p>
      <w:pPr>
        <w:pStyle w:val="ListNumber"/>
      </w:pPr>
      <w:r>
        <w:rPr>
          <w:b w:val="0"/>
          <w:i w:val="0"/>
        </w:rPr>
        <w:t>Model probabilities are aggregated and passed to the decision policy.</w:t>
      </w:r>
    </w:p>
    <w:p>
      <w:pPr>
        <w:pStyle w:val="ListNumber"/>
      </w:pPr>
      <w:r>
        <w:rPr>
          <w:b w:val="0"/>
          <w:i w:val="0"/>
        </w:rPr>
        <w:t>The interface shows an accepted label, confirmation candidates, or retry guidance.</w:t>
      </w:r>
    </w:p>
    <w:p>
      <w:pPr>
        <w:pStyle w:val="ListNumber"/>
      </w:pPr>
      <w:r>
        <w:rPr>
          <w:b w:val="0"/>
          <w:i w:val="0"/>
        </w:rPr>
        <w:t>Accepted/confirmed words are composed into sentence output.</w:t>
      </w:r>
    </w:p>
    <w:p>
      <w:pPr>
        <w:pStyle w:val="Heading3"/>
      </w:pPr>
      <w:r>
        <w:rPr>
          <w:b w:val="0"/>
          <w:i w:val="0"/>
        </w:rPr>
        <w:t>Figure 3. Landmark-to-feature construction</w:t>
      </w:r>
    </w:p>
    <w:p>
      <w:pPr>
        <w:spacing w:before="80" w:after="160"/>
        <w:ind w:left="173" w:right="173"/>
        <w:shd w:fill="F0F4F7"/>
      </w:pPr>
      <w:r>
        <w:rPr>
          <w:rFonts w:ascii="Consolas" w:hAnsi="Consolas"/>
          <w:sz w:val="16"/>
        </w:rPr>
        <w:br/>
        <w:br/>
        <w:t>Per frame: pose subset (9 x 2) + left/right hands (21 x 2 each)</w:t>
        <w:br/>
        <w:br/>
        <w:t xml:space="preserve">          -&gt; body-relative and hand-local coordinates</w:t>
        <w:br/>
        <w:br/>
        <w:t xml:space="preserve">          -&gt; short-gap interpolation -&gt; smoothing -&gt; velocity + presence flags</w:t>
        <w:br/>
        <w:br/>
        <w:t xml:space="preserve">          -&gt; 374 features/frame -&gt; temporal resampling to 32 frames</w:t>
        <w:br/>
        <w:br/>
      </w:r>
    </w:p>
    <w:p>
      <w:pPr>
        <w:pStyle w:val="Heading3"/>
      </w:pPr>
      <w:r>
        <w:rPr>
          <w:b w:val="0"/>
          <w:i w:val="0"/>
        </w:rPr>
        <w:t>Figure 4. Confidence-aware decision flow</w:t>
      </w:r>
    </w:p>
    <w:p>
      <w:pPr>
        <w:spacing w:before="80" w:after="160"/>
        <w:ind w:left="173" w:right="173"/>
        <w:shd w:fill="F0F4F7"/>
      </w:pPr>
      <w:r>
        <w:rPr>
          <w:rFonts w:ascii="Consolas" w:hAnsi="Consolas"/>
          <w:sz w:val="16"/>
        </w:rPr>
        <w:br/>
        <w:br/>
        <w:t>quality failure -------------------------------&gt; REJECT</w:t>
        <w:br/>
        <w:br/>
        <w:t>otherwise compute fused top-1, margin, agreement and TTA</w:t>
        <w:br/>
        <w:br/>
        <w:t>all acceptance criteria met -------------------&gt; ACCEPT top label</w:t>
        <w:br/>
        <w:br/>
        <w:t>not accepted, confidence &gt;= confirmation level -&gt; CONFIRM (candidate chips)</w:t>
        <w:br/>
        <w:br/>
        <w:t>otherwise -------------------------------------&gt; REJECT / sign again</w:t>
        <w:br/>
        <w:br/>
      </w:r>
    </w:p>
    <w:p>
      <w:r>
        <w:rPr>
          <w:b w:val="0"/>
          <w:i w:val="0"/>
        </w:rPr>
        <w:t>The architecture and interface contracts are described in [docs/ARCHITECTURE.md] and [PROJECT_CONTEXT.md]. The actual serving API is defined in the server routers.</w:t>
      </w:r>
    </w:p>
    <w:p>
      <w:pPr>
        <w:pStyle w:val="Heading2"/>
      </w:pPr>
      <w:r>
        <w:rPr>
          <w:b w:val="0"/>
          <w:i w:val="0"/>
        </w:rPr>
        <w:t>4.2 Functional Requirements</w:t>
      </w:r>
    </w:p>
    <w:tbl>
      <w:tblPr>
        <w:tblStyle w:val="TableGrid"/>
        <w:tblW w:type="auto" w:w="0"/>
        <w:jc w:val="center"/>
        <w:tblLook w:firstColumn="1" w:firstRow="1" w:lastColumn="0" w:lastRow="0" w:noHBand="0" w:noVBand="1" w:val="04A0"/>
      </w:tblPr>
      <w:tblGrid>
        <w:gridCol w:w="3202"/>
        <w:gridCol w:w="3202"/>
        <w:gridCol w:w="3202"/>
      </w:tblGrid>
      <w:tr>
        <w:tc>
          <w:tcPr>
            <w:tcW w:type="dxa" w:w="3202"/>
            <w:vAlign w:val="top"/>
            <w:shd w:fill="DCEAF4"/>
          </w:tcPr>
          <w:p>
            <w:r>
              <w:rPr>
                <w:b/>
                <w:i w:val="0"/>
                <w:sz w:val="17"/>
              </w:rPr>
              <w:t>ID</w:t>
            </w:r>
          </w:p>
        </w:tc>
        <w:tc>
          <w:tcPr>
            <w:tcW w:type="dxa" w:w="3202"/>
            <w:vAlign w:val="top"/>
            <w:shd w:fill="DCEAF4"/>
          </w:tcPr>
          <w:p>
            <w:r>
              <w:rPr>
                <w:b/>
                <w:i w:val="0"/>
                <w:sz w:val="17"/>
              </w:rPr>
              <w:t>Requirement</w:t>
            </w:r>
          </w:p>
        </w:tc>
        <w:tc>
          <w:tcPr>
            <w:tcW w:type="dxa" w:w="3202"/>
            <w:vAlign w:val="top"/>
            <w:shd w:fill="DCEAF4"/>
          </w:tcPr>
          <w:p>
            <w:r>
              <w:rPr>
                <w:b/>
                <w:i w:val="0"/>
                <w:sz w:val="17"/>
              </w:rPr>
              <w:t>Current evidence/status</w:t>
            </w:r>
          </w:p>
        </w:tc>
      </w:tr>
      <w:tr>
        <w:tc>
          <w:tcPr>
            <w:tcW w:type="dxa" w:w="3202"/>
            <w:vAlign w:val="top"/>
          </w:tcPr>
          <w:p>
            <w:r>
              <w:rPr>
                <w:b w:val="0"/>
                <w:i w:val="0"/>
                <w:sz w:val="17"/>
              </w:rPr>
              <w:t>FR-1</w:t>
            </w:r>
          </w:p>
        </w:tc>
        <w:tc>
          <w:tcPr>
            <w:tcW w:type="dxa" w:w="3202"/>
            <w:vAlign w:val="top"/>
          </w:tcPr>
          <w:p>
            <w:r>
              <w:rPr>
                <w:b w:val="0"/>
                <w:i w:val="0"/>
                <w:sz w:val="17"/>
              </w:rPr>
              <w:t>Present capture, captions, and enrollment screens in a web client.</w:t>
            </w:r>
          </w:p>
        </w:tc>
        <w:tc>
          <w:tcPr>
            <w:tcW w:type="dxa" w:w="3202"/>
            <w:vAlign w:val="top"/>
          </w:tcPr>
          <w:p>
            <w:r>
              <w:rPr>
                <w:b w:val="0"/>
                <w:i w:val="0"/>
                <w:sz w:val="17"/>
              </w:rPr>
              <w:t>Implemented in the v3 web app.</w:t>
            </w:r>
          </w:p>
        </w:tc>
      </w:tr>
      <w:tr>
        <w:tc>
          <w:tcPr>
            <w:tcW w:type="dxa" w:w="3202"/>
            <w:vAlign w:val="top"/>
          </w:tcPr>
          <w:p>
            <w:r>
              <w:rPr>
                <w:b w:val="0"/>
                <w:i w:val="0"/>
                <w:sz w:val="17"/>
              </w:rPr>
              <w:t>FR-2</w:t>
            </w:r>
          </w:p>
        </w:tc>
        <w:tc>
          <w:tcPr>
            <w:tcW w:type="dxa" w:w="3202"/>
            <w:vAlign w:val="top"/>
          </w:tcPr>
          <w:p>
            <w:r>
              <w:rPr>
                <w:b w:val="0"/>
                <w:i w:val="0"/>
                <w:sz w:val="17"/>
              </w:rPr>
              <w:t>Accept whole-clip uploads or JSON frame batches for recognition.</w:t>
            </w:r>
          </w:p>
        </w:tc>
        <w:tc>
          <w:tcPr>
            <w:tcW w:type="dxa" w:w="3202"/>
            <w:vAlign w:val="top"/>
          </w:tcPr>
          <w:p>
            <w:r>
              <w:rPr>
                <w:rFonts w:ascii="Consolas" w:hAnsi="Consolas"/>
                <w:b w:val="0"/>
                <w:i w:val="0"/>
                <w:sz w:val="17"/>
              </w:rPr>
              <w:t>POST /api/recognize</w:t>
            </w:r>
            <w:r>
              <w:rPr>
                <w:b w:val="0"/>
                <w:i w:val="0"/>
                <w:sz w:val="17"/>
              </w:rPr>
              <w:t xml:space="preserve"> is implemented.</w:t>
            </w:r>
          </w:p>
        </w:tc>
      </w:tr>
      <w:tr>
        <w:tc>
          <w:tcPr>
            <w:tcW w:type="dxa" w:w="3202"/>
            <w:vAlign w:val="top"/>
          </w:tcPr>
          <w:p>
            <w:r>
              <w:rPr>
                <w:b w:val="0"/>
                <w:i w:val="0"/>
                <w:sz w:val="17"/>
              </w:rPr>
              <w:t>FR-3</w:t>
            </w:r>
          </w:p>
        </w:tc>
        <w:tc>
          <w:tcPr>
            <w:tcW w:type="dxa" w:w="3202"/>
            <w:vAlign w:val="top"/>
          </w:tcPr>
          <w:p>
            <w:r>
              <w:rPr>
                <w:b w:val="0"/>
                <w:i w:val="0"/>
                <w:sz w:val="17"/>
              </w:rPr>
              <w:t>Return accept/confirm/reject output with confidence and candidates.</w:t>
            </w:r>
          </w:p>
        </w:tc>
        <w:tc>
          <w:tcPr>
            <w:tcW w:type="dxa" w:w="3202"/>
            <w:vAlign w:val="top"/>
          </w:tcPr>
          <w:p>
            <w:r>
              <w:rPr>
                <w:b w:val="0"/>
                <w:i w:val="0"/>
                <w:sz w:val="17"/>
              </w:rPr>
              <w:t>Response contract and decision logic are implemented; deployed behavior depends on detector/checkpoint configuration.</w:t>
            </w:r>
          </w:p>
        </w:tc>
      </w:tr>
      <w:tr>
        <w:tc>
          <w:tcPr>
            <w:tcW w:type="dxa" w:w="3202"/>
            <w:vAlign w:val="top"/>
          </w:tcPr>
          <w:p>
            <w:r>
              <w:rPr>
                <w:b w:val="0"/>
                <w:i w:val="0"/>
                <w:sz w:val="17"/>
              </w:rPr>
              <w:t>FR-4</w:t>
            </w:r>
          </w:p>
        </w:tc>
        <w:tc>
          <w:tcPr>
            <w:tcW w:type="dxa" w:w="3202"/>
            <w:vAlign w:val="top"/>
          </w:tcPr>
          <w:p>
            <w:r>
              <w:rPr>
                <w:b w:val="0"/>
                <w:i w:val="0"/>
                <w:sz w:val="17"/>
              </w:rPr>
              <w:t>Expose health and vocabulary endpoints.</w:t>
            </w:r>
          </w:p>
        </w:tc>
        <w:tc>
          <w:tcPr>
            <w:tcW w:type="dxa" w:w="3202"/>
            <w:vAlign w:val="top"/>
          </w:tcPr>
          <w:p>
            <w:r>
              <w:rPr>
                <w:rFonts w:ascii="Consolas" w:hAnsi="Consolas"/>
                <w:b w:val="0"/>
                <w:i w:val="0"/>
                <w:sz w:val="17"/>
              </w:rPr>
              <w:t>GET /health</w:t>
            </w:r>
            <w:r>
              <w:rPr>
                <w:b w:val="0"/>
                <w:i w:val="0"/>
                <w:sz w:val="17"/>
              </w:rPr>
              <w:t xml:space="preserve"> and </w:t>
            </w:r>
            <w:r>
              <w:rPr>
                <w:rFonts w:ascii="Consolas" w:hAnsi="Consolas"/>
                <w:b w:val="0"/>
                <w:i w:val="0"/>
                <w:sz w:val="17"/>
              </w:rPr>
              <w:t>GET /api/vocab</w:t>
            </w:r>
            <w:r>
              <w:rPr>
                <w:b w:val="0"/>
                <w:i w:val="0"/>
                <w:sz w:val="17"/>
              </w:rPr>
              <w:t xml:space="preserve"> are implemented.</w:t>
            </w:r>
          </w:p>
        </w:tc>
      </w:tr>
      <w:tr>
        <w:tc>
          <w:tcPr>
            <w:tcW w:type="dxa" w:w="3202"/>
            <w:vAlign w:val="top"/>
          </w:tcPr>
          <w:p>
            <w:r>
              <w:rPr>
                <w:b w:val="0"/>
                <w:i w:val="0"/>
                <w:sz w:val="17"/>
              </w:rPr>
              <w:t>FR-5</w:t>
            </w:r>
          </w:p>
        </w:tc>
        <w:tc>
          <w:tcPr>
            <w:tcW w:type="dxa" w:w="3202"/>
            <w:vAlign w:val="top"/>
          </w:tcPr>
          <w:p>
            <w:r>
              <w:rPr>
                <w:b w:val="0"/>
                <w:i w:val="0"/>
                <w:sz w:val="17"/>
              </w:rPr>
              <w:t>Store recognition decisions and confirmation records.</w:t>
            </w:r>
          </w:p>
        </w:tc>
        <w:tc>
          <w:tcPr>
            <w:tcW w:type="dxa" w:w="3202"/>
            <w:vAlign w:val="top"/>
          </w:tcPr>
          <w:p>
            <w:r>
              <w:rPr>
                <w:b w:val="0"/>
                <w:i w:val="0"/>
                <w:sz w:val="17"/>
              </w:rPr>
              <w:t>SQLite storage methods and tables are implemented.</w:t>
            </w:r>
          </w:p>
        </w:tc>
      </w:tr>
      <w:tr>
        <w:tc>
          <w:tcPr>
            <w:tcW w:type="dxa" w:w="3202"/>
            <w:vAlign w:val="top"/>
          </w:tcPr>
          <w:p>
            <w:r>
              <w:rPr>
                <w:b w:val="0"/>
                <w:i w:val="0"/>
                <w:sz w:val="17"/>
              </w:rPr>
              <w:t>FR-6</w:t>
            </w:r>
          </w:p>
        </w:tc>
        <w:tc>
          <w:tcPr>
            <w:tcW w:type="dxa" w:w="3202"/>
            <w:vAlign w:val="top"/>
          </w:tcPr>
          <w:p>
            <w:r>
              <w:rPr>
                <w:b w:val="0"/>
                <w:i w:val="0"/>
                <w:sz w:val="17"/>
              </w:rPr>
              <w:t>Record enrollment clips and show per-sign counts.</w:t>
            </w:r>
          </w:p>
        </w:tc>
        <w:tc>
          <w:tcPr>
            <w:tcW w:type="dxa" w:w="3202"/>
            <w:vAlign w:val="top"/>
          </w:tcPr>
          <w:p>
            <w:r>
              <w:rPr>
                <w:b w:val="0"/>
                <w:i w:val="0"/>
                <w:sz w:val="17"/>
              </w:rPr>
              <w:t>Recording/storage/progress endpoints are implemented; automatic fine-tuning and training reports are not implemented in the enrollment endpoint.</w:t>
            </w:r>
          </w:p>
        </w:tc>
      </w:tr>
      <w:tr>
        <w:tc>
          <w:tcPr>
            <w:tcW w:type="dxa" w:w="3202"/>
            <w:vAlign w:val="top"/>
          </w:tcPr>
          <w:p>
            <w:r>
              <w:rPr>
                <w:b w:val="0"/>
                <w:i w:val="0"/>
                <w:sz w:val="17"/>
              </w:rPr>
              <w:t>FR-7</w:t>
            </w:r>
          </w:p>
        </w:tc>
        <w:tc>
          <w:tcPr>
            <w:tcW w:type="dxa" w:w="3202"/>
            <w:vAlign w:val="top"/>
          </w:tcPr>
          <w:p>
            <w:r>
              <w:rPr>
                <w:b w:val="0"/>
                <w:i w:val="0"/>
                <w:sz w:val="17"/>
              </w:rPr>
              <w:t>Compose a sentence from recognized words with fallbacks.</w:t>
            </w:r>
          </w:p>
        </w:tc>
        <w:tc>
          <w:tcPr>
            <w:tcW w:type="dxa" w:w="3202"/>
            <w:vAlign w:val="top"/>
          </w:tcPr>
          <w:p>
            <w:r>
              <w:rPr>
                <w:b w:val="0"/>
                <w:i w:val="0"/>
                <w:sz w:val="17"/>
              </w:rPr>
              <w:t>Scripted / optional provider / template logic is implemented; translation quality needs human review.</w:t>
            </w:r>
          </w:p>
        </w:tc>
      </w:tr>
      <w:tr>
        <w:tc>
          <w:tcPr>
            <w:tcW w:type="dxa" w:w="3202"/>
            <w:vAlign w:val="top"/>
          </w:tcPr>
          <w:p>
            <w:r>
              <w:rPr>
                <w:b w:val="0"/>
                <w:i w:val="0"/>
                <w:sz w:val="17"/>
              </w:rPr>
              <w:t>FR-8</w:t>
            </w:r>
          </w:p>
        </w:tc>
        <w:tc>
          <w:tcPr>
            <w:tcW w:type="dxa" w:w="3202"/>
            <w:vAlign w:val="top"/>
          </w:tcPr>
          <w:p>
            <w:r>
              <w:rPr>
                <w:b w:val="0"/>
                <w:i w:val="0"/>
                <w:sz w:val="17"/>
              </w:rPr>
              <w:t>Transcribe microphone audio and show captions.</w:t>
            </w:r>
          </w:p>
        </w:tc>
        <w:tc>
          <w:tcPr>
            <w:tcW w:type="dxa" w:w="3202"/>
            <w:vAlign w:val="top"/>
          </w:tcPr>
          <w:p>
            <w:r>
              <w:rPr>
                <w:b w:val="0"/>
                <w:i w:val="0"/>
                <w:sz w:val="17"/>
              </w:rPr>
              <w:t>WebSocket interface exists; transcription requires Whisper. It was unavailable in the checked runtime.</w:t>
            </w:r>
          </w:p>
        </w:tc>
      </w:tr>
    </w:tbl>
    <w:p/>
    <w:p>
      <w:pPr>
        <w:pStyle w:val="Heading2"/>
      </w:pPr>
      <w:r>
        <w:rPr>
          <w:b w:val="0"/>
          <w:i w:val="0"/>
        </w:rPr>
        <w:t>4.3 Non-Functional Requirements</w:t>
      </w:r>
    </w:p>
    <w:p>
      <w:pPr>
        <w:pStyle w:val="ListBullet"/>
      </w:pPr>
      <w:r>
        <w:rPr>
          <w:b/>
          <w:i w:val="0"/>
        </w:rPr>
        <w:t>Reliability:</w:t>
      </w:r>
      <w:r>
        <w:rPr>
          <w:b w:val="0"/>
          <w:i w:val="0"/>
        </w:rPr>
        <w:t xml:space="preserve"> invalid input should produce an explicit validation response; low confidence should lead to confirmation/rejection rather than an unqualified answer.</w:t>
      </w:r>
    </w:p>
    <w:p>
      <w:pPr>
        <w:pStyle w:val="ListBullet"/>
      </w:pPr>
      <w:r>
        <w:rPr>
          <w:b/>
          <w:i w:val="0"/>
        </w:rPr>
        <w:t>Performance:</w:t>
      </w:r>
      <w:r>
        <w:rPr>
          <w:b w:val="0"/>
          <w:i w:val="0"/>
        </w:rPr>
        <w:t xml:space="preserve"> measure processing latency by stage; do not claim a target until tested on a stated machine and dataset.</w:t>
      </w:r>
    </w:p>
    <w:p>
      <w:pPr>
        <w:pStyle w:val="ListBullet"/>
      </w:pPr>
      <w:r>
        <w:rPr>
          <w:b/>
          <w:i w:val="0"/>
        </w:rPr>
        <w:t>Reproducibility:</w:t>
      </w:r>
      <w:r>
        <w:rPr>
          <w:b w:val="0"/>
          <w:i w:val="0"/>
        </w:rPr>
        <w:t xml:space="preserve"> version configuration, random seeds, model artifacts, and split definitions. Training and inference share the feature builder.</w:t>
      </w:r>
    </w:p>
    <w:p>
      <w:pPr>
        <w:pStyle w:val="ListBullet"/>
      </w:pPr>
      <w:r>
        <w:rPr>
          <w:b/>
          <w:i w:val="0"/>
        </w:rPr>
        <w:t>Accessibility:</w:t>
      </w:r>
      <w:r>
        <w:rPr>
          <w:b w:val="0"/>
          <w:i w:val="0"/>
        </w:rPr>
        <w:t xml:space="preserve"> high-contrast text, keyboard-operable controls, and readable captions are design goals. Validate with users rather than assuming compliance.</w:t>
      </w:r>
    </w:p>
    <w:p>
      <w:pPr>
        <w:pStyle w:val="ListBullet"/>
      </w:pPr>
      <w:r>
        <w:rPr>
          <w:b/>
          <w:i w:val="0"/>
        </w:rPr>
        <w:t>Privacy:</w:t>
      </w:r>
      <w:r>
        <w:rPr>
          <w:b w:val="0"/>
          <w:i w:val="0"/>
        </w:rPr>
        <w:t xml:space="preserve"> disclose camera upload and retention; obtain informed consent; keep datasets and recordings out of source control.</w:t>
      </w:r>
    </w:p>
    <w:p>
      <w:pPr>
        <w:pStyle w:val="ListBullet"/>
      </w:pPr>
      <w:r>
        <w:rPr>
          <w:b/>
          <w:i w:val="0"/>
        </w:rPr>
        <w:t>Maintainability:</w:t>
      </w:r>
      <w:r>
        <w:rPr>
          <w:b w:val="0"/>
          <w:i w:val="0"/>
        </w:rPr>
        <w:t xml:space="preserve"> separate shared ML logic, API routes, UI screens, and configuration.</w:t>
      </w:r>
    </w:p>
    <w:p>
      <w:pPr>
        <w:pStyle w:val="ListBullet"/>
      </w:pPr>
      <w:r>
        <w:rPr>
          <w:b/>
          <w:i w:val="0"/>
        </w:rPr>
        <w:t>Portability:</w:t>
      </w:r>
      <w:r>
        <w:rPr>
          <w:b w:val="0"/>
          <w:i w:val="0"/>
        </w:rPr>
        <w:t xml:space="preserve"> intended for a local Python server and modern browser; model and MediaPipe files must be available for fully functional inference.</w:t>
      </w:r>
    </w:p>
    <w:p>
      <w:pPr>
        <w:pStyle w:val="Heading2"/>
      </w:pPr>
      <w:r>
        <w:rPr>
          <w:b w:val="0"/>
          <w:i w:val="0"/>
        </w:rPr>
        <w:t>4.4 User Requirements</w:t>
      </w:r>
    </w:p>
    <w:tbl>
      <w:tblPr>
        <w:tblStyle w:val="TableGrid"/>
        <w:tblW w:type="auto" w:w="0"/>
        <w:jc w:val="center"/>
        <w:tblLook w:firstColumn="1" w:firstRow="1" w:lastColumn="0" w:lastRow="0" w:noHBand="0" w:noVBand="1" w:val="04A0"/>
      </w:tblPr>
      <w:tblGrid>
        <w:gridCol w:w="3202"/>
        <w:gridCol w:w="3202"/>
        <w:gridCol w:w="3202"/>
      </w:tblGrid>
      <w:tr>
        <w:tc>
          <w:tcPr>
            <w:tcW w:type="dxa" w:w="3202"/>
            <w:vAlign w:val="top"/>
            <w:shd w:fill="DCEAF4"/>
          </w:tcPr>
          <w:p>
            <w:r>
              <w:rPr>
                <w:b/>
                <w:i w:val="0"/>
                <w:sz w:val="17"/>
              </w:rPr>
              <w:t>User</w:t>
            </w:r>
          </w:p>
        </w:tc>
        <w:tc>
          <w:tcPr>
            <w:tcW w:type="dxa" w:w="3202"/>
            <w:vAlign w:val="top"/>
            <w:shd w:fill="DCEAF4"/>
          </w:tcPr>
          <w:p>
            <w:r>
              <w:rPr>
                <w:b/>
                <w:i w:val="0"/>
                <w:sz w:val="17"/>
              </w:rPr>
              <w:t>Needs</w:t>
            </w:r>
          </w:p>
        </w:tc>
        <w:tc>
          <w:tcPr>
            <w:tcW w:type="dxa" w:w="3202"/>
            <w:vAlign w:val="top"/>
            <w:shd w:fill="DCEAF4"/>
          </w:tcPr>
          <w:p>
            <w:r>
              <w:rPr>
                <w:b/>
                <w:i w:val="0"/>
                <w:sz w:val="17"/>
              </w:rPr>
              <w:t>Conditions / limitation</w:t>
            </w:r>
          </w:p>
        </w:tc>
      </w:tr>
      <w:tr>
        <w:tc>
          <w:tcPr>
            <w:tcW w:type="dxa" w:w="3202"/>
            <w:vAlign w:val="top"/>
          </w:tcPr>
          <w:p>
            <w:r>
              <w:rPr>
                <w:b w:val="0"/>
                <w:i w:val="0"/>
                <w:sz w:val="17"/>
              </w:rPr>
              <w:t>Signer</w:t>
            </w:r>
          </w:p>
        </w:tc>
        <w:tc>
          <w:tcPr>
            <w:tcW w:type="dxa" w:w="3202"/>
            <w:vAlign w:val="top"/>
          </w:tcPr>
          <w:p>
            <w:r>
              <w:rPr>
                <w:b w:val="0"/>
                <w:i w:val="0"/>
                <w:sz w:val="17"/>
              </w:rPr>
              <w:t>Accessible camera capture, clear recording status, understandable word or retry feedback.</w:t>
            </w:r>
          </w:p>
        </w:tc>
        <w:tc>
          <w:tcPr>
            <w:tcW w:type="dxa" w:w="3202"/>
            <w:vAlign w:val="top"/>
          </w:tcPr>
          <w:p>
            <w:r>
              <w:rPr>
                <w:b w:val="0"/>
                <w:i w:val="0"/>
                <w:sz w:val="17"/>
              </w:rPr>
              <w:t>Good lighting and visible hands/upper body; current classifier supports a limited vocabulary.</w:t>
            </w:r>
          </w:p>
        </w:tc>
      </w:tr>
      <w:tr>
        <w:tc>
          <w:tcPr>
            <w:tcW w:type="dxa" w:w="3202"/>
            <w:vAlign w:val="top"/>
          </w:tcPr>
          <w:p>
            <w:r>
              <w:rPr>
                <w:b w:val="0"/>
                <w:i w:val="0"/>
                <w:sz w:val="17"/>
              </w:rPr>
              <w:t>Hearing conversation partner</w:t>
            </w:r>
          </w:p>
        </w:tc>
        <w:tc>
          <w:tcPr>
            <w:tcW w:type="dxa" w:w="3202"/>
            <w:vAlign w:val="top"/>
          </w:tcPr>
          <w:p>
            <w:r>
              <w:rPr>
                <w:b w:val="0"/>
                <w:i w:val="0"/>
                <w:sz w:val="17"/>
              </w:rPr>
              <w:t>Visible speech captions and optionally spoken/translated sign output.</w:t>
            </w:r>
          </w:p>
        </w:tc>
        <w:tc>
          <w:tcPr>
            <w:tcW w:type="dxa" w:w="3202"/>
            <w:vAlign w:val="top"/>
          </w:tcPr>
          <w:p>
            <w:r>
              <w:rPr>
                <w:b w:val="0"/>
                <w:i w:val="0"/>
                <w:sz w:val="17"/>
              </w:rPr>
              <w:t>Captions require Whisper installed; translation should be checked by fluent speakers.</w:t>
            </w:r>
          </w:p>
        </w:tc>
      </w:tr>
      <w:tr>
        <w:tc>
          <w:tcPr>
            <w:tcW w:type="dxa" w:w="3202"/>
            <w:vAlign w:val="top"/>
          </w:tcPr>
          <w:p>
            <w:r>
              <w:rPr>
                <w:b w:val="0"/>
                <w:i w:val="0"/>
                <w:sz w:val="17"/>
              </w:rPr>
              <w:t>Project operator</w:t>
            </w:r>
          </w:p>
        </w:tc>
        <w:tc>
          <w:tcPr>
            <w:tcW w:type="dxa" w:w="3202"/>
            <w:vAlign w:val="top"/>
          </w:tcPr>
          <w:p>
            <w:r>
              <w:rPr>
                <w:b w:val="0"/>
                <w:i w:val="0"/>
                <w:sz w:val="17"/>
              </w:rPr>
              <w:t>Start web client and one backend, configure model artifacts, inspect logs and tests.</w:t>
            </w:r>
          </w:p>
        </w:tc>
        <w:tc>
          <w:tcPr>
            <w:tcW w:type="dxa" w:w="3202"/>
            <w:vAlign w:val="top"/>
          </w:tcPr>
          <w:p>
            <w:r>
              <w:rPr>
                <w:b w:val="0"/>
                <w:i w:val="0"/>
                <w:sz w:val="17"/>
              </w:rPr>
              <w:t>Correct Python environment and trained manifest are required for meaningful inference.</w:t>
            </w:r>
          </w:p>
        </w:tc>
      </w:tr>
      <w:tr>
        <w:tc>
          <w:tcPr>
            <w:tcW w:type="dxa" w:w="3202"/>
            <w:vAlign w:val="top"/>
          </w:tcPr>
          <w:p>
            <w:r>
              <w:rPr>
                <w:b w:val="0"/>
                <w:i w:val="0"/>
                <w:sz w:val="17"/>
              </w:rPr>
              <w:t>Enrollment participant</w:t>
            </w:r>
          </w:p>
        </w:tc>
        <w:tc>
          <w:tcPr>
            <w:tcW w:type="dxa" w:w="3202"/>
            <w:vAlign w:val="top"/>
          </w:tcPr>
          <w:p>
            <w:r>
              <w:rPr>
                <w:b w:val="0"/>
                <w:i w:val="0"/>
                <w:sz w:val="17"/>
              </w:rPr>
              <w:t>Record labelled clips and view per-sign progress.</w:t>
            </w:r>
          </w:p>
        </w:tc>
        <w:tc>
          <w:tcPr>
            <w:tcW w:type="dxa" w:w="3202"/>
            <w:vAlign w:val="top"/>
          </w:tcPr>
          <w:p>
            <w:r>
              <w:rPr>
                <w:b w:val="0"/>
                <w:i w:val="0"/>
                <w:sz w:val="17"/>
              </w:rPr>
              <w:t>Consent and secure handling are required; recording clips alone does not fine-tune the model.</w:t>
            </w:r>
          </w:p>
        </w:tc>
      </w:tr>
    </w:tbl>
    <w:p/>
    <w:p>
      <w:pPr>
        <w:pStyle w:val="Heading1"/>
      </w:pPr>
      <w:r>
        <w:rPr>
          <w:b w:val="0"/>
          <w:i w:val="0"/>
        </w:rPr>
        <w:t>5. Implementation</w:t>
      </w:r>
    </w:p>
    <w:p>
      <w:r>
        <w:rPr>
          <w:b w:val="0"/>
          <w:i w:val="0"/>
        </w:rPr>
        <w:t xml:space="preserve">The current v3 implementation is divided into a shared Python package, FastAPI server, React/Vite web application, training utilities, configuration, and model artifacts. Older </w:t>
      </w:r>
      <w:r>
        <w:rPr>
          <w:rFonts w:ascii="Consolas" w:hAnsi="Consolas"/>
          <w:b w:val="0"/>
          <w:i w:val="0"/>
          <w:sz w:val="18"/>
        </w:rPr>
        <w:t>backend/</w:t>
      </w:r>
      <w:r>
        <w:rPr>
          <w:b w:val="0"/>
          <w:i w:val="0"/>
        </w:rPr>
        <w:t xml:space="preserve"> and </w:t>
      </w:r>
      <w:r>
        <w:rPr>
          <w:rFonts w:ascii="Consolas" w:hAnsi="Consolas"/>
          <w:b w:val="0"/>
          <w:i w:val="0"/>
          <w:sz w:val="18"/>
        </w:rPr>
        <w:t>frontend/</w:t>
      </w:r>
      <w:r>
        <w:rPr>
          <w:b w:val="0"/>
          <w:i w:val="0"/>
        </w:rPr>
        <w:t xml:space="preserve"> trees are documented as reference code and should not be confused with the v3 runtime.</w:t>
      </w:r>
    </w:p>
    <w:p>
      <w:pPr>
        <w:pStyle w:val="Heading2"/>
      </w:pPr>
      <w:r>
        <w:rPr>
          <w:b w:val="0"/>
          <w:i w:val="0"/>
        </w:rPr>
        <w:t>5.1 Web Capture and Server Workflow</w:t>
      </w:r>
    </w:p>
    <w:p>
      <w:r>
        <w:rPr>
          <w:b w:val="0"/>
          <w:i w:val="0"/>
        </w:rPr>
        <w:t>The web interface has Capture, Captions, and Enrollment screens. A stable browser guest identifier is used to associate activity without a login wall. The application displays a notice that webcam video is sent to the server and may be stored for training/evaluation. Recognition is a whole-clip HTTP operation rather than the older reference architecture's sliding-window gesture stream.</w:t>
      </w:r>
    </w:p>
    <w:p>
      <w:r>
        <w:rPr>
          <w:b w:val="0"/>
          <w:i w:val="0"/>
        </w:rPr>
        <w:t xml:space="preserve">The FastAPI application initializes configuration, SQLite storage, the MediaPipe detector, the recognizer bundle, and a sentence provider at startup. The recognition router accepts multipart video or JSON frames, decodes the clip, calls the shared </w:t>
      </w:r>
      <w:r>
        <w:rPr>
          <w:rFonts w:ascii="Consolas" w:hAnsi="Consolas"/>
          <w:b w:val="0"/>
          <w:i w:val="0"/>
          <w:sz w:val="18"/>
        </w:rPr>
        <w:t>recognize_clip</w:t>
      </w:r>
      <w:r>
        <w:rPr>
          <w:b w:val="0"/>
          <w:i w:val="0"/>
        </w:rPr>
        <w:t xml:space="preserve"> function, logs decision metadata, and returns the result. Invalid or undecodable input is rejected by the API rather than treated as a successful recognition.</w:t>
      </w:r>
    </w:p>
    <w:p>
      <w:r>
        <w:rPr>
          <w:b w:val="0"/>
          <w:i w:val="0"/>
        </w:rPr>
        <w:t xml:space="preserve">Local configuration matters: checkpoint files and </w:t>
      </w:r>
      <w:r>
        <w:rPr>
          <w:rFonts w:ascii="Consolas" w:hAnsi="Consolas"/>
          <w:b w:val="0"/>
          <w:i w:val="0"/>
          <w:sz w:val="18"/>
        </w:rPr>
        <w:t>models/ensemble.json</w:t>
      </w:r>
      <w:r>
        <w:rPr>
          <w:b w:val="0"/>
          <w:i w:val="0"/>
        </w:rPr>
        <w:t xml:space="preserve"> are present in the checked workspace, but the observed server launch had no </w:t>
      </w:r>
      <w:r>
        <w:rPr>
          <w:rFonts w:ascii="Consolas" w:hAnsi="Consolas"/>
          <w:b w:val="0"/>
          <w:i w:val="0"/>
          <w:sz w:val="18"/>
        </w:rPr>
        <w:t>RECOGNIZER_MANIFEST</w:t>
      </w:r>
      <w:r>
        <w:rPr>
          <w:b w:val="0"/>
          <w:i w:val="0"/>
        </w:rPr>
        <w:t xml:space="preserve"> environment value. The server therefore announced a random-initialized fallback. For live inference, set the manifest path and verify startup logs say the trained ensemble was loaded.</w:t>
      </w:r>
    </w:p>
    <w:p>
      <w:pPr>
        <w:pStyle w:val="Heading2"/>
      </w:pPr>
      <w:r>
        <w:rPr>
          <w:b w:val="0"/>
          <w:i w:val="0"/>
        </w:rPr>
        <w:t>5.2 Landmark Extraction and Feature Engineering</w:t>
      </w:r>
    </w:p>
    <w:p>
      <w:r>
        <w:rPr>
          <w:b w:val="0"/>
          <w:i w:val="0"/>
        </w:rPr>
        <w:t>The feature pipeline uses a nine-point upper-body pose subset (nose, shoulders, elbows, wrists, hips) and up to 21 two-dimensional landmarks for each hand. The extractor uses separate MediaPipe Pose and Hand task models in the current Windows setup. Frames are not mirrored before upload. Hand channels are assigned according to wrist position relative to the shoulder-midpoint body line, avoiding dependence on handedness labels that can change with mirroring.</w:t>
      </w:r>
    </w:p>
    <w:p>
      <w:r>
        <w:rPr>
          <w:b w:val="0"/>
          <w:i w:val="0"/>
        </w:rPr>
        <w:t>The feature builder normalizes coordinates relative to the shoulder midpoint and shoulder width. It represents pose and hand positions, hand-local coordinates relative to the wrist and palm scale, frame-to-frame velocity, and binary hand-presence flags. It fills short, bounded gaps in hand observations, smooths the time series, then linearly resamples clips to a configured sequence length of 32. The documented/current code feature dimension is 374 values per frame. Golden-vector tests help ensure that preprocessing changes do not silently alter the train/serve feature contract.</w:t>
      </w:r>
    </w:p>
    <w:p>
      <w:pPr>
        <w:pStyle w:val="Heading2"/>
      </w:pPr>
      <w:r>
        <w:rPr>
          <w:b w:val="0"/>
          <w:i w:val="0"/>
        </w:rPr>
        <w:t>5.3 Models, Fusion, Sentence Layer, and Storage</w:t>
      </w:r>
    </w:p>
    <w:p>
      <w:r>
        <w:rPr>
          <w:b/>
          <w:i w:val="0"/>
        </w:rPr>
        <w:t>Models:</w:t>
      </w:r>
      <w:r>
        <w:rPr>
          <w:b w:val="0"/>
          <w:i w:val="0"/>
        </w:rPr>
        <w:t xml:space="preserve"> the current project includes a two-layer bidirectional GRU and a small Transformer sequence classifier. The manifest lists nine labels in the same order as the trained class indices and defines equal weights for the two model members. The optional RGB video model discussed in the target architecture is not implemented in this phase.</w:t>
      </w:r>
    </w:p>
    <w:p>
      <w:r>
        <w:rPr>
          <w:b/>
          <w:i w:val="0"/>
        </w:rPr>
        <w:t>Calibration and fusion:</w:t>
      </w:r>
      <w:r>
        <w:rPr>
          <w:b w:val="0"/>
          <w:i w:val="0"/>
        </w:rPr>
        <w:t xml:space="preserve"> each model produces a probability vector. The code supports temperature scaling, weighted averaging, and diagnostics such as top-1 margin and model agreement. Test-time augmentation generates multiple temporal views. A context prior is configurable but disabled by default.</w:t>
      </w:r>
    </w:p>
    <w:p>
      <w:r>
        <w:rPr>
          <w:b/>
          <w:i w:val="0"/>
        </w:rPr>
        <w:t>Decision:</w:t>
      </w:r>
      <w:r>
        <w:rPr>
          <w:b w:val="0"/>
          <w:i w:val="0"/>
        </w:rPr>
        <w:t xml:space="preserve"> the decision engine evaluates top-1 probability, the gap from the runner-up, ensemble agreement, and TTA agreement. With the current </w:t>
      </w:r>
      <w:r>
        <w:rPr>
          <w:rFonts w:ascii="Consolas" w:hAnsi="Consolas"/>
          <w:b w:val="0"/>
          <w:i w:val="0"/>
          <w:sz w:val="18"/>
        </w:rPr>
        <w:t>config/signtalk.yaml</w:t>
      </w:r>
      <w:r>
        <w:rPr>
          <w:b w:val="0"/>
          <w:i w:val="0"/>
        </w:rPr>
        <w:t>, acceptance thresholds are 0.85 confidence and 0.30 margin, all configured models must agree, and TTA agreement must reach 0.8. The confirmation threshold is 0.5. These are current configuration values, not proof that the live model is calibrated. A prior threshold report records different values (0.5 and 0.0); this discrepancy must be disclosed when interpreting the old report.</w:t>
      </w:r>
    </w:p>
    <w:p>
      <w:r>
        <w:rPr>
          <w:b/>
          <w:i w:val="0"/>
        </w:rPr>
        <w:t>Sentence generation:</w:t>
      </w:r>
      <w:r>
        <w:rPr>
          <w:b w:val="0"/>
          <w:i w:val="0"/>
        </w:rPr>
        <w:t xml:space="preserve"> the order is a matching scripted sentence, optional language-model provider, then a deterministic template/phrasebook fallback. The project context explicitly marks Hindi/Kannada phrases as requiring native-speaker verification. The code checks that signed words are represented in the English LLM sentence before accepting that output. Browser speech synthesis is the primary speech-output path.</w:t>
      </w:r>
    </w:p>
    <w:p>
      <w:r>
        <w:rPr>
          <w:b/>
          <w:i w:val="0"/>
        </w:rPr>
        <w:t>Storage and enrollment:</w:t>
      </w:r>
      <w:r>
        <w:rPr>
          <w:b w:val="0"/>
          <w:i w:val="0"/>
        </w:rPr>
        <w:t xml:space="preserve"> SQLite stores decisions, confirmations, and enrollment clip metadata; clips are saved under the local data directory. Enrollment endpoints start a session, save clips, and report counts. Training/fine-tuning of enrollment data is not wired into these endpoints. Feedback/confirmation data is not automatically included in training.</w:t>
      </w:r>
    </w:p>
    <w:p>
      <w:r>
        <w:rPr>
          <w:b/>
          <w:i w:val="0"/>
        </w:rPr>
        <w:t>Voice captions:</w:t>
      </w:r>
      <w:r>
        <w:rPr>
          <w:b w:val="0"/>
          <w:i w:val="0"/>
        </w:rPr>
        <w:t xml:space="preserve"> the </w:t>
      </w:r>
      <w:r>
        <w:rPr>
          <w:rFonts w:ascii="Consolas" w:hAnsi="Consolas"/>
          <w:b w:val="0"/>
          <w:i w:val="0"/>
          <w:sz w:val="18"/>
        </w:rPr>
        <w:t>/ws/speech</w:t>
      </w:r>
      <w:r>
        <w:rPr>
          <w:b w:val="0"/>
          <w:i w:val="0"/>
        </w:rPr>
        <w:t xml:space="preserve"> WebSocket expects audio bytes and flush messages. Whisper is loaded lazily from faster-whisper or openai-whisper. If neither backend is installed, the endpoint sends an explicit unavailable message and closes the socket. This was the observed behavior in the provided screenshot/runtime.</w:t>
      </w:r>
    </w:p>
    <w:p>
      <w:pPr>
        <w:pStyle w:val="Heading2"/>
      </w:pPr>
      <w:r>
        <w:rPr>
          <w:b w:val="0"/>
          <w:i w:val="0"/>
        </w:rPr>
        <w:t>5.4 Algorithms / Methods / Pseudocode</w:t>
      </w:r>
    </w:p>
    <w:p>
      <w:pPr>
        <w:pStyle w:val="Heading3"/>
      </w:pPr>
      <w:r>
        <w:rPr>
          <w:b w:val="0"/>
          <w:i w:val="0"/>
        </w:rPr>
        <w:t>5.4.1 Algorithm 1 — Whole-Clip ISL Recognition</w:t>
      </w:r>
    </w:p>
    <w:p>
      <w:pPr>
        <w:spacing w:before="80" w:after="160"/>
        <w:ind w:left="173" w:right="173"/>
        <w:shd w:fill="F0F4F7"/>
      </w:pPr>
      <w:r>
        <w:rPr>
          <w:rFonts w:ascii="Consolas" w:hAnsi="Consolas"/>
          <w:sz w:val="16"/>
        </w:rPr>
        <w:br/>
        <w:br/>
        <w:t>Input: video clip V, frame rate fps, signer identifier sid</w:t>
        <w:br/>
        <w:br/>
        <w:t>Output: decision response R</w:t>
        <w:br/>
        <w:br/>
        <w:br/>
        <w:br/>
        <w:t>1. Decode V into ordered frames F.</w:t>
        <w:br/>
        <w:br/>
        <w:t>2. Extract pose and left/right hand landmarks for every frame in F.</w:t>
        <w:br/>
        <w:br/>
        <w:t>3. Compute hand visibility and clip duration.</w:t>
        <w:br/>
        <w:br/>
        <w:t>4. If quality constraints fail:</w:t>
        <w:br/>
        <w:br/>
        <w:t xml:space="preserve">       return REJECT with a specific quality reason.</w:t>
        <w:br/>
        <w:br/>
        <w:t>5. Resolve hand channels relative to the shoulder midline.</w:t>
        <w:br/>
        <w:br/>
        <w:t>6. Interpolate short landmark gaps; smooth the sequence.</w:t>
        <w:br/>
        <w:br/>
        <w:t>7. Normalize coordinates; compute hand-local points, velocities,</w:t>
        <w:br/>
        <w:br/>
        <w:t xml:space="preserve">   and presence indicators.</w:t>
        <w:br/>
        <w:br/>
        <w:t>8. Resample to the configured temporal length; construct TTA views.</w:t>
        <w:br/>
        <w:br/>
        <w:t>9. For every model and view:</w:t>
        <w:br/>
        <w:br/>
        <w:t xml:space="preserve">       calculate logits; apply temperature calibration; calculate probabilities.</w:t>
        <w:br/>
        <w:br/>
        <w:t>10. Average view probabilities per model; fuse models by configured weights.</w:t>
        <w:br/>
        <w:br/>
        <w:t>11. Compute top-1 label, confidence, top-1/top-2 margin,</w:t>
        <w:br/>
        <w:br/>
        <w:t xml:space="preserve">    model agreement, and TTA agreement.</w:t>
        <w:br/>
        <w:br/>
        <w:t>12. If quality passes and all acceptance conditions pass:</w:t>
        <w:br/>
        <w:br/>
        <w:t xml:space="preserve">        decision = ACCEPT; return top-1.</w:t>
        <w:br/>
        <w:br/>
        <w:t xml:space="preserve">    Else if confidence &gt;= confirmation threshold:</w:t>
        <w:br/>
        <w:br/>
        <w:t xml:space="preserve">        decision = CONFIRM; return up to three candidates.</w:t>
        <w:br/>
        <w:br/>
        <w:t xml:space="preserve">    Else:</w:t>
        <w:br/>
        <w:br/>
        <w:t xml:space="preserve">        decision = REJECT; request another sign.</w:t>
        <w:br/>
        <w:br/>
        <w:t>13. Persist decision metadata in SQLite; return response to the client.</w:t>
        <w:br/>
        <w:br/>
      </w:r>
    </w:p>
    <w:p>
      <w:r>
        <w:rPr>
          <w:b/>
          <w:i w:val="0"/>
        </w:rPr>
        <w:t>Sentence composition method:</w:t>
      </w:r>
      <w:r>
        <w:rPr>
          <w:b w:val="0"/>
          <w:i w:val="0"/>
        </w:rPr>
        <w:t xml:space="preserve"> normalize the recognized word sequence and look for a scripted entry. If none exists, request a structured response from the configured optional provider; reject unsafe/invalid output. Otherwise form a template sentence and use the local phrasebook where translations exist. This layered design allows a deterministic fallback when network services are absent.</w:t>
      </w:r>
    </w:p>
    <w:p>
      <w:pPr>
        <w:pStyle w:val="Heading1"/>
      </w:pPr>
      <w:r>
        <w:rPr>
          <w:b w:val="0"/>
          <w:i w:val="0"/>
        </w:rPr>
        <w:t>6. Results</w:t>
      </w:r>
    </w:p>
    <w:p>
      <w:pPr>
        <w:pStyle w:val="Heading2"/>
      </w:pPr>
      <w:r>
        <w:rPr>
          <w:b w:val="0"/>
          <w:i w:val="0"/>
        </w:rPr>
        <w:t>6.1 Software Verification</w:t>
      </w:r>
    </w:p>
    <w:p>
      <w:r>
        <w:rPr>
          <w:b w:val="0"/>
          <w:i w:val="0"/>
        </w:rPr>
        <w:t xml:space="preserve">The core and server test suites were run from the project environment using </w:t>
      </w:r>
      <w:r>
        <w:rPr>
          <w:rFonts w:ascii="Consolas" w:hAnsi="Consolas"/>
          <w:b w:val="0"/>
          <w:i w:val="0"/>
          <w:sz w:val="18"/>
        </w:rPr>
        <w:t>python -m pytest core/tests server/tests -q</w:t>
      </w:r>
      <w:r>
        <w:rPr>
          <w:b w:val="0"/>
          <w:i w:val="0"/>
        </w:rPr>
        <w:t xml:space="preserve">. Observed result: </w:t>
      </w:r>
      <w:r>
        <w:rPr>
          <w:b/>
          <w:i w:val="0"/>
        </w:rPr>
        <w:t>48 passed, 1 warning in 6.84 seconds</w:t>
      </w:r>
      <w:r>
        <w:rPr>
          <w:b w:val="0"/>
          <w:i w:val="0"/>
        </w:rPr>
        <w:t>. The warning was a Starlette/AnyIO deprecation warning. This establishes that the selected automated tests passed; it does not establish model accuracy or end-to-end usability with all optional dependencies.</w:t>
      </w:r>
    </w:p>
    <w:p>
      <w:r>
        <w:rPr>
          <w:b w:val="0"/>
          <w:i w:val="0"/>
        </w:rPr>
        <w:t xml:space="preserve">During the local demonstration run, the web client responded with HTTP 200 at port 5173 and the backend health endpoint returned </w:t>
      </w:r>
      <w:r>
        <w:rPr>
          <w:rFonts w:ascii="Consolas" w:hAnsi="Consolas"/>
          <w:b w:val="0"/>
          <w:i w:val="0"/>
          <w:sz w:val="18"/>
        </w:rPr>
        <w:t>{"status":"ok"}</w:t>
      </w:r>
      <w:r>
        <w:rPr>
          <w:b w:val="0"/>
          <w:i w:val="0"/>
        </w:rPr>
        <w:t xml:space="preserve"> at port 8000. These are smoke checks for service availability only.</w:t>
      </w:r>
    </w:p>
    <w:p>
      <w:pPr>
        <w:pStyle w:val="Heading2"/>
      </w:pPr>
      <w:r>
        <w:rPr>
          <w:b w:val="0"/>
          <w:i w:val="0"/>
        </w:rPr>
        <w:t>6.2 Model Metrics Present in the Workspace</w:t>
      </w:r>
    </w:p>
    <w:tbl>
      <w:tblPr>
        <w:tblStyle w:val="TableGrid"/>
        <w:tblW w:type="auto" w:w="0"/>
        <w:jc w:val="center"/>
        <w:tblLook w:firstColumn="1" w:firstRow="1" w:lastColumn="0" w:lastRow="0" w:noHBand="0" w:noVBand="1" w:val="04A0"/>
      </w:tblPr>
      <w:tblGrid>
        <w:gridCol w:w="3202"/>
        <w:gridCol w:w="3202"/>
        <w:gridCol w:w="3202"/>
      </w:tblGrid>
      <w:tr>
        <w:tc>
          <w:tcPr>
            <w:tcW w:type="dxa" w:w="3202"/>
            <w:vAlign w:val="top"/>
            <w:shd w:fill="DCEAF4"/>
          </w:tcPr>
          <w:p>
            <w:r>
              <w:rPr>
                <w:b/>
                <w:i w:val="0"/>
                <w:sz w:val="17"/>
              </w:rPr>
              <w:t>Artifact / metric</w:t>
            </w:r>
          </w:p>
        </w:tc>
        <w:tc>
          <w:tcPr>
            <w:tcW w:type="dxa" w:w="3202"/>
            <w:vAlign w:val="top"/>
            <w:shd w:fill="DCEAF4"/>
          </w:tcPr>
          <w:p>
            <w:r>
              <w:rPr>
                <w:b/>
                <w:i w:val="0"/>
                <w:sz w:val="17"/>
              </w:rPr>
              <w:t>Recorded value</w:t>
            </w:r>
          </w:p>
        </w:tc>
        <w:tc>
          <w:tcPr>
            <w:tcW w:type="dxa" w:w="3202"/>
            <w:vAlign w:val="top"/>
            <w:shd w:fill="DCEAF4"/>
          </w:tcPr>
          <w:p>
            <w:r>
              <w:rPr>
                <w:b/>
                <w:i w:val="0"/>
                <w:sz w:val="17"/>
              </w:rPr>
              <w:t>Interpretation</w:t>
            </w:r>
          </w:p>
        </w:tc>
      </w:tr>
      <w:tr>
        <w:tc>
          <w:tcPr>
            <w:tcW w:type="dxa" w:w="3202"/>
            <w:vAlign w:val="top"/>
          </w:tcPr>
          <w:p>
            <w:r>
              <w:rPr>
                <w:b w:val="0"/>
                <w:i w:val="0"/>
                <w:sz w:val="17"/>
              </w:rPr>
              <w:t>BiGRU validation top-1</w:t>
            </w:r>
          </w:p>
        </w:tc>
        <w:tc>
          <w:tcPr>
            <w:tcW w:type="dxa" w:w="3202"/>
            <w:vAlign w:val="top"/>
          </w:tcPr>
          <w:p>
            <w:r>
              <w:rPr>
                <w:b w:val="0"/>
                <w:i w:val="0"/>
                <w:sz w:val="17"/>
              </w:rPr>
              <w:t>93.94% (31/33 implied by decimal); 135 train clips, 33 validation clips; 9 classes</w:t>
            </w:r>
          </w:p>
        </w:tc>
        <w:tc>
          <w:tcPr>
            <w:tcW w:type="dxa" w:w="3202"/>
            <w:vAlign w:val="top"/>
          </w:tcPr>
          <w:p>
            <w:r>
              <w:rPr>
                <w:b w:val="0"/>
                <w:i w:val="0"/>
                <w:sz w:val="17"/>
              </w:rPr>
              <w:t>Small stratified validation split. Not a held-out signer or official-test result.</w:t>
            </w:r>
          </w:p>
        </w:tc>
      </w:tr>
      <w:tr>
        <w:tc>
          <w:tcPr>
            <w:tcW w:type="dxa" w:w="3202"/>
            <w:vAlign w:val="top"/>
          </w:tcPr>
          <w:p>
            <w:r>
              <w:rPr>
                <w:b w:val="0"/>
                <w:i w:val="0"/>
                <w:sz w:val="17"/>
              </w:rPr>
              <w:t>Transformer validation top-1</w:t>
            </w:r>
          </w:p>
        </w:tc>
        <w:tc>
          <w:tcPr>
            <w:tcW w:type="dxa" w:w="3202"/>
            <w:vAlign w:val="top"/>
          </w:tcPr>
          <w:p>
            <w:r>
              <w:rPr>
                <w:b w:val="0"/>
                <w:i w:val="0"/>
                <w:sz w:val="17"/>
              </w:rPr>
              <w:t>100% on 33 validation clips; 135 train clips, 9 classes</w:t>
            </w:r>
          </w:p>
        </w:tc>
        <w:tc>
          <w:tcPr>
            <w:tcW w:type="dxa" w:w="3202"/>
            <w:vAlign w:val="top"/>
          </w:tcPr>
          <w:p>
            <w:r>
              <w:rPr>
                <w:b w:val="0"/>
                <w:i w:val="0"/>
                <w:sz w:val="17"/>
              </w:rPr>
              <w:t>Preliminary validation score. Do not call this “100% accurate” generally.</w:t>
            </w:r>
          </w:p>
        </w:tc>
      </w:tr>
      <w:tr>
        <w:tc>
          <w:tcPr>
            <w:tcW w:type="dxa" w:w="3202"/>
            <w:vAlign w:val="top"/>
          </w:tcPr>
          <w:p>
            <w:r>
              <w:rPr>
                <w:b w:val="0"/>
                <w:i w:val="0"/>
                <w:sz w:val="17"/>
              </w:rPr>
              <w:t>Threshold report</w:t>
            </w:r>
          </w:p>
        </w:tc>
        <w:tc>
          <w:tcPr>
            <w:tcW w:type="dxa" w:w="3202"/>
            <w:vAlign w:val="top"/>
          </w:tcPr>
          <w:p>
            <w:r>
              <w:rPr>
                <w:b w:val="0"/>
                <w:i w:val="0"/>
                <w:sz w:val="17"/>
              </w:rPr>
              <w:t>31/33 accepted; coverage 93.94%; 100% accepted accuracy; zero accepted errors on this validation subset</w:t>
            </w:r>
          </w:p>
        </w:tc>
        <w:tc>
          <w:tcPr>
            <w:tcW w:type="dxa" w:w="3202"/>
            <w:vAlign w:val="top"/>
          </w:tcPr>
          <w:p>
            <w:r>
              <w:rPr>
                <w:b w:val="0"/>
                <w:i w:val="0"/>
                <w:sz w:val="17"/>
              </w:rPr>
              <w:t xml:space="preserve">Report uses </w:t>
            </w:r>
            <w:r>
              <w:rPr>
                <w:rFonts w:ascii="Consolas" w:hAnsi="Consolas"/>
                <w:b w:val="0"/>
                <w:i w:val="0"/>
                <w:sz w:val="17"/>
              </w:rPr>
              <w:t>t_accept=0.5</w:t>
            </w:r>
            <w:r>
              <w:rPr>
                <w:b w:val="0"/>
                <w:i w:val="0"/>
                <w:sz w:val="17"/>
              </w:rPr>
              <w:t xml:space="preserve"> and </w:t>
            </w:r>
            <w:r>
              <w:rPr>
                <w:rFonts w:ascii="Consolas" w:hAnsi="Consolas"/>
                <w:b w:val="0"/>
                <w:i w:val="0"/>
                <w:sz w:val="17"/>
              </w:rPr>
              <w:t>m_accept=0.0</w:t>
            </w:r>
            <w:r>
              <w:rPr>
                <w:b w:val="0"/>
                <w:i w:val="0"/>
                <w:sz w:val="17"/>
              </w:rPr>
              <w:t>. Requires an untouched independent test before any headline claim.</w:t>
            </w:r>
          </w:p>
        </w:tc>
      </w:tr>
      <w:tr>
        <w:tc>
          <w:tcPr>
            <w:tcW w:type="dxa" w:w="3202"/>
            <w:vAlign w:val="top"/>
          </w:tcPr>
          <w:p>
            <w:r>
              <w:rPr>
                <w:b w:val="0"/>
                <w:i w:val="0"/>
                <w:sz w:val="17"/>
              </w:rPr>
              <w:t>Current decision configuration</w:t>
            </w:r>
          </w:p>
        </w:tc>
        <w:tc>
          <w:tcPr>
            <w:tcW w:type="dxa" w:w="3202"/>
            <w:vAlign w:val="top"/>
          </w:tcPr>
          <w:p>
            <w:r>
              <w:rPr>
                <w:rFonts w:ascii="Consolas" w:hAnsi="Consolas"/>
                <w:b w:val="0"/>
                <w:i w:val="0"/>
                <w:sz w:val="17"/>
              </w:rPr>
              <w:t>t_accept=0.85</w:t>
            </w:r>
            <w:r>
              <w:rPr>
                <w:b w:val="0"/>
                <w:i w:val="0"/>
                <w:sz w:val="17"/>
              </w:rPr>
              <w:t xml:space="preserve">, </w:t>
            </w:r>
            <w:r>
              <w:rPr>
                <w:rFonts w:ascii="Consolas" w:hAnsi="Consolas"/>
                <w:b w:val="0"/>
                <w:i w:val="0"/>
                <w:sz w:val="17"/>
              </w:rPr>
              <w:t>m_accept=0.3</w:t>
            </w:r>
            <w:r>
              <w:rPr>
                <w:b w:val="0"/>
                <w:i w:val="0"/>
                <w:sz w:val="17"/>
              </w:rPr>
              <w:t>, all-model agreement, TTA 0.8, confirmation 0.5</w:t>
            </w:r>
          </w:p>
        </w:tc>
        <w:tc>
          <w:tcPr>
            <w:tcW w:type="dxa" w:w="3202"/>
            <w:vAlign w:val="top"/>
          </w:tcPr>
          <w:p>
            <w:r>
              <w:rPr>
                <w:b w:val="0"/>
                <w:i w:val="0"/>
                <w:sz w:val="17"/>
              </w:rPr>
              <w:t>Values in current YAML differ from the prior threshold report and should be evaluated anew.</w:t>
            </w:r>
          </w:p>
        </w:tc>
      </w:tr>
      <w:tr>
        <w:tc>
          <w:tcPr>
            <w:tcW w:type="dxa" w:w="3202"/>
            <w:vAlign w:val="top"/>
          </w:tcPr>
          <w:p>
            <w:r>
              <w:rPr>
                <w:b w:val="0"/>
                <w:i w:val="0"/>
                <w:sz w:val="17"/>
              </w:rPr>
              <w:t>Current runtime recognition mode</w:t>
            </w:r>
          </w:p>
        </w:tc>
        <w:tc>
          <w:tcPr>
            <w:tcW w:type="dxa" w:w="3202"/>
            <w:vAlign w:val="top"/>
          </w:tcPr>
          <w:p>
            <w:r>
              <w:rPr>
                <w:b w:val="0"/>
                <w:i w:val="0"/>
                <w:sz w:val="17"/>
              </w:rPr>
              <w:t>Random-initialized fallback observed at server startup</w:t>
            </w:r>
          </w:p>
        </w:tc>
        <w:tc>
          <w:tcPr>
            <w:tcW w:type="dxa" w:w="3202"/>
            <w:vAlign w:val="top"/>
          </w:tcPr>
          <w:p>
            <w:r>
              <w:rPr>
                <w:b w:val="0"/>
                <w:i w:val="0"/>
                <w:sz w:val="17"/>
              </w:rPr>
              <w:t>Manifest exists, but was not configured in the observed process; those predictions are not model-backed.</w:t>
            </w:r>
          </w:p>
        </w:tc>
      </w:tr>
      <w:tr>
        <w:tc>
          <w:tcPr>
            <w:tcW w:type="dxa" w:w="3202"/>
            <w:vAlign w:val="top"/>
          </w:tcPr>
          <w:p>
            <w:r>
              <w:rPr>
                <w:b w:val="0"/>
                <w:i w:val="0"/>
                <w:sz w:val="17"/>
              </w:rPr>
              <w:t>Speech captions</w:t>
            </w:r>
          </w:p>
        </w:tc>
        <w:tc>
          <w:tcPr>
            <w:tcW w:type="dxa" w:w="3202"/>
            <w:vAlign w:val="top"/>
          </w:tcPr>
          <w:p>
            <w:r>
              <w:rPr>
                <w:b w:val="0"/>
                <w:i w:val="0"/>
                <w:sz w:val="17"/>
              </w:rPr>
              <w:t>Backend unavailable message observed</w:t>
            </w:r>
          </w:p>
        </w:tc>
        <w:tc>
          <w:tcPr>
            <w:tcW w:type="dxa" w:w="3202"/>
            <w:vAlign w:val="top"/>
          </w:tcPr>
          <w:p>
            <w:r>
              <w:rPr>
                <w:b w:val="0"/>
                <w:i w:val="0"/>
                <w:sz w:val="17"/>
              </w:rPr>
              <w:t>Install and test a Whisper backend to enable server transcription.</w:t>
            </w:r>
          </w:p>
        </w:tc>
      </w:tr>
    </w:tbl>
    <w:p/>
    <w:p>
      <w:r>
        <w:rPr>
          <w:b w:val="0"/>
          <w:i w:val="0"/>
        </w:rPr>
        <w:t xml:space="preserve">Metrics A-D recommended by the project are raw accuracy, accepted accuracy, coverage, and final-output accuracy. Report all four with sample size and split protocol. For zero observed errors in </w:t>
      </w:r>
      <w:r>
        <w:rPr>
          <w:b w:val="0"/>
          <w:i/>
        </w:rPr>
        <w:t>n</w:t>
      </w:r>
      <w:r>
        <w:rPr>
          <w:b w:val="0"/>
          <w:i w:val="0"/>
        </w:rPr>
        <w:t xml:space="preserve"> independent trials, the rule-of-three gives an approximate 95% upper error bound of 3/</w:t>
      </w:r>
      <w:r>
        <w:rPr>
          <w:b w:val="0"/>
          <w:i/>
        </w:rPr>
        <w:t>n</w:t>
      </w:r>
      <w:r>
        <w:rPr>
          <w:b w:val="0"/>
          <w:i w:val="0"/>
        </w:rPr>
        <w:t>; a small validation set cannot substantiate a broad 100% claim.</w:t>
      </w:r>
    </w:p>
    <w:p>
      <w:pPr>
        <w:pStyle w:val="Heading2"/>
      </w:pPr>
      <w:r>
        <w:rPr>
          <w:b w:val="0"/>
          <w:i w:val="0"/>
        </w:rPr>
        <w:t>6.3 Current Implementation Status</w:t>
      </w:r>
    </w:p>
    <w:tbl>
      <w:tblPr>
        <w:tblStyle w:val="TableGrid"/>
        <w:tblW w:type="auto" w:w="0"/>
        <w:jc w:val="center"/>
        <w:tblLook w:firstColumn="1" w:firstRow="1" w:lastColumn="0" w:lastRow="0" w:noHBand="0" w:noVBand="1" w:val="04A0"/>
      </w:tblPr>
      <w:tblGrid>
        <w:gridCol w:w="4802"/>
        <w:gridCol w:w="4802"/>
      </w:tblGrid>
      <w:tr>
        <w:tc>
          <w:tcPr>
            <w:tcW w:type="dxa" w:w="4802"/>
            <w:vAlign w:val="top"/>
            <w:shd w:fill="DCEAF4"/>
          </w:tcPr>
          <w:p>
            <w:r>
              <w:rPr>
                <w:b/>
                <w:i w:val="0"/>
                <w:sz w:val="17"/>
              </w:rPr>
              <w:t>Area</w:t>
            </w:r>
          </w:p>
        </w:tc>
        <w:tc>
          <w:tcPr>
            <w:tcW w:type="dxa" w:w="4802"/>
            <w:vAlign w:val="top"/>
            <w:shd w:fill="DCEAF4"/>
          </w:tcPr>
          <w:p>
            <w:r>
              <w:rPr>
                <w:b/>
                <w:i w:val="0"/>
                <w:sz w:val="17"/>
              </w:rPr>
              <w:t>Status observed in project</w:t>
            </w:r>
          </w:p>
        </w:tc>
      </w:tr>
      <w:tr>
        <w:tc>
          <w:tcPr>
            <w:tcW w:type="dxa" w:w="4802"/>
            <w:vAlign w:val="top"/>
          </w:tcPr>
          <w:p>
            <w:r>
              <w:rPr>
                <w:b w:val="0"/>
                <w:i w:val="0"/>
                <w:sz w:val="17"/>
              </w:rPr>
              <w:t>Web client and FastAPI service</w:t>
            </w:r>
          </w:p>
        </w:tc>
        <w:tc>
          <w:tcPr>
            <w:tcW w:type="dxa" w:w="4802"/>
            <w:vAlign w:val="top"/>
          </w:tcPr>
          <w:p>
            <w:r>
              <w:rPr>
                <w:b w:val="0"/>
                <w:i w:val="0"/>
                <w:sz w:val="17"/>
              </w:rPr>
              <w:t>Starts locally; HTTP page and health smoke checks returned successfully.</w:t>
            </w:r>
          </w:p>
        </w:tc>
      </w:tr>
      <w:tr>
        <w:tc>
          <w:tcPr>
            <w:tcW w:type="dxa" w:w="4802"/>
            <w:vAlign w:val="top"/>
          </w:tcPr>
          <w:p>
            <w:r>
              <w:rPr>
                <w:b w:val="0"/>
                <w:i w:val="0"/>
                <w:sz w:val="17"/>
              </w:rPr>
              <w:t>Shared features, decision, fusion, tests</w:t>
            </w:r>
          </w:p>
        </w:tc>
        <w:tc>
          <w:tcPr>
            <w:tcW w:type="dxa" w:w="4802"/>
            <w:vAlign w:val="top"/>
          </w:tcPr>
          <w:p>
            <w:r>
              <w:rPr>
                <w:b w:val="0"/>
                <w:i w:val="0"/>
                <w:sz w:val="17"/>
              </w:rPr>
              <w:t>Implemented; selected test suite passed 48 tests.</w:t>
            </w:r>
          </w:p>
        </w:tc>
      </w:tr>
      <w:tr>
        <w:tc>
          <w:tcPr>
            <w:tcW w:type="dxa" w:w="4802"/>
            <w:vAlign w:val="top"/>
          </w:tcPr>
          <w:p>
            <w:r>
              <w:rPr>
                <w:b w:val="0"/>
                <w:i w:val="0"/>
                <w:sz w:val="17"/>
              </w:rPr>
              <w:t>Trained artifacts</w:t>
            </w:r>
          </w:p>
        </w:tc>
        <w:tc>
          <w:tcPr>
            <w:tcW w:type="dxa" w:w="4802"/>
            <w:vAlign w:val="top"/>
          </w:tcPr>
          <w:p>
            <w:r>
              <w:rPr>
                <w:b w:val="0"/>
                <w:i w:val="0"/>
                <w:sz w:val="17"/>
              </w:rPr>
              <w:t>GRU/Transformer checkpoint files, label maps, metrics, and ensemble manifest exist.</w:t>
            </w:r>
          </w:p>
        </w:tc>
      </w:tr>
      <w:tr>
        <w:tc>
          <w:tcPr>
            <w:tcW w:type="dxa" w:w="4802"/>
            <w:vAlign w:val="top"/>
          </w:tcPr>
          <w:p>
            <w:r>
              <w:rPr>
                <w:b w:val="0"/>
                <w:i w:val="0"/>
                <w:sz w:val="17"/>
              </w:rPr>
              <w:t>Dataset source folders in checked workspace</w:t>
            </w:r>
          </w:p>
        </w:tc>
        <w:tc>
          <w:tcPr>
            <w:tcW w:type="dxa" w:w="4802"/>
            <w:vAlign w:val="top"/>
          </w:tcPr>
          <w:p>
            <w:r>
              <w:rPr>
                <w:rFonts w:ascii="Consolas" w:hAnsi="Consolas"/>
                <w:b w:val="0"/>
                <w:i w:val="0"/>
                <w:sz w:val="17"/>
              </w:rPr>
              <w:t>data/raw</w:t>
            </w:r>
            <w:r>
              <w:rPr>
                <w:b w:val="0"/>
                <w:i w:val="0"/>
                <w:sz w:val="17"/>
              </w:rPr>
              <w:t xml:space="preserve"> and </w:t>
            </w:r>
            <w:r>
              <w:rPr>
                <w:rFonts w:ascii="Consolas" w:hAnsi="Consolas"/>
                <w:b w:val="0"/>
                <w:i w:val="0"/>
                <w:sz w:val="17"/>
              </w:rPr>
              <w:t>data/processed</w:t>
            </w:r>
            <w:r>
              <w:rPr>
                <w:b w:val="0"/>
                <w:i w:val="0"/>
                <w:sz w:val="17"/>
              </w:rPr>
              <w:t xml:space="preserve"> were absent in the inspection; training data could not be revalidated from those folders.</w:t>
            </w:r>
          </w:p>
        </w:tc>
      </w:tr>
      <w:tr>
        <w:tc>
          <w:tcPr>
            <w:tcW w:type="dxa" w:w="4802"/>
            <w:vAlign w:val="top"/>
          </w:tcPr>
          <w:p>
            <w:r>
              <w:rPr>
                <w:b w:val="0"/>
                <w:i w:val="0"/>
                <w:sz w:val="17"/>
              </w:rPr>
              <w:t>Server inference configuration</w:t>
            </w:r>
          </w:p>
        </w:tc>
        <w:tc>
          <w:tcPr>
            <w:tcW w:type="dxa" w:w="4802"/>
            <w:vAlign w:val="top"/>
          </w:tcPr>
          <w:p>
            <w:r>
              <w:rPr>
                <w:b w:val="0"/>
                <w:i w:val="0"/>
                <w:sz w:val="17"/>
              </w:rPr>
              <w:t>Manifest environment variable was unset during the observed server launch; fallback model used.</w:t>
            </w:r>
          </w:p>
        </w:tc>
      </w:tr>
      <w:tr>
        <w:tc>
          <w:tcPr>
            <w:tcW w:type="dxa" w:w="4802"/>
            <w:vAlign w:val="top"/>
          </w:tcPr>
          <w:p>
            <w:r>
              <w:rPr>
                <w:b w:val="0"/>
                <w:i w:val="0"/>
                <w:sz w:val="17"/>
              </w:rPr>
              <w:t>Speech-to-text</w:t>
            </w:r>
          </w:p>
        </w:tc>
        <w:tc>
          <w:tcPr>
            <w:tcW w:type="dxa" w:w="4802"/>
            <w:vAlign w:val="top"/>
          </w:tcPr>
          <w:p>
            <w:r>
              <w:rPr>
                <w:b w:val="0"/>
                <w:i w:val="0"/>
                <w:sz w:val="17"/>
              </w:rPr>
              <w:t>Feature endpoint exists, but no Whisper backend was available in the observed environment.</w:t>
            </w:r>
          </w:p>
        </w:tc>
      </w:tr>
      <w:tr>
        <w:tc>
          <w:tcPr>
            <w:tcW w:type="dxa" w:w="4802"/>
            <w:vAlign w:val="top"/>
          </w:tcPr>
          <w:p>
            <w:r>
              <w:rPr>
                <w:b w:val="0"/>
                <w:i w:val="0"/>
                <w:sz w:val="17"/>
              </w:rPr>
              <w:t>Enrollment fine-tuning</w:t>
            </w:r>
          </w:p>
        </w:tc>
        <w:tc>
          <w:tcPr>
            <w:tcW w:type="dxa" w:w="4802"/>
            <w:vAlign w:val="top"/>
          </w:tcPr>
          <w:p>
            <w:r>
              <w:rPr>
                <w:b w:val="0"/>
                <w:i w:val="0"/>
                <w:sz w:val="17"/>
              </w:rPr>
              <w:t>Clip recording/progress exists; automatic training/report phase remains incomplete.</w:t>
            </w:r>
          </w:p>
        </w:tc>
      </w:tr>
      <w:tr>
        <w:tc>
          <w:tcPr>
            <w:tcW w:type="dxa" w:w="4802"/>
            <w:vAlign w:val="top"/>
          </w:tcPr>
          <w:p>
            <w:r>
              <w:rPr>
                <w:b w:val="0"/>
                <w:i w:val="0"/>
                <w:sz w:val="17"/>
              </w:rPr>
              <w:t>Paper publication</w:t>
            </w:r>
          </w:p>
        </w:tc>
        <w:tc>
          <w:tcPr>
            <w:tcW w:type="dxa" w:w="4802"/>
            <w:vAlign w:val="top"/>
          </w:tcPr>
          <w:p>
            <w:r>
              <w:rPr>
                <w:b w:val="0"/>
                <w:i w:val="0"/>
                <w:sz w:val="17"/>
              </w:rPr>
              <w:t>No submission or acceptance evidence was found in the inspected project files.</w:t>
            </w:r>
          </w:p>
        </w:tc>
      </w:tr>
    </w:tbl>
    <w:p/>
    <w:p>
      <w:pPr>
        <w:pStyle w:val="Heading1"/>
      </w:pPr>
      <w:r>
        <w:rPr>
          <w:b w:val="0"/>
          <w:i w:val="0"/>
        </w:rPr>
        <w:t>7. Conclusion</w:t>
      </w:r>
    </w:p>
    <w:p>
      <w:r>
        <w:rPr>
          <w:b w:val="0"/>
          <w:i w:val="0"/>
        </w:rPr>
        <w:t>SignTalk AI brings together a web interface, a whole-clip recognition API, pose-and-hand feature construction, temporal classification, confidence-aware decisions, sentence composition, local storage, enrollment recording, and an optional speech-caption pathway. Its most important engineering strength is the effort to separate recognition from sentence composition and to provide an explicit way to abstain when the model is uncertain.</w:t>
      </w:r>
    </w:p>
    <w:p>
      <w:r>
        <w:rPr>
          <w:b w:val="0"/>
          <w:i w:val="0"/>
        </w:rPr>
        <w:t>The work should be presented as a prototype for isolated-word ISL recognition from a limited vocabulary. It is not a continuous sign-language translator. The stored validation metrics indicate that the models can learn the selected training task, but they do not establish signer-independent generalization. In the checked runtime, the model manifest was not configured, and speech-to-text dependencies were missing; these configuration gaps must be addressed before claiming a fully functioning live demonstration.</w:t>
      </w:r>
    </w:p>
    <w:p>
      <w:pPr>
        <w:pStyle w:val="Heading2"/>
      </w:pPr>
      <w:r>
        <w:rPr>
          <w:b w:val="0"/>
          <w:i w:val="0"/>
        </w:rPr>
        <w:t>7.1 Conclusion</w:t>
      </w:r>
    </w:p>
    <w:p>
      <w:r>
        <w:rPr>
          <w:b w:val="0"/>
          <w:i w:val="0"/>
        </w:rPr>
        <w:t>The project provides a testable foundation and a transparent evaluation path. The code tests passed in the current environment. Before a final demonstration or paper submission, the team should configure the trained model, verify inference on fresh clips, install and test Whisper if captions are to be demonstrated, review translations with fluent speakers, and evaluate using session- or signer-held-out data.</w:t>
      </w:r>
    </w:p>
    <w:p>
      <w:pPr>
        <w:pStyle w:val="Heading2"/>
      </w:pPr>
      <w:r>
        <w:rPr>
          <w:b w:val="0"/>
          <w:i w:val="0"/>
        </w:rPr>
        <w:t>7.2 Future Enhancements</w:t>
      </w:r>
    </w:p>
    <w:p>
      <w:pPr>
        <w:pStyle w:val="ListNumber"/>
      </w:pPr>
      <w:r>
        <w:rPr>
          <w:b w:val="0"/>
          <w:i w:val="0"/>
        </w:rPr>
        <w:t xml:space="preserve">Configure </w:t>
      </w:r>
      <w:r>
        <w:rPr>
          <w:rFonts w:ascii="Consolas" w:hAnsi="Consolas"/>
          <w:b w:val="0"/>
          <w:i w:val="0"/>
          <w:sz w:val="18"/>
        </w:rPr>
        <w:t>RECOGNIZER_MANIFEST</w:t>
      </w:r>
      <w:r>
        <w:rPr>
          <w:b w:val="0"/>
          <w:i w:val="0"/>
        </w:rPr>
        <w:t xml:space="preserve"> and verify startup logs show both trained model members loaded.</w:t>
      </w:r>
    </w:p>
    <w:p>
      <w:pPr>
        <w:pStyle w:val="ListNumber"/>
      </w:pPr>
      <w:r>
        <w:rPr>
          <w:b w:val="0"/>
          <w:i w:val="0"/>
        </w:rPr>
        <w:t>Run inference on held-out real clips and capture confusion matrix, macro-F1, top-1/top-5, coverage, and accepted accuracy.</w:t>
      </w:r>
    </w:p>
    <w:p>
      <w:pPr>
        <w:pStyle w:val="ListNumber"/>
      </w:pPr>
      <w:r>
        <w:rPr>
          <w:b w:val="0"/>
          <w:i w:val="0"/>
        </w:rPr>
        <w:t>Use the official INCLUDE split for comparable offline evaluation; keep signer/session splits separate to avoid leakage.</w:t>
      </w:r>
    </w:p>
    <w:p>
      <w:pPr>
        <w:pStyle w:val="ListNumber"/>
      </w:pPr>
      <w:r>
        <w:rPr>
          <w:b w:val="0"/>
          <w:i w:val="0"/>
        </w:rPr>
        <w:t>Record enrollment clips across separate sessions, then implement fine-tuning and evaluate on a held-out session.</w:t>
      </w:r>
    </w:p>
    <w:p>
      <w:pPr>
        <w:pStyle w:val="ListNumber"/>
      </w:pPr>
      <w:r>
        <w:rPr>
          <w:b w:val="0"/>
          <w:i w:val="0"/>
        </w:rPr>
        <w:t>Install/test faster-whisper or openai-whisper and test English, Hindi, and Kannada audio behavior independently.</w:t>
      </w:r>
    </w:p>
    <w:p>
      <w:pPr>
        <w:pStyle w:val="ListNumber"/>
      </w:pPr>
      <w:r>
        <w:rPr>
          <w:b w:val="0"/>
          <w:i w:val="0"/>
        </w:rPr>
        <w:t>Have fluent Hindi and Kannada speakers verify scripted translations and sentence naturalness.</w:t>
      </w:r>
    </w:p>
    <w:p>
      <w:pPr>
        <w:pStyle w:val="ListNumber"/>
      </w:pPr>
      <w:r>
        <w:rPr>
          <w:b w:val="0"/>
          <w:i w:val="0"/>
        </w:rPr>
        <w:t>Add stage-level latency reports, a frozen golden set, and acceptance regression tests.</w:t>
      </w:r>
    </w:p>
    <w:p>
      <w:pPr>
        <w:pStyle w:val="ListNumber"/>
      </w:pPr>
      <w:r>
        <w:rPr>
          <w:b w:val="0"/>
          <w:i w:val="0"/>
        </w:rPr>
        <w:t>Only after the isolated-word system is robust, consider larger vocabularies, optional RGB features, and broader sign-language tasks.</w:t>
      </w:r>
    </w:p>
    <w:p>
      <w:pPr>
        <w:pStyle w:val="Heading1"/>
      </w:pPr>
      <w:r>
        <w:rPr>
          <w:b w:val="0"/>
          <w:i w:val="0"/>
        </w:rPr>
        <w:t>8. Paper Publication</w:t>
      </w:r>
    </w:p>
    <w:p>
      <w:pPr>
        <w:pStyle w:val="Heading2"/>
      </w:pPr>
      <w:r>
        <w:rPr>
          <w:b w:val="0"/>
          <w:i w:val="0"/>
        </w:rPr>
        <w:t>8.1 Paper Submission Details</w:t>
      </w:r>
    </w:p>
    <w:p>
      <w:r>
        <w:rPr>
          <w:b w:val="0"/>
          <w:i w:val="0"/>
        </w:rPr>
        <w:t>No verified submission record, paper identifier, venue, or decision was found in the inspected project materials. Complete the following only when details are confirmed:</w:t>
      </w:r>
    </w:p>
    <w:tbl>
      <w:tblPr>
        <w:tblStyle w:val="TableGrid"/>
        <w:tblW w:type="auto" w:w="0"/>
        <w:jc w:val="center"/>
        <w:tblLook w:firstColumn="1" w:firstRow="1" w:lastColumn="0" w:lastRow="0" w:noHBand="0" w:noVBand="1" w:val="04A0"/>
      </w:tblPr>
      <w:tblGrid>
        <w:gridCol w:w="4802"/>
        <w:gridCol w:w="4802"/>
      </w:tblGrid>
      <w:tr>
        <w:tc>
          <w:tcPr>
            <w:tcW w:type="dxa" w:w="4802"/>
            <w:vAlign w:val="top"/>
            <w:shd w:fill="DCEAF4"/>
          </w:tcPr>
          <w:p>
            <w:r>
              <w:rPr>
                <w:b/>
                <w:i w:val="0"/>
                <w:sz w:val="17"/>
              </w:rPr>
              <w:t>Field</w:t>
            </w:r>
          </w:p>
        </w:tc>
        <w:tc>
          <w:tcPr>
            <w:tcW w:type="dxa" w:w="4802"/>
            <w:vAlign w:val="top"/>
            <w:shd w:fill="DCEAF4"/>
          </w:tcPr>
          <w:p>
            <w:r>
              <w:rPr>
                <w:b/>
                <w:i w:val="0"/>
                <w:sz w:val="17"/>
              </w:rPr>
              <w:t>Value to complete</w:t>
            </w:r>
          </w:p>
        </w:tc>
      </w:tr>
      <w:tr>
        <w:tc>
          <w:tcPr>
            <w:tcW w:type="dxa" w:w="4802"/>
            <w:vAlign w:val="top"/>
          </w:tcPr>
          <w:p>
            <w:r>
              <w:rPr>
                <w:b w:val="0"/>
                <w:i w:val="0"/>
                <w:sz w:val="17"/>
              </w:rPr>
              <w:t>Paper title</w:t>
            </w:r>
          </w:p>
        </w:tc>
        <w:tc>
          <w:tcPr>
            <w:tcW w:type="dxa" w:w="4802"/>
            <w:vAlign w:val="top"/>
          </w:tcPr>
          <w:p>
            <w:r>
              <w:rPr>
                <w:b w:val="0"/>
                <w:i w:val="0"/>
                <w:sz w:val="17"/>
              </w:rPr>
              <w:t>[Enter final title]</w:t>
            </w:r>
          </w:p>
        </w:tc>
      </w:tr>
      <w:tr>
        <w:tc>
          <w:tcPr>
            <w:tcW w:type="dxa" w:w="4802"/>
            <w:vAlign w:val="top"/>
          </w:tcPr>
          <w:p>
            <w:r>
              <w:rPr>
                <w:b w:val="0"/>
                <w:i w:val="0"/>
                <w:sz w:val="17"/>
              </w:rPr>
              <w:t>Conference/journal</w:t>
            </w:r>
          </w:p>
        </w:tc>
        <w:tc>
          <w:tcPr>
            <w:tcW w:type="dxa" w:w="4802"/>
            <w:vAlign w:val="top"/>
          </w:tcPr>
          <w:p>
            <w:r>
              <w:rPr>
                <w:b w:val="0"/>
                <w:i w:val="0"/>
                <w:sz w:val="17"/>
              </w:rPr>
              <w:t>[Enter venue]</w:t>
            </w:r>
          </w:p>
        </w:tc>
      </w:tr>
      <w:tr>
        <w:tc>
          <w:tcPr>
            <w:tcW w:type="dxa" w:w="4802"/>
            <w:vAlign w:val="top"/>
          </w:tcPr>
          <w:p>
            <w:r>
              <w:rPr>
                <w:b w:val="0"/>
                <w:i w:val="0"/>
                <w:sz w:val="17"/>
              </w:rPr>
              <w:t>Submission date / ID</w:t>
            </w:r>
          </w:p>
        </w:tc>
        <w:tc>
          <w:tcPr>
            <w:tcW w:type="dxa" w:w="4802"/>
            <w:vAlign w:val="top"/>
          </w:tcPr>
          <w:p>
            <w:r>
              <w:rPr>
                <w:b w:val="0"/>
                <w:i w:val="0"/>
                <w:sz w:val="17"/>
              </w:rPr>
              <w:t>[Enter confirmed details]</w:t>
            </w:r>
          </w:p>
        </w:tc>
      </w:tr>
      <w:tr>
        <w:tc>
          <w:tcPr>
            <w:tcW w:type="dxa" w:w="4802"/>
            <w:vAlign w:val="top"/>
          </w:tcPr>
          <w:p>
            <w:r>
              <w:rPr>
                <w:b w:val="0"/>
                <w:i w:val="0"/>
                <w:sz w:val="17"/>
              </w:rPr>
              <w:t>Decision / DOI</w:t>
            </w:r>
          </w:p>
        </w:tc>
        <w:tc>
          <w:tcPr>
            <w:tcW w:type="dxa" w:w="4802"/>
            <w:vAlign w:val="top"/>
          </w:tcPr>
          <w:p>
            <w:r>
              <w:rPr>
                <w:b w:val="0"/>
                <w:i w:val="0"/>
                <w:sz w:val="17"/>
              </w:rPr>
              <w:t>[Enter only after official notification/publication]</w:t>
            </w:r>
          </w:p>
        </w:tc>
      </w:tr>
    </w:tbl>
    <w:p/>
    <w:p>
      <w:pPr>
        <w:pStyle w:val="Heading2"/>
      </w:pPr>
      <w:r>
        <w:rPr>
          <w:b w:val="0"/>
          <w:i w:val="0"/>
        </w:rPr>
        <w:t>8.2 Final Draft of Accepted Paper</w:t>
      </w:r>
    </w:p>
    <w:p>
      <w:r>
        <w:rPr>
          <w:b w:val="0"/>
          <w:i w:val="0"/>
        </w:rPr>
        <w:t>Not applicable unless the paper has been formally accepted. Do not label a draft as accepted or published without documentary confirmation.</w:t>
      </w:r>
    </w:p>
    <w:p>
      <w:pPr>
        <w:pStyle w:val="Heading1"/>
      </w:pPr>
      <w:r>
        <w:rPr>
          <w:b w:val="0"/>
          <w:i w:val="0"/>
        </w:rPr>
        <w:t>References</w:t>
      </w:r>
    </w:p>
    <w:p>
      <w:pPr>
        <w:pStyle w:val="ListNumber"/>
      </w:pPr>
      <w:r>
        <w:rPr>
          <w:b w:val="0"/>
          <w:i w:val="0"/>
        </w:rPr>
        <w:t xml:space="preserve">INCLUDE dataset record and description. Zenodo. </w:t>
      </w:r>
      <w:hyperlink r:id="rId11">
        <w:r>
          <w:rPr>
            <w:color w:val="145D91"/>
            <w:u w:val="single"/>
          </w:rPr>
          <w:t>https://zenodo.org/records/4010759</w:t>
        </w:r>
      </w:hyperlink>
      <w:r>
        <w:rPr>
          <w:b w:val="0"/>
          <w:i w:val="0"/>
        </w:rPr>
        <w:t>. Dataset record reports the video counts, categories, splits, and published benchmark context.</w:t>
      </w:r>
    </w:p>
    <w:p>
      <w:pPr>
        <w:pStyle w:val="ListNumber"/>
      </w:pPr>
      <w:r>
        <w:rPr>
          <w:b w:val="0"/>
          <w:i w:val="0"/>
        </w:rPr>
        <w:t xml:space="preserve">OpenHands: Making Sign Language Recognition Accessible with Pose-based Pretrained Models across Languages. arXiv:2110.05877. </w:t>
      </w:r>
      <w:hyperlink r:id="rId12">
        <w:r>
          <w:rPr>
            <w:color w:val="145D91"/>
            <w:u w:val="single"/>
          </w:rPr>
          <w:t>https://arxiv.org/abs/2110.05877</w:t>
        </w:r>
      </w:hyperlink>
      <w:r>
        <w:rPr>
          <w:b w:val="0"/>
          <w:i w:val="0"/>
        </w:rPr>
        <w:t>.</w:t>
      </w:r>
    </w:p>
    <w:p>
      <w:pPr>
        <w:pStyle w:val="ListNumber"/>
      </w:pPr>
      <w:r>
        <w:rPr>
          <w:b w:val="0"/>
          <w:i w:val="0"/>
        </w:rPr>
        <w:t xml:space="preserve">Sign Language Recognition via Skeleton-Aware Multi-Model Ensemble. arXiv:2110.06161. </w:t>
      </w:r>
      <w:hyperlink r:id="rId13">
        <w:r>
          <w:rPr>
            <w:color w:val="145D91"/>
            <w:u w:val="single"/>
          </w:rPr>
          <w:t>https://arxiv.org/abs/2110.06161</w:t>
        </w:r>
      </w:hyperlink>
      <w:r>
        <w:rPr>
          <w:b w:val="0"/>
          <w:i w:val="0"/>
        </w:rPr>
        <w:t>.</w:t>
      </w:r>
    </w:p>
    <w:p>
      <w:pPr>
        <w:pStyle w:val="ListNumber"/>
      </w:pPr>
      <w:r>
        <w:rPr>
          <w:b w:val="0"/>
          <w:i w:val="0"/>
        </w:rPr>
        <w:t xml:space="preserve">Ensembles for Indian Sign Language Recognition, project-cited study. </w:t>
      </w:r>
      <w:hyperlink r:id="rId14">
        <w:r>
          <w:rPr>
            <w:color w:val="145D91"/>
            <w:u w:val="single"/>
          </w:rPr>
          <w:t>https://pmc.ncbi.nlm.nih.gov/articles/PMC9269724/</w:t>
        </w:r>
      </w:hyperlink>
      <w:r>
        <w:rPr>
          <w:b w:val="0"/>
          <w:i w:val="0"/>
        </w:rPr>
        <w:t>.</w:t>
      </w:r>
    </w:p>
    <w:p>
      <w:pPr>
        <w:pStyle w:val="ListNumber"/>
      </w:pPr>
      <w:r>
        <w:rPr>
          <w:b w:val="0"/>
          <w:i w:val="0"/>
        </w:rPr>
        <w:t xml:space="preserve">iSign: A Benchmark for Indian Sign Language Processing. arXiv:2407.05404. </w:t>
      </w:r>
      <w:hyperlink r:id="rId15">
        <w:r>
          <w:rPr>
            <w:color w:val="145D91"/>
            <w:u w:val="single"/>
          </w:rPr>
          <w:t>https://arxiv.org/abs/2407.05404</w:t>
        </w:r>
      </w:hyperlink>
      <w:r>
        <w:rPr>
          <w:b w:val="0"/>
          <w:i w:val="0"/>
        </w:rPr>
        <w:t>.</w:t>
      </w:r>
    </w:p>
    <w:p>
      <w:pPr>
        <w:pStyle w:val="ListNumber"/>
      </w:pPr>
      <w:r>
        <w:rPr>
          <w:b w:val="0"/>
          <w:i w:val="0"/>
        </w:rPr>
        <w:t xml:space="preserve">Uni-Sign, project-cited sign-language research. arXiv:2501.15187. </w:t>
      </w:r>
      <w:hyperlink r:id="rId16">
        <w:r>
          <w:rPr>
            <w:color w:val="145D91"/>
            <w:u w:val="single"/>
          </w:rPr>
          <w:t>https://arxiv.org/abs/2501.15187</w:t>
        </w:r>
      </w:hyperlink>
      <w:r>
        <w:rPr>
          <w:b w:val="0"/>
          <w:i w:val="0"/>
        </w:rPr>
        <w:t>.</w:t>
      </w:r>
    </w:p>
    <w:p>
      <w:pPr>
        <w:pStyle w:val="ListNumber"/>
      </w:pPr>
      <w:r>
        <w:rPr>
          <w:b w:val="0"/>
          <w:i w:val="0"/>
        </w:rPr>
        <w:t xml:space="preserve">TwoStream-SLR/SLT, project-cited sign-language research. arXiv:2211.01367. </w:t>
      </w:r>
      <w:hyperlink r:id="rId17">
        <w:r>
          <w:rPr>
            <w:color w:val="145D91"/>
            <w:u w:val="single"/>
          </w:rPr>
          <w:t>https://arxiv.org/abs/2211.01367</w:t>
        </w:r>
      </w:hyperlink>
      <w:r>
        <w:rPr>
          <w:b w:val="0"/>
          <w:i w:val="0"/>
        </w:rPr>
        <w:t>.</w:t>
      </w:r>
    </w:p>
    <w:p>
      <w:pPr>
        <w:pStyle w:val="ListNumber"/>
      </w:pPr>
      <w:r>
        <w:rPr>
          <w:b w:val="0"/>
          <w:i w:val="0"/>
        </w:rPr>
        <w:t xml:space="preserve">Google MediaPipe Solutions. </w:t>
      </w:r>
      <w:hyperlink r:id="rId18">
        <w:r>
          <w:rPr>
            <w:color w:val="145D91"/>
            <w:u w:val="single"/>
          </w:rPr>
          <w:t>https://developers.google.com/edge/mediapipe/solutions/guide</w:t>
        </w:r>
      </w:hyperlink>
      <w:r>
        <w:rPr>
          <w:b w:val="0"/>
          <w:i w:val="0"/>
        </w:rPr>
        <w:t>.</w:t>
      </w:r>
    </w:p>
    <w:p>
      <w:pPr>
        <w:pStyle w:val="ListNumber"/>
      </w:pPr>
      <w:r>
        <w:rPr>
          <w:b w:val="0"/>
          <w:i w:val="0"/>
        </w:rPr>
        <w:t xml:space="preserve">SignTalk AI project materials: </w:t>
      </w:r>
      <w:r>
        <w:rPr>
          <w:b w:val="0"/>
          <w:i/>
        </w:rPr>
        <w:t>PROJECT_CONTEXT.md</w:t>
      </w:r>
      <w:r>
        <w:rPr>
          <w:b w:val="0"/>
          <w:i w:val="0"/>
        </w:rPr>
        <w:t xml:space="preserve">, </w:t>
      </w:r>
      <w:r>
        <w:rPr>
          <w:b w:val="0"/>
          <w:i/>
        </w:rPr>
        <w:t>HANDOVER.md</w:t>
      </w:r>
      <w:r>
        <w:rPr>
          <w:b w:val="0"/>
          <w:i w:val="0"/>
        </w:rPr>
        <w:t xml:space="preserve">, </w:t>
      </w:r>
      <w:r>
        <w:rPr>
          <w:b w:val="0"/>
          <w:i/>
        </w:rPr>
        <w:t>docs/ARCHITECTURE.md</w:t>
      </w:r>
      <w:r>
        <w:rPr>
          <w:b w:val="0"/>
          <w:i w:val="0"/>
        </w:rPr>
        <w:t xml:space="preserve">, </w:t>
      </w:r>
      <w:r>
        <w:rPr>
          <w:b w:val="0"/>
          <w:i/>
        </w:rPr>
        <w:t>docs/PROGRESS.md</w:t>
      </w:r>
      <w:r>
        <w:rPr>
          <w:b w:val="0"/>
          <w:i w:val="0"/>
        </w:rPr>
        <w:t xml:space="preserve">, </w:t>
      </w:r>
      <w:r>
        <w:rPr>
          <w:b w:val="0"/>
          <w:i/>
        </w:rPr>
        <w:t>docs/TECH_STACK.md</w:t>
      </w:r>
      <w:r>
        <w:rPr>
          <w:b w:val="0"/>
          <w:i w:val="0"/>
        </w:rPr>
        <w:t>, source code and run artifacts in the project repository. Accessed October 2026.</w:t>
      </w:r>
    </w:p>
    <w:p>
      <w:pPr>
        <w:pStyle w:val="Heading1"/>
      </w:pPr>
      <w:r>
        <w:rPr>
          <w:b w:val="0"/>
          <w:i w:val="0"/>
        </w:rPr>
        <w:t>Appendix A. Glossary</w:t>
      </w:r>
    </w:p>
    <w:tbl>
      <w:tblPr>
        <w:tblStyle w:val="TableGrid"/>
        <w:tblW w:type="auto" w:w="0"/>
        <w:jc w:val="center"/>
        <w:tblLook w:firstColumn="1" w:firstRow="1" w:lastColumn="0" w:lastRow="0" w:noHBand="0" w:noVBand="1" w:val="04A0"/>
      </w:tblPr>
      <w:tblGrid>
        <w:gridCol w:w="4802"/>
        <w:gridCol w:w="4802"/>
      </w:tblGrid>
      <w:tr>
        <w:tc>
          <w:tcPr>
            <w:tcW w:type="dxa" w:w="4802"/>
            <w:vAlign w:val="top"/>
            <w:shd w:fill="DCEAF4"/>
          </w:tcPr>
          <w:p>
            <w:r>
              <w:rPr>
                <w:b/>
                <w:i w:val="0"/>
                <w:sz w:val="17"/>
              </w:rPr>
              <w:t>Term</w:t>
            </w:r>
          </w:p>
        </w:tc>
        <w:tc>
          <w:tcPr>
            <w:tcW w:type="dxa" w:w="4802"/>
            <w:vAlign w:val="top"/>
            <w:shd w:fill="DCEAF4"/>
          </w:tcPr>
          <w:p>
            <w:r>
              <w:rPr>
                <w:b/>
                <w:i w:val="0"/>
                <w:sz w:val="17"/>
              </w:rPr>
              <w:t>Meaning</w:t>
            </w:r>
          </w:p>
        </w:tc>
      </w:tr>
      <w:tr>
        <w:tc>
          <w:tcPr>
            <w:tcW w:type="dxa" w:w="4802"/>
            <w:vAlign w:val="top"/>
          </w:tcPr>
          <w:p>
            <w:r>
              <w:rPr>
                <w:b w:val="0"/>
                <w:i w:val="0"/>
                <w:sz w:val="17"/>
              </w:rPr>
              <w:t>Landmark</w:t>
            </w:r>
          </w:p>
        </w:tc>
        <w:tc>
          <w:tcPr>
            <w:tcW w:type="dxa" w:w="4802"/>
            <w:vAlign w:val="top"/>
          </w:tcPr>
          <w:p>
            <w:r>
              <w:rPr>
                <w:b w:val="0"/>
                <w:i w:val="0"/>
                <w:sz w:val="17"/>
              </w:rPr>
              <w:t>A detected point such as a wrist or fingertip in a video frame.</w:t>
            </w:r>
          </w:p>
        </w:tc>
      </w:tr>
      <w:tr>
        <w:tc>
          <w:tcPr>
            <w:tcW w:type="dxa" w:w="4802"/>
            <w:vAlign w:val="top"/>
          </w:tcPr>
          <w:p>
            <w:r>
              <w:rPr>
                <w:b w:val="0"/>
                <w:i w:val="0"/>
                <w:sz w:val="17"/>
              </w:rPr>
              <w:t>Sequence model</w:t>
            </w:r>
          </w:p>
        </w:tc>
        <w:tc>
          <w:tcPr>
            <w:tcW w:type="dxa" w:w="4802"/>
            <w:vAlign w:val="top"/>
          </w:tcPr>
          <w:p>
            <w:r>
              <w:rPr>
                <w:b w:val="0"/>
                <w:i w:val="0"/>
                <w:sz w:val="17"/>
              </w:rPr>
              <w:t>A neural network that processes ordered features across time.</w:t>
            </w:r>
          </w:p>
        </w:tc>
      </w:tr>
      <w:tr>
        <w:tc>
          <w:tcPr>
            <w:tcW w:type="dxa" w:w="4802"/>
            <w:vAlign w:val="top"/>
          </w:tcPr>
          <w:p>
            <w:r>
              <w:rPr>
                <w:b w:val="0"/>
                <w:i w:val="0"/>
                <w:sz w:val="17"/>
              </w:rPr>
              <w:t>Ensemble</w:t>
            </w:r>
          </w:p>
        </w:tc>
        <w:tc>
          <w:tcPr>
            <w:tcW w:type="dxa" w:w="4802"/>
            <w:vAlign w:val="top"/>
          </w:tcPr>
          <w:p>
            <w:r>
              <w:rPr>
                <w:b w:val="0"/>
                <w:i w:val="0"/>
                <w:sz w:val="17"/>
              </w:rPr>
              <w:t>Multiple models whose probability outputs are combined.</w:t>
            </w:r>
          </w:p>
        </w:tc>
      </w:tr>
      <w:tr>
        <w:tc>
          <w:tcPr>
            <w:tcW w:type="dxa" w:w="4802"/>
            <w:vAlign w:val="top"/>
          </w:tcPr>
          <w:p>
            <w:r>
              <w:rPr>
                <w:b w:val="0"/>
                <w:i w:val="0"/>
                <w:sz w:val="17"/>
              </w:rPr>
              <w:t>Calibration</w:t>
            </w:r>
          </w:p>
        </w:tc>
        <w:tc>
          <w:tcPr>
            <w:tcW w:type="dxa" w:w="4802"/>
            <w:vAlign w:val="top"/>
          </w:tcPr>
          <w:p>
            <w:r>
              <w:rPr>
                <w:b w:val="0"/>
                <w:i w:val="0"/>
                <w:sz w:val="17"/>
              </w:rPr>
              <w:t>Adjustment of model probability scores to better reflect empirical confidence.</w:t>
            </w:r>
          </w:p>
        </w:tc>
      </w:tr>
      <w:tr>
        <w:tc>
          <w:tcPr>
            <w:tcW w:type="dxa" w:w="4802"/>
            <w:vAlign w:val="top"/>
          </w:tcPr>
          <w:p>
            <w:r>
              <w:rPr>
                <w:b w:val="0"/>
                <w:i w:val="0"/>
                <w:sz w:val="17"/>
              </w:rPr>
              <w:t>TTA</w:t>
            </w:r>
          </w:p>
        </w:tc>
        <w:tc>
          <w:tcPr>
            <w:tcW w:type="dxa" w:w="4802"/>
            <w:vAlign w:val="top"/>
          </w:tcPr>
          <w:p>
            <w:r>
              <w:rPr>
                <w:b w:val="0"/>
                <w:i w:val="0"/>
                <w:sz w:val="17"/>
              </w:rPr>
              <w:t>Test-time augmentation: classify several altered temporal views of one clip.</w:t>
            </w:r>
          </w:p>
        </w:tc>
      </w:tr>
      <w:tr>
        <w:tc>
          <w:tcPr>
            <w:tcW w:type="dxa" w:w="4802"/>
            <w:vAlign w:val="top"/>
          </w:tcPr>
          <w:p>
            <w:r>
              <w:rPr>
                <w:b w:val="0"/>
                <w:i w:val="0"/>
                <w:sz w:val="17"/>
              </w:rPr>
              <w:t>Margin</w:t>
            </w:r>
          </w:p>
        </w:tc>
        <w:tc>
          <w:tcPr>
            <w:tcW w:type="dxa" w:w="4802"/>
            <w:vAlign w:val="top"/>
          </w:tcPr>
          <w:p>
            <w:r>
              <w:rPr>
                <w:b w:val="0"/>
                <w:i w:val="0"/>
                <w:sz w:val="17"/>
              </w:rPr>
              <w:t>Difference between the highest and second-highest class probabilities.</w:t>
            </w:r>
          </w:p>
        </w:tc>
      </w:tr>
      <w:tr>
        <w:tc>
          <w:tcPr>
            <w:tcW w:type="dxa" w:w="4802"/>
            <w:vAlign w:val="top"/>
          </w:tcPr>
          <w:p>
            <w:r>
              <w:rPr>
                <w:b w:val="0"/>
                <w:i w:val="0"/>
                <w:sz w:val="17"/>
              </w:rPr>
              <w:t>Abstention</w:t>
            </w:r>
          </w:p>
        </w:tc>
        <w:tc>
          <w:tcPr>
            <w:tcW w:type="dxa" w:w="4802"/>
            <w:vAlign w:val="top"/>
          </w:tcPr>
          <w:p>
            <w:r>
              <w:rPr>
                <w:b w:val="0"/>
                <w:i w:val="0"/>
                <w:sz w:val="17"/>
              </w:rPr>
              <w:t>Declining to automatically output a label when the system is uncertain.</w:t>
            </w:r>
          </w:p>
        </w:tc>
      </w:tr>
      <w:tr>
        <w:tc>
          <w:tcPr>
            <w:tcW w:type="dxa" w:w="4802"/>
            <w:vAlign w:val="top"/>
          </w:tcPr>
          <w:p>
            <w:r>
              <w:rPr>
                <w:b w:val="0"/>
                <w:i w:val="0"/>
                <w:sz w:val="17"/>
              </w:rPr>
              <w:t>Coverage</w:t>
            </w:r>
          </w:p>
        </w:tc>
        <w:tc>
          <w:tcPr>
            <w:tcW w:type="dxa" w:w="4802"/>
            <w:vAlign w:val="top"/>
          </w:tcPr>
          <w:p>
            <w:r>
              <w:rPr>
                <w:b w:val="0"/>
                <w:i w:val="0"/>
                <w:sz w:val="17"/>
              </w:rPr>
              <w:t>Fraction of examples accepted automatically by the system.</w:t>
            </w:r>
          </w:p>
        </w:tc>
      </w:tr>
      <w:tr>
        <w:tc>
          <w:tcPr>
            <w:tcW w:type="dxa" w:w="4802"/>
            <w:vAlign w:val="top"/>
          </w:tcPr>
          <w:p>
            <w:r>
              <w:rPr>
                <w:b w:val="0"/>
                <w:i w:val="0"/>
                <w:sz w:val="17"/>
              </w:rPr>
              <w:t>Data leakage</w:t>
            </w:r>
          </w:p>
        </w:tc>
        <w:tc>
          <w:tcPr>
            <w:tcW w:type="dxa" w:w="4802"/>
            <w:vAlign w:val="top"/>
          </w:tcPr>
          <w:p>
            <w:r>
              <w:rPr>
                <w:b w:val="0"/>
                <w:i w:val="0"/>
                <w:sz w:val="17"/>
              </w:rPr>
              <w:t>Overlap or near-duplication between train and test data that inflates evaluation results.</w:t>
            </w:r>
          </w:p>
        </w:tc>
      </w:tr>
      <w:tr>
        <w:tc>
          <w:tcPr>
            <w:tcW w:type="dxa" w:w="4802"/>
            <w:vAlign w:val="top"/>
          </w:tcPr>
          <w:p>
            <w:r>
              <w:rPr>
                <w:b w:val="0"/>
                <w:i w:val="0"/>
                <w:sz w:val="17"/>
              </w:rPr>
              <w:t>Signer-independent</w:t>
            </w:r>
          </w:p>
        </w:tc>
        <w:tc>
          <w:tcPr>
            <w:tcW w:type="dxa" w:w="4802"/>
            <w:vAlign w:val="top"/>
          </w:tcPr>
          <w:p>
            <w:r>
              <w:rPr>
                <w:b w:val="0"/>
                <w:i w:val="0"/>
                <w:sz w:val="17"/>
              </w:rPr>
              <w:t>Evaluation on signers absent from the training data.</w:t>
            </w:r>
          </w:p>
        </w:tc>
      </w:tr>
      <w:tr>
        <w:tc>
          <w:tcPr>
            <w:tcW w:type="dxa" w:w="4802"/>
            <w:vAlign w:val="top"/>
          </w:tcPr>
          <w:p>
            <w:r>
              <w:rPr>
                <w:b w:val="0"/>
                <w:i w:val="0"/>
                <w:sz w:val="17"/>
              </w:rPr>
              <w:t>Golden set</w:t>
            </w:r>
          </w:p>
        </w:tc>
        <w:tc>
          <w:tcPr>
            <w:tcW w:type="dxa" w:w="4802"/>
            <w:vAlign w:val="top"/>
          </w:tcPr>
          <w:p>
            <w:r>
              <w:rPr>
                <w:b w:val="0"/>
                <w:i w:val="0"/>
                <w:sz w:val="17"/>
              </w:rPr>
              <w:t>A frozen test collection used to guard against regressions.</w:t>
            </w:r>
          </w:p>
        </w:tc>
      </w:tr>
      <w:tr>
        <w:tc>
          <w:tcPr>
            <w:tcW w:type="dxa" w:w="4802"/>
            <w:vAlign w:val="top"/>
          </w:tcPr>
          <w:p>
            <w:r>
              <w:rPr>
                <w:b w:val="0"/>
                <w:i w:val="0"/>
                <w:sz w:val="17"/>
              </w:rPr>
              <w:t>VAD</w:t>
            </w:r>
          </w:p>
        </w:tc>
        <w:tc>
          <w:tcPr>
            <w:tcW w:type="dxa" w:w="4802"/>
            <w:vAlign w:val="top"/>
          </w:tcPr>
          <w:p>
            <w:r>
              <w:rPr>
                <w:b w:val="0"/>
                <w:i w:val="0"/>
                <w:sz w:val="17"/>
              </w:rPr>
              <w:t>Voice activity detection, used to identify speech segments in audio.</w:t>
            </w:r>
          </w:p>
        </w:tc>
      </w:tr>
      <w:tr>
        <w:tc>
          <w:tcPr>
            <w:tcW w:type="dxa" w:w="4802"/>
            <w:vAlign w:val="top"/>
          </w:tcPr>
          <w:p>
            <w:r>
              <w:rPr>
                <w:b w:val="0"/>
                <w:i w:val="0"/>
                <w:sz w:val="17"/>
              </w:rPr>
              <w:t>Gloss</w:t>
            </w:r>
          </w:p>
        </w:tc>
        <w:tc>
          <w:tcPr>
            <w:tcW w:type="dxa" w:w="4802"/>
            <w:vAlign w:val="top"/>
          </w:tcPr>
          <w:p>
            <w:r>
              <w:rPr>
                <w:b w:val="0"/>
                <w:i w:val="0"/>
                <w:sz w:val="17"/>
              </w:rPr>
              <w:t>A concise word label used to represent a sign in a dataset or recognition system.</w:t>
            </w:r>
          </w:p>
        </w:tc>
      </w:tr>
    </w:tbl>
    <w:p/>
    <w:p>
      <w:r>
        <w:t>Final editing checklist:</w:t>
      </w:r>
    </w:p>
    <w:sectPr w:rsidR="00FC693F" w:rsidRPr="0006063C" w:rsidSect="00034616">
      <w:headerReference w:type="default" r:id="rId9"/>
      <w:footerReference w:type="default" r:id="rId10"/>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SignTalk AI | Project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36574"/>
        <w:sz w:val="16"/>
      </w:rPr>
      <w:t>SIGNTALK AI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2028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2365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5B8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86B9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zenodo.org/records/4010759" TargetMode="External"/><Relationship Id="rId12" Type="http://schemas.openxmlformats.org/officeDocument/2006/relationships/hyperlink" Target="https://arxiv.org/abs/2110.05877" TargetMode="External"/><Relationship Id="rId13" Type="http://schemas.openxmlformats.org/officeDocument/2006/relationships/hyperlink" Target="https://arxiv.org/abs/2110.06161" TargetMode="External"/><Relationship Id="rId14" Type="http://schemas.openxmlformats.org/officeDocument/2006/relationships/hyperlink" Target="https://pmc.ncbi.nlm.nih.gov/articles/PMC9269724/" TargetMode="External"/><Relationship Id="rId15" Type="http://schemas.openxmlformats.org/officeDocument/2006/relationships/hyperlink" Target="https://arxiv.org/abs/2407.05404" TargetMode="External"/><Relationship Id="rId16" Type="http://schemas.openxmlformats.org/officeDocument/2006/relationships/hyperlink" Target="https://arxiv.org/abs/2501.15187" TargetMode="External"/><Relationship Id="rId17" Type="http://schemas.openxmlformats.org/officeDocument/2006/relationships/hyperlink" Target="https://arxiv.org/abs/2211.01367" TargetMode="External"/><Relationship Id="rId18" Type="http://schemas.openxmlformats.org/officeDocument/2006/relationships/hyperlink" Target="https://developers.google.com/edge/mediapipe/solutions/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