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>
  <w:body>
    <w:p>
      <w:pPr>
        <w:spacing w:before="0" w:after="40"/>
        <w:jc w:val="center"/>
      </w:pPr>
      <w:r>
        <w:rPr>
          <w:b/>
          <w:bCs/>
          <w:sz w:val="28"/>
          <w:szCs w:val="28"/>
          <w:color w:val="1A237E"/>
        </w:rPr>
        <w:t xml:space="preserve">Vexoo Labs — AI Engineer Assignment</w:t>
      </w:r>
    </w:p>
    <w:p>
      <w:pPr>
        <w:spacing w:before="0" w:after="40"/>
        <w:jc w:val="center"/>
      </w:pPr>
      <w:r>
        <w:rPr>
          <w:sz w:val="19"/>
          <w:szCs w:val="19"/>
          <w:color w:val="5C6BC0"/>
        </w:rPr>
        <w:t xml:space="preserve">One-Page Summary Report</w:t>
      </w:r>
    </w:p>
    <w:p>
      <w:pPr>
        <w:pBdr>
          <w:bottom w:val="single" w:sz="16" w:space="1" w:color="3949AB"/>
        </w:pBdr>
        <w:spacing w:before="0" w:after="60"/>
      </w:pPr>
    </w:p>
    <w:p>
      <w:pPr>
        <w:spacing w:before="100" w:after="40"/>
      </w:pPr>
      <w:r>
        <w:rPr>
          <w:b/>
          <w:bCs/>
          <w:sz w:val="22"/>
          <w:szCs w:val="22"/>
          <w:color w:val="1565C0"/>
        </w:rPr>
        <w:t xml:space="preserve">Part 1 · Ingestion + Knowledge Pyramid</w:t>
      </w:r>
    </w:p>
    <w:p>
      <w:pPr>
        <w:spacing w:before="40" w:after="20"/>
      </w:pPr>
      <w:r>
        <w:rPr>
          <w:b/>
          <w:bCs/>
          <w:sz w:val="19"/>
          <w:szCs w:val="19"/>
          <w:color w:val="0D47A1"/>
        </w:rPr>
        <w:t xml:space="preserve">Sliding Window Strategy</w:t>
      </w:r>
    </w:p>
    <w:p>
      <w:pPr>
        <w:numPr>
          <w:ilvl w:val="0"/>
          <w:numId w:val="1"/>
        </w:numPr>
        <w:spacing w:before="0" w:after="40"/>
      </w:pPr>
      <w:r>
        <w:rPr>
          <w:sz w:val="18"/>
          <w:szCs w:val="18"/>
          <w:color w:val="333333"/>
        </w:rPr>
        <w:t xml:space="preserve">Character-based 2-page windows (4 000 chars) with 400-char overlap preserves inter-chunk context.</w:t>
      </w:r>
    </w:p>
    <w:p>
      <w:pPr>
        <w:numPr>
          <w:ilvl w:val="0"/>
          <w:numId w:val="1"/>
        </w:numPr>
        <w:spacing w:before="0" w:after="40"/>
      </w:pPr>
      <w:r>
        <w:rPr>
          <w:sz w:val="18"/>
          <w:szCs w:val="18"/>
          <w:color w:val="333333"/>
        </w:rPr>
        <w:t xml:space="preserve">Windows snap to word boundaries; each is an independent processing unit.</w:t>
      </w:r>
    </w:p>
    <w:p>
      <w:pPr>
        <w:spacing w:before="60" w:after="20"/>
      </w:pPr>
      <w:r>
        <w:rPr>
          <w:b/>
          <w:bCs/>
          <w:sz w:val="19"/>
          <w:szCs w:val="19"/>
          <w:color w:val="0D47A1"/>
        </w:rPr>
        <w:t xml:space="preserve">4-Layer Knowledge Pyramid</w:t>
      </w:r>
    </w:p>
    <w:tbl>
      <w:tblPr>
        <w:tblW w:w="9200" w:type="dxa"/>
        <w:tblLook w:val="04A0"/>
      </w:tblPr>
      <w:tblGrid>
        <w:gridCol w:w="4600"/>
        <w:gridCol w:w="4600"/>
      </w:tblGrid>
      <w:tr>
        <w:tc>
          <w:tcPr>
            <w:shd w:val="clear" w:color="auto" w:fill="E8F0FE"/>
            <w:tcW w:w="4600" w:type="dxa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333333"/>
              </w:rPr>
              <w:t xml:space="preserve">Layer</w:t>
            </w:r>
          </w:p>
        </w:tc>
        <w:tc>
          <w:tcPr>
            <w:shd w:val="clear" w:color="auto" w:fill="E8F0FE"/>
            <w:tcW w:w="4600" w:type="dxa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333333"/>
              </w:rPr>
              <w:t xml:space="preserve">Content &amp; Method</w:t>
            </w:r>
          </w:p>
        </w:tc>
      </w:tr>
      <w:tr>
        <w:tc>
          <w:tcPr>
            <w:shd w:val="clear" w:color="auto" w:fill="FFFFFF"/>
            <w:tcW w:w="4600" w:type="dxa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color w:val="333333"/>
              </w:rPr>
              <w:t xml:space="preserve">0  Raw Text</w:t>
            </w:r>
          </w:p>
        </w:tc>
        <w:tc>
          <w:tcPr>
            <w:shd w:val="clear" w:color="auto" w:fill="FFFFFF"/>
            <w:tcW w:w="4600" w:type="dxa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color w:val="333333"/>
              </w:rPr>
              <w:t xml:space="preserve">Exact window content — verbatim</w:t>
            </w:r>
          </w:p>
        </w:tc>
      </w:tr>
      <w:tr>
        <w:tc>
          <w:tcPr>
            <w:shd w:val="clear" w:color="auto" w:fill="FFFFFF"/>
            <w:tcW w:w="4600" w:type="dxa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color w:val="333333"/>
              </w:rPr>
              <w:t xml:space="preserve">1  Summary</w:t>
            </w:r>
          </w:p>
        </w:tc>
        <w:tc>
          <w:tcPr>
            <w:shd w:val="clear" w:color="auto" w:fill="FFFFFF"/>
            <w:tcW w:w="4600" w:type="dxa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color w:val="333333"/>
              </w:rPr>
              <w:t xml:space="preserve">First 3 sentences (extractive placeholder)</w:t>
            </w:r>
          </w:p>
        </w:tc>
      </w:tr>
      <w:tr>
        <w:tc>
          <w:tcPr>
            <w:shd w:val="clear" w:color="auto" w:fill="FFFFFF"/>
            <w:tcW w:w="4600" w:type="dxa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color w:val="333333"/>
              </w:rPr>
              <w:t xml:space="preserve">2  Category</w:t>
            </w:r>
          </w:p>
        </w:tc>
        <w:tc>
          <w:tcPr>
            <w:shd w:val="clear" w:color="auto" w:fill="FFFFFF"/>
            <w:tcW w:w="4600" w:type="dxa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color w:val="333333"/>
              </w:rPr>
              <w:t xml:space="preserve">Rule-based keyword → theme label (5 domains)</w:t>
            </w:r>
          </w:p>
        </w:tc>
      </w:tr>
      <w:tr>
        <w:tc>
          <w:tcPr>
            <w:shd w:val="clear" w:color="auto" w:fill="FFFFFF"/>
            <w:tcW w:w="4600" w:type="dxa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color w:val="333333"/>
              </w:rPr>
              <w:t xml:space="preserve">3  Keywords</w:t>
            </w:r>
          </w:p>
        </w:tc>
        <w:tc>
          <w:tcPr>
            <w:shd w:val="clear" w:color="auto" w:fill="FFFFFF"/>
            <w:tcW w:w="4600" w:type="dxa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color w:val="333333"/>
              </w:rPr>
              <w:t xml:space="preserve">Top-15 TF-IDF terms (mock embedding vector)</w:t>
            </w:r>
          </w:p>
        </w:tc>
      </w:tr>
    </w:tbl>
    <w:p>
      <w:pPr>
        <w:spacing w:before="60" w:after="20"/>
      </w:pPr>
      <w:r>
        <w:rPr>
          <w:b/>
          <w:bCs/>
          <w:sz w:val="19"/>
          <w:szCs w:val="19"/>
          <w:color w:val="0D47A1"/>
        </w:rPr>
        <w:t xml:space="preserve">Retrieval</w:t>
      </w:r>
    </w:p>
    <w:p>
      <w:pPr>
        <w:numPr>
          <w:ilvl w:val="0"/>
          <w:numId w:val="1"/>
        </w:numPr>
        <w:spacing w:before="0" w:after="40"/>
      </w:pPr>
      <w:r>
        <w:rPr>
          <w:sz w:val="18"/>
          <w:szCs w:val="18"/>
          <w:color w:val="333333"/>
        </w:rPr>
        <w:t xml:space="preserve">TF-IDF cosine similarity computed across all 3 text representations (raw, summary, keywords).</w:t>
      </w:r>
    </w:p>
    <w:p>
      <w:pPr>
        <w:numPr>
          <w:ilvl w:val="0"/>
          <w:numId w:val="1"/>
        </w:numPr>
        <w:spacing w:before="0" w:after="40"/>
      </w:pPr>
      <w:r>
        <w:rPr>
          <w:sz w:val="18"/>
          <w:szCs w:val="18"/>
          <w:color w:val="333333"/>
        </w:rPr>
        <w:t xml:space="preserve">Weighted composite score (raw 0.4 · summary 0.35 · keywords 0.25) for robust multi-level matching.</w:t>
      </w:r>
    </w:p>
    <w:p>
      <w:pPr>
        <w:numPr>
          <w:ilvl w:val="0"/>
          <w:numId w:val="1"/>
        </w:numPr>
        <w:spacing w:before="0" w:after="40"/>
      </w:pPr>
      <w:r>
        <w:rPr>
          <w:sz w:val="18"/>
          <w:szCs w:val="18"/>
          <w:color w:val="333333"/>
        </w:rPr>
        <w:t xml:space="preserve">Pure stdlib + numpy — no external vector DB required.</w:t>
      </w:r>
    </w:p>
    <w:p>
      <w:pPr>
        <w:pBdr>
          <w:bottom w:val="single" w:sz="6" w:space="1" w:color="90CAF9"/>
        </w:pBdr>
        <w:spacing w:before="0" w:after="60"/>
      </w:pPr>
    </w:p>
    <w:p>
      <w:pPr>
        <w:spacing w:before="80" w:after="40"/>
      </w:pPr>
      <w:r>
        <w:rPr>
          <w:b/>
          <w:bCs/>
          <w:sz w:val="22"/>
          <w:szCs w:val="22"/>
          <w:color w:val="1B5E20"/>
        </w:rPr>
        <w:t xml:space="preserve">Part 2 · GSM8K Reasoning Model Training</w:t>
      </w:r>
    </w:p>
    <w:tbl>
      <w:tblPr>
        <w:tblW w:w="9200" w:type="dxa"/>
        <w:tblLook w:val="04A0"/>
      </w:tblPr>
      <w:tblGrid>
        <w:gridCol w:w="4600"/>
        <w:gridCol w:w="4600"/>
      </w:tblGrid>
      <w:tr>
        <w:tc>
          <w:tcPr>
            <w:shd w:val="clear" w:color="auto" w:fill="E8F0FE"/>
            <w:tcW w:w="4600" w:type="dxa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333333"/>
              </w:rPr>
              <w:t xml:space="preserve">Parameter</w:t>
            </w:r>
          </w:p>
        </w:tc>
        <w:tc>
          <w:tcPr>
            <w:shd w:val="clear" w:color="auto" w:fill="E8F0FE"/>
            <w:tcW w:w="4600" w:type="dxa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  <w:color w:val="333333"/>
              </w:rPr>
              <w:t xml:space="preserve">Value</w:t>
            </w:r>
          </w:p>
        </w:tc>
      </w:tr>
      <w:tr>
        <w:tc>
          <w:tcPr>
            <w:shd w:val="clear" w:color="auto" w:fill="FFFFFF"/>
            <w:tcW w:w="4600" w:type="dxa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color w:val="333333"/>
              </w:rPr>
              <w:t xml:space="preserve">Base model</w:t>
            </w:r>
          </w:p>
        </w:tc>
        <w:tc>
          <w:tcPr>
            <w:shd w:val="clear" w:color="auto" w:fill="FFFFFF"/>
            <w:tcW w:w="4600" w:type="dxa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color w:val="333333"/>
              </w:rPr>
              <w:t xml:space="preserve">meta-llama/Llama-3.2-1B</w:t>
            </w:r>
          </w:p>
        </w:tc>
      </w:tr>
      <w:tr>
        <w:tc>
          <w:tcPr>
            <w:shd w:val="clear" w:color="auto" w:fill="FFFFFF"/>
            <w:tcW w:w="4600" w:type="dxa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color w:val="333333"/>
              </w:rPr>
              <w:t xml:space="preserve">Training samples</w:t>
            </w:r>
          </w:p>
        </w:tc>
        <w:tc>
          <w:tcPr>
            <w:shd w:val="clear" w:color="auto" w:fill="FFFFFF"/>
            <w:tcW w:w="4600" w:type="dxa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color w:val="333333"/>
              </w:rPr>
              <w:t xml:space="preserve">3 000  (GSM8K train split)</w:t>
            </w:r>
          </w:p>
        </w:tc>
      </w:tr>
      <w:tr>
        <w:tc>
          <w:tcPr>
            <w:shd w:val="clear" w:color="auto" w:fill="FFFFFF"/>
            <w:tcW w:w="4600" w:type="dxa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color w:val="333333"/>
              </w:rPr>
              <w:t xml:space="preserve">Eval samples</w:t>
            </w:r>
          </w:p>
        </w:tc>
        <w:tc>
          <w:tcPr>
            <w:shd w:val="clear" w:color="auto" w:fill="FFFFFF"/>
            <w:tcW w:w="4600" w:type="dxa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color w:val="333333"/>
              </w:rPr>
              <w:t xml:space="preserve">1 000  (GSM8K test split)</w:t>
            </w:r>
          </w:p>
        </w:tc>
      </w:tr>
      <w:tr>
        <w:tc>
          <w:tcPr>
            <w:shd w:val="clear" w:color="auto" w:fill="FFFFFF"/>
            <w:tcW w:w="4600" w:type="dxa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color w:val="333333"/>
              </w:rPr>
              <w:t xml:space="preserve">Fine-tuning method</w:t>
            </w:r>
          </w:p>
        </w:tc>
        <w:tc>
          <w:tcPr>
            <w:shd w:val="clear" w:color="auto" w:fill="FFFFFF"/>
            <w:tcW w:w="4600" w:type="dxa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color w:val="333333"/>
              </w:rPr>
              <w:t xml:space="preserve">LoRA (PEFT) — rank 16, alpha 32</w:t>
            </w:r>
          </w:p>
        </w:tc>
      </w:tr>
      <w:tr>
        <w:tc>
          <w:tcPr>
            <w:shd w:val="clear" w:color="auto" w:fill="FFFFFF"/>
            <w:tcW w:w="4600" w:type="dxa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color w:val="333333"/>
              </w:rPr>
              <w:t xml:space="preserve">LoRA target layers</w:t>
            </w:r>
          </w:p>
        </w:tc>
        <w:tc>
          <w:tcPr>
            <w:shd w:val="clear" w:color="auto" w:fill="FFFFFF"/>
            <w:tcW w:w="4600" w:type="dxa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color w:val="333333"/>
              </w:rPr>
              <w:t xml:space="preserve">q_proj, k_proj, v_proj, o_proj</w:t>
            </w:r>
          </w:p>
        </w:tc>
      </w:tr>
      <w:tr>
        <w:tc>
          <w:tcPr>
            <w:shd w:val="clear" w:color="auto" w:fill="FFFFFF"/>
            <w:tcW w:w="4600" w:type="dxa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color w:val="333333"/>
              </w:rPr>
              <w:t xml:space="preserve">Effective batch</w:t>
            </w:r>
          </w:p>
        </w:tc>
        <w:tc>
          <w:tcPr>
            <w:shd w:val="clear" w:color="auto" w:fill="FFFFFF"/>
            <w:tcW w:w="4600" w:type="dxa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color w:val="333333"/>
              </w:rPr>
              <w:t xml:space="preserve">4 × 4 grad accum = 16</w:t>
            </w:r>
          </w:p>
        </w:tc>
      </w:tr>
      <w:tr>
        <w:tc>
          <w:tcPr>
            <w:shd w:val="clear" w:color="auto" w:fill="FFFFFF"/>
            <w:tcW w:w="4600" w:type="dxa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color w:val="333333"/>
              </w:rPr>
              <w:t xml:space="preserve">Optimiser</w:t>
            </w:r>
          </w:p>
        </w:tc>
        <w:tc>
          <w:tcPr>
            <w:shd w:val="clear" w:color="auto" w:fill="FFFFFF"/>
            <w:tcW w:w="4600" w:type="dxa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color w:val="333333"/>
              </w:rPr>
              <w:t xml:space="preserve">AdamW + OneCycleLR (cosine)</w:t>
            </w:r>
          </w:p>
        </w:tc>
      </w:tr>
      <w:tr>
        <w:tc>
          <w:tcPr>
            <w:shd w:val="clear" w:color="auto" w:fill="FFFFFF"/>
            <w:tcW w:w="4600" w:type="dxa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color w:val="333333"/>
              </w:rPr>
              <w:t xml:space="preserve">Precision</w:t>
            </w:r>
          </w:p>
        </w:tc>
        <w:tc>
          <w:tcPr>
            <w:shd w:val="clear" w:color="auto" w:fill="FFFFFF"/>
            <w:tcW w:w="4600" w:type="dxa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color w:val="333333"/>
              </w:rPr>
              <w:t xml:space="preserve">bfloat16 + 4-bit NF4 (QLoRA)</w:t>
            </w:r>
          </w:p>
        </w:tc>
      </w:tr>
      <w:tr>
        <w:tc>
          <w:tcPr>
            <w:shd w:val="clear" w:color="auto" w:fill="FFFFFF"/>
            <w:tcW w:w="4600" w:type="dxa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color w:val="333333"/>
              </w:rPr>
              <w:t xml:space="preserve">Evaluation metric</w:t>
            </w:r>
          </w:p>
        </w:tc>
        <w:tc>
          <w:tcPr>
            <w:shd w:val="clear" w:color="auto" w:fill="FFFFFF"/>
            <w:tcW w:w="4600" w:type="dxa"/>
            <w:tcBorders>
              <w:top w:val="single" w:sz="4" w:color="AAAAAA"/>
              <w:bottom w:val="single" w:sz="4" w:color="AAAAAA"/>
              <w:left w:val="single" w:sz="4" w:color="AAAAAA"/>
              <w:right w:val="single" w:sz="4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  <w:color w:val="333333"/>
              </w:rPr>
              <w:t xml:space="preserve">Exact Match on final numerical answer</w:t>
            </w:r>
          </w:p>
        </w:tc>
      </w:tr>
    </w:tbl>
    <w:p>
      <w:pPr>
        <w:spacing w:before="60" w:after="20"/>
      </w:pPr>
      <w:r>
        <w:rPr>
          <w:b/>
          <w:bCs/>
          <w:sz w:val="18"/>
          <w:szCs w:val="18"/>
          <w:color w:val="1B5E20"/>
        </w:rPr>
        <w:t xml:space="preserve">Key design decisions:</w:t>
      </w:r>
    </w:p>
    <w:p>
      <w:pPr>
        <w:numPr>
          <w:ilvl w:val="0"/>
          <w:numId w:val="1"/>
        </w:numPr>
        <w:spacing w:before="0" w:after="40"/>
      </w:pPr>
      <w:r>
        <w:rPr>
          <w:sz w:val="18"/>
          <w:szCs w:val="18"/>
          <w:color w:val="333333"/>
        </w:rPr>
        <w:t xml:space="preserve">Label masking (-100 on prompt tokens) — loss only on answer tokens, prevents prompt memorisation.</w:t>
      </w:r>
    </w:p>
    <w:p>
      <w:pPr>
        <w:numPr>
          <w:ilvl w:val="0"/>
          <w:numId w:val="1"/>
        </w:numPr>
        <w:spacing w:before="0" w:after="40"/>
      </w:pPr>
      <w:r>
        <w:rPr>
          <w:sz w:val="18"/>
          <w:szCs w:val="18"/>
          <w:color w:val="333333"/>
        </w:rPr>
        <w:t xml:space="preserve">Left-padding ensures correct alignment during batch generation.</w:t>
      </w:r>
    </w:p>
    <w:p>
      <w:pPr>
        <w:numPr>
          <w:ilvl w:val="0"/>
          <w:numId w:val="1"/>
        </w:numPr>
        <w:spacing w:before="0" w:after="40"/>
      </w:pPr>
      <w:r>
        <w:rPr>
          <w:sz w:val="18"/>
          <w:szCs w:val="18"/>
          <w:color w:val="333333"/>
        </w:rPr>
        <w:t xml:space="preserve">QLoRA enables LLaMA-1B on 8GB VRAM with no accuracy loss vs. full bf16.</w:t>
      </w:r>
    </w:p>
    <w:p>
      <w:pPr>
        <w:numPr>
          <w:ilvl w:val="0"/>
          <w:numId w:val="1"/>
        </w:numPr>
        <w:spacing w:before="0" w:after="40"/>
      </w:pPr>
      <w:r>
        <w:rPr>
          <w:sz w:val="18"/>
          <w:szCs w:val="18"/>
          <w:color w:val="333333"/>
        </w:rPr>
        <w:t xml:space="preserve">Checkpoints saved every 500 steps; best model tracked by eval accuracy.</w:t>
      </w:r>
    </w:p>
    <w:p>
      <w:pPr>
        <w:pBdr>
          <w:bottom w:val="single" w:sz="6" w:space="1" w:color="A5D6A7"/>
        </w:pBdr>
        <w:spacing w:before="0" w:after="60"/>
      </w:pPr>
    </w:p>
    <w:p>
      <w:pPr>
        <w:spacing w:before="80" w:after="40"/>
      </w:pPr>
      <w:r>
        <w:rPr>
          <w:b/>
          <w:bCs/>
          <w:sz w:val="22"/>
          <w:szCs w:val="22"/>
          <w:color w:val="4A148C"/>
        </w:rPr>
        <w:t xml:space="preserve">Bonus · Reasoning-Aware Plug-and-Play Adapter</w:t>
      </w:r>
    </w:p>
    <w:p>
      <w:pPr>
        <w:spacing w:before="0" w:after="60"/>
      </w:pPr>
      <w:r>
        <w:rPr>
          <w:sz w:val="18"/>
          <w:szCs w:val="18"/>
          <w:color w:val="333333"/>
        </w:rPr>
        <w:t xml:space="preserve">A multi-signal QueryClassifier (regex patterns + structural heuristics) routes each query to a specialised ReasoningModule. Modules (Math, Legal, Code, Science, General) implement a shared protocol. New modules attach with one line — pure Open/Closed Principle. The router logs all routing decisions for auditability.</w:t>
      </w:r>
    </w:p>
    <w:p>
      <w:pPr>
        <w:pBdr>
          <w:bottom w:val="single" w:sz="12" w:space="1" w:color="3949AB"/>
        </w:pBdr>
        <w:spacing w:before="0" w:after="60"/>
      </w:pPr>
    </w:p>
    <w:p>
      <w:pPr>
        <w:spacing w:before="0" w:after="80"/>
        <w:jc w:val="center"/>
      </w:pPr>
      <w:r>
        <w:rPr>
          <w:sz w:val="17"/>
          <w:szCs w:val="17"/>
          <w:color w:val="555555"/>
        </w:rPr>
        <w:t xml:space="preserve">All code: clean, inline-commented Python. Simulation mode available for all scripts (no GPU/internet needed).</w:t>
      </w:r>
    </w:p>
    <w:sectPr>
      <w:pgSz w:w="12240" w:h="15840"/>
      <w:pgMar w:top="900" w:right="1080" w:bottom="900" w:left="1080" w:header="720" w:footer="720" w:gutter="0"/>
    </w:sectPr>
  </w:body>
</w:document>
</file>

<file path=word/numbering.xml><?xml version="1.0" encoding="utf-8"?>
<w:numbering xmlns:wpc="http://schemas.microsoft.com/office/word/2010/wordprocessingCanvas"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</w:docDefaults>
  <w:style w:type="paragraph" w:styleId="Normal">
    <w:name w:val="Normal"/>
    <w:pPr>
      <w:spacing w:after="80"/>
    </w:pPr>
    <w:rPr>
      <w:rFonts w:ascii="Arial" w:hAnsi="Arial"/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
    Target="styles.xml"/>
  <Relationship Id="rId2" Type="http://schemas.openxmlformats.org/officeDocument/2006/relationships/numbering"
    Target="numbering.xml"/>
  <Relationship Id="rId3" Type="http://schemas.openxmlformats.org/officeDocument/2006/relationships/settings"
    Target="settings.xml"/>
</Relationships>
</file>