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2340"/>
          <w:sz w:val="22"/>
        </w:rPr>
        <w:t>Department of Computer Science &amp; Engineering</w:t>
        <w:br/>
        <w:t>PES University, Bengaluru</w:t>
        <w:br/>
      </w:r>
      <w:r>
        <w:rPr>
          <w:b/>
          <w:color w:val="0C2340"/>
          <w:sz w:val="28"/>
        </w:rPr>
        <w:t>Software Engineering Lab (SE Lab) — Lab 3 Report</w:t>
        <w:br/>
      </w:r>
      <w:r>
        <w:rPr>
          <w:color w:val="1E5180"/>
          <w:sz w:val="21"/>
        </w:rPr>
        <w:t>Component Modelling &amp; Architectural Pattern Selection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EC5"/>
          <w:bottom w:val="single" w:sz="4" w:space="0" w:color="B0BEC5"/>
          <w:insideH w:val="single" w:sz="4" w:space="0" w:color="E0E0E0"/>
          <w:insideV w:val="none"/>
          <w:left w:val="none"/>
          <w:right w:val="none"/>
        </w:tblBorders>
      </w:tblPr>
      <w:tblGrid>
        <w:gridCol w:w="5256"/>
        <w:gridCol w:w="5256"/>
      </w:tblGrid>
      <w:tr>
        <w:tc>
          <w:tcPr>
            <w:tcW w:type="dxa" w:w="3168"/>
            <w:shd w:fill="F0F4F8"/>
          </w:tcPr>
          <w:p>
            <w:pPr>
              <w:spacing w:after="40"/>
            </w:pPr>
            <w:r>
              <w:rPr>
                <w:b/>
                <w:color w:val="1E5180"/>
                <w:sz w:val="18"/>
              </w:rPr>
              <w:t>Student Name &amp; SRN</w:t>
            </w:r>
          </w:p>
        </w:tc>
        <w:tc>
          <w:tcPr>
            <w:tcW w:type="dxa" w:w="7200"/>
            <w:shd w:fill="FAFAFA"/>
          </w:tcPr>
          <w:p>
            <w:pPr>
              <w:spacing w:after="40"/>
            </w:pPr>
            <w:r>
              <w:rPr>
                <w:sz w:val="18"/>
              </w:rPr>
              <w:t>Arjun Srikanth  |  PES1UG24AM920 (Section H)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/>
            </w:pPr>
            <w:r>
              <w:rPr>
                <w:b/>
                <w:color w:val="1E5180"/>
                <w:sz w:val="18"/>
              </w:rPr>
              <w:t>Assigned Problem Statement</w:t>
            </w:r>
          </w:p>
        </w:tc>
        <w:tc>
          <w:tcPr>
            <w:tcW w:type="dxa" w:w="7200"/>
            <w:shd w:fill="FAFAFA"/>
          </w:tcPr>
          <w:p>
            <w:pPr>
              <w:spacing w:after="40"/>
            </w:pPr>
            <w:r>
              <w:rPr>
                <w:sz w:val="18"/>
              </w:rPr>
              <w:t>#48: Incident Escalation &amp; On-Call Rotation Engine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/>
            </w:pPr>
            <w:r>
              <w:rPr>
                <w:b/>
                <w:color w:val="1E5180"/>
                <w:sz w:val="18"/>
              </w:rPr>
              <w:t>Handout Scenario</w:t>
            </w:r>
          </w:p>
        </w:tc>
        <w:tc>
          <w:tcPr>
            <w:tcW w:type="dxa" w:w="7200"/>
            <w:shd w:fill="FAFAFA"/>
          </w:tcPr>
          <w:p>
            <w:pPr>
              <w:spacing w:after="40"/>
            </w:pPr>
            <w:r>
              <w:rPr>
                <w:sz w:val="18"/>
              </w:rPr>
              <w:t>Self-Service Coffee Kiosk System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/>
            </w:pPr>
            <w:r>
              <w:rPr>
                <w:b/>
                <w:color w:val="1E5180"/>
                <w:sz w:val="18"/>
              </w:rPr>
              <w:t>Domain &amp; Focus Area</w:t>
            </w:r>
          </w:p>
        </w:tc>
        <w:tc>
          <w:tcPr>
            <w:tcW w:type="dxa" w:w="7200"/>
            <w:shd w:fill="FAFAFA"/>
          </w:tcPr>
          <w:p>
            <w:pPr>
              <w:spacing w:after="40"/>
            </w:pPr>
            <w:r>
              <w:rPr>
                <w:sz w:val="18"/>
              </w:rPr>
              <w:t>Developer Tools &amp; IT Operations | Embedded Systems Architecture</w:t>
            </w:r>
          </w:p>
        </w:tc>
      </w:tr>
      <w:tr>
        <w:tc>
          <w:tcPr>
            <w:tcW w:type="dxa" w:w="3168"/>
            <w:shd w:fill="F0F4F8"/>
          </w:tcPr>
          <w:p>
            <w:pPr>
              <w:spacing w:after="40"/>
            </w:pPr>
            <w:r>
              <w:rPr>
                <w:b/>
                <w:color w:val="1E5180"/>
                <w:sz w:val="18"/>
              </w:rPr>
              <w:t>GitHub Repository</w:t>
            </w:r>
          </w:p>
        </w:tc>
        <w:tc>
          <w:tcPr>
            <w:tcW w:type="dxa" w:w="7200"/>
            <w:shd w:fill="FAFAFA"/>
          </w:tcPr>
          <w:p>
            <w:pPr>
              <w:spacing w:after="40"/>
            </w:pPr>
            <w:r>
              <w:rPr>
                <w:sz w:val="18"/>
              </w:rPr>
              <w:t>github.com/arjunsrikanthh/PES1UG24AM920_se_lab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0C2340"/>
          <w:sz w:val="23"/>
        </w:rPr>
        <w:t>1. Comparative Analysis of Architectural Styles</w:t>
      </w:r>
    </w:p>
    <w:p>
      <w:r>
        <w:t>Before selecting an architectural pattern, three foundational styles were evaluated against system constraints, reliability targets, latency, and peripheral requirements: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EC5"/>
          <w:bottom w:val="single" w:sz="4" w:space="0" w:color="B0BEC5"/>
          <w:insideH w:val="single" w:sz="4" w:space="0" w:color="E0E0E0"/>
          <w:insideV w:val="none"/>
          <w:left w:val="none"/>
          <w:right w:val="none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1728"/>
            <w:shd w:fill="1E5180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Architectural Style</w:t>
            </w:r>
          </w:p>
        </w:tc>
        <w:tc>
          <w:tcPr>
            <w:tcW w:type="dxa" w:w="2880"/>
            <w:shd w:fill="1E5180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Structural Organization</w:t>
            </w:r>
          </w:p>
        </w:tc>
        <w:tc>
          <w:tcPr>
            <w:tcW w:type="dxa" w:w="2880"/>
            <w:shd w:fill="1E5180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Key Advantages (Pros)</w:t>
            </w:r>
          </w:p>
        </w:tc>
        <w:tc>
          <w:tcPr>
            <w:tcW w:type="dxa" w:w="2880"/>
            <w:shd w:fill="1E5180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Key Limitations (Cons)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after="40"/>
            </w:pPr>
            <w:r>
              <w:rPr>
                <w:sz w:val="16"/>
              </w:rPr>
              <w:t>Layered (N-Tier)</w:t>
            </w:r>
          </w:p>
        </w:tc>
        <w:tc>
          <w:tcPr>
            <w:tcW w:type="dxa" w:w="2880"/>
            <w:shd w:fill="FFFFFF"/>
          </w:tcPr>
          <w:p>
            <w:pPr>
              <w:spacing w:after="40"/>
            </w:pPr>
            <w:r>
              <w:rPr>
                <w:sz w:val="16"/>
              </w:rPr>
              <w:t>Horizontal tiers: Presentation, Business Logic, and Data Access with downward dependencies.</w:t>
            </w:r>
          </w:p>
        </w:tc>
        <w:tc>
          <w:tcPr>
            <w:tcW w:type="dxa" w:w="2880"/>
            <w:shd w:fill="FFFFFF"/>
          </w:tcPr>
          <w:p>
            <w:pPr>
              <w:spacing w:after="40"/>
            </w:pPr>
            <w:r>
              <w:rPr>
                <w:sz w:val="16"/>
              </w:rPr>
              <w:t>• Clear separation of concerns</w:t>
              <w:br/>
              <w:t>• Intuitive mental model &amp; testing</w:t>
              <w:br/>
              <w:t>• Low operational complexity</w:t>
            </w:r>
          </w:p>
        </w:tc>
        <w:tc>
          <w:tcPr>
            <w:tcW w:type="dxa" w:w="2880"/>
            <w:shd w:fill="FFFFFF"/>
          </w:tcPr>
          <w:p>
            <w:pPr>
              <w:spacing w:after="40"/>
            </w:pPr>
            <w:r>
              <w:rPr>
                <w:sz w:val="16"/>
              </w:rPr>
              <w:t>• Performance sinkhole overhead</w:t>
              <w:br/>
              <w:t>• Monolithic blast radius</w:t>
              <w:br/>
              <w:t>• Inflexible uniform scaling</w:t>
            </w:r>
          </w:p>
        </w:tc>
      </w:tr>
      <w:tr>
        <w:tc>
          <w:tcPr>
            <w:tcW w:type="dxa" w:w="1728"/>
            <w:shd w:fill="F8F9FA"/>
          </w:tcPr>
          <w:p>
            <w:pPr>
              <w:spacing w:after="40"/>
            </w:pPr>
            <w:r>
              <w:rPr>
                <w:sz w:val="16"/>
              </w:rPr>
              <w:t>Microservices</w:t>
            </w:r>
          </w:p>
        </w:tc>
        <w:tc>
          <w:tcPr>
            <w:tcW w:type="dxa" w:w="2880"/>
            <w:shd w:fill="F8F9FA"/>
          </w:tcPr>
          <w:p>
            <w:pPr>
              <w:spacing w:after="40"/>
            </w:pPr>
            <w:r>
              <w:rPr>
                <w:sz w:val="16"/>
              </w:rPr>
              <w:t>Decoupled autonomous services structured around business domains, interacting via gRPC/REST/broker.</w:t>
            </w:r>
          </w:p>
        </w:tc>
        <w:tc>
          <w:tcPr>
            <w:tcW w:type="dxa" w:w="2880"/>
            <w:shd w:fill="F8F9FA"/>
          </w:tcPr>
          <w:p>
            <w:pPr>
              <w:spacing w:after="40"/>
            </w:pPr>
            <w:r>
              <w:rPr>
                <w:sz w:val="16"/>
              </w:rPr>
              <w:t>• Fault isolation prevents cascades</w:t>
              <w:br/>
              <w:t>• Targeted horizontal autoscaling</w:t>
              <w:br/>
              <w:t>• Independent service deployments</w:t>
            </w:r>
          </w:p>
        </w:tc>
        <w:tc>
          <w:tcPr>
            <w:tcW w:type="dxa" w:w="2880"/>
            <w:shd w:fill="F8F9FA"/>
          </w:tcPr>
          <w:p>
            <w:pPr>
              <w:spacing w:after="40"/>
            </w:pPr>
            <w:r>
              <w:rPr>
                <w:sz w:val="16"/>
              </w:rPr>
              <w:t>• High operational/network overhead</w:t>
              <w:br/>
              <w:t>• Eventual consistency challenges</w:t>
              <w:br/>
              <w:t>• Complex distributed telemetry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after="40"/>
            </w:pPr>
            <w:r>
              <w:rPr>
                <w:sz w:val="16"/>
              </w:rPr>
              <w:t>Client-Server</w:t>
            </w:r>
          </w:p>
        </w:tc>
        <w:tc>
          <w:tcPr>
            <w:tcW w:type="dxa" w:w="2880"/>
            <w:shd w:fill="FFFFFF"/>
          </w:tcPr>
          <w:p>
            <w:pPr>
              <w:spacing w:after="40"/>
            </w:pPr>
            <w:r>
              <w:rPr>
                <w:sz w:val="16"/>
              </w:rPr>
              <w:t>Centralized server executing business logic &amp; data access, serving distributed client nodes.</w:t>
            </w:r>
          </w:p>
        </w:tc>
        <w:tc>
          <w:tcPr>
            <w:tcW w:type="dxa" w:w="2880"/>
            <w:shd w:fill="FFFFFF"/>
          </w:tcPr>
          <w:p>
            <w:pPr>
              <w:spacing w:after="40"/>
            </w:pPr>
            <w:r>
              <w:rPr>
                <w:sz w:val="16"/>
              </w:rPr>
              <w:t>• Centralized state governance</w:t>
              <w:br/>
              <w:t>• Guaranteed ACID consistency</w:t>
              <w:br/>
              <w:t>• Lightweight client compute</w:t>
            </w:r>
          </w:p>
        </w:tc>
        <w:tc>
          <w:tcPr>
            <w:tcW w:type="dxa" w:w="2880"/>
            <w:shd w:fill="FFFFFF"/>
          </w:tcPr>
          <w:p>
            <w:pPr>
              <w:spacing w:after="40"/>
            </w:pPr>
            <w:r>
              <w:rPr>
                <w:sz w:val="16"/>
              </w:rPr>
              <w:t>• Single Point of Failure (SPOF)</w:t>
              <w:br/>
              <w:t>• Scalability bottleneck under surge</w:t>
              <w:br/>
              <w:t>• Network partition locks clients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C2340"/>
          <w:sz w:val="23"/>
        </w:rPr>
        <w:t>2. Assigned Scenario (Problem Statement #48): Incident Escalation Engine</w:t>
      </w:r>
    </w:p>
    <w:p>
      <w:r>
        <w:rPr>
          <w:b/>
        </w:rPr>
        <w:t xml:space="preserve">Architecture Selection Statement: </w:t>
      </w:r>
      <w:r>
        <w:rPr>
          <w:i/>
          <w:color w:val="1E5180"/>
        </w:rPr>
        <w:t>"We chose an Event-Driven Microservices Architecture for the Incident Escalation &amp; On-Call Rotation Engine."</w:t>
      </w:r>
    </w:p>
    <w:p>
      <w:pPr>
        <w:pStyle w:val="Heading2"/>
      </w:pPr>
      <w:r>
        <w:t>Technical Justification</w:t>
      </w:r>
    </w:p>
    <w:p>
      <w:r>
        <w:rPr>
          <w:b/>
        </w:rPr>
        <w:t xml:space="preserve">• Architectural Choice: </w:t>
      </w:r>
      <w:r>
        <w:t>Event-Driven Microservices Architecture comprising 6 autonomous containerized services communicating asynchronously via gRPC and event message streams, backed by PostgreSQL and Redis.</w:t>
        <w:br/>
      </w:r>
      <w:r>
        <w:rPr>
          <w:b/>
        </w:rPr>
        <w:t xml:space="preserve">• Reason 1 (Fault Isolation): </w:t>
      </w:r>
      <w:r>
        <w:t>In P1 production incidents, observability systems flood alerts (&gt;= 500/sec). Decoupling Notification Service prevents telecom carrier rate limits (Twilio Voice/SMS) from stalling the Ingestion Gateway or freezing SLA timers.</w:t>
        <w:br/>
      </w:r>
      <w:r>
        <w:rPr>
          <w:b/>
        </w:rPr>
        <w:t xml:space="preserve">• Reason 2 (Targeted Autoscaling): </w:t>
      </w:r>
      <w:r>
        <w:t>Alert ingestion experiences volatile bursts, while rotation schedule administration is low-frequency and read-heavy. Microservices permit autoscaling solely Ingestion and Notification pods to meet the &lt; 3s dispatch SLA (NFR-001).</w:t>
        <w:br/>
      </w:r>
      <w:r>
        <w:rPr>
          <w:b/>
        </w:rPr>
        <w:t xml:space="preserve">• Security Advantage: </w:t>
      </w:r>
      <w:r>
        <w:t>Zero-Trust DMZ perimeter enforces HMAC-SHA256 signature verification. Inter-service links use mutual TLS (mTLS). Sensitive engineer contact details are restricted to Notification Service with AES-256 field encryption (NFR-002).</w:t>
        <w:br/>
      </w:r>
      <w:r>
        <w:rPr>
          <w:b/>
        </w:rPr>
        <w:t xml:space="preserve">• Performance Benefit: </w:t>
      </w:r>
      <w:r>
        <w:t>Ingress webhooks acknowledge within &lt; 100ms. Decoupled asynchronous workers dispatch multi-channel alerts (phone, SMS, email) concurrently within 3 seconds under peak load.</w:t>
        <w:br/>
      </w:r>
    </w:p>
    <w:p>
      <w:pPr>
        <w:pStyle w:val="Heading2"/>
      </w:pPr>
      <w:r>
        <w:t>UML Component Diagram — Problem Statement #48</w:t>
      </w:r>
    </w:p>
    <w:p>
      <w:r>
        <w:drawing>
          <wp:inline xmlns:a="http://schemas.openxmlformats.org/drawingml/2006/main" xmlns:pic="http://schemas.openxmlformats.org/drawingml/2006/picture">
            <wp:extent cx="6400800" cy="3250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_Statement_48_Componen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50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0C2340"/>
          <w:sz w:val="23"/>
        </w:rPr>
        <w:t>3. Handout Scenario: Self-Service Coffee Kiosk System</w:t>
      </w:r>
    </w:p>
    <w:p>
      <w:r>
        <w:rPr>
          <w:b/>
        </w:rPr>
        <w:t xml:space="preserve">Architecture Selection Statement: </w:t>
      </w:r>
      <w:r>
        <w:rPr>
          <w:i/>
          <w:color w:val="E65100"/>
        </w:rPr>
        <w:t>"We chose a Layered Component-Based Architecture for the Self-Service Coffee Kiosk System."</w:t>
      </w:r>
    </w:p>
    <w:p>
      <w:pPr>
        <w:pStyle w:val="Heading2"/>
      </w:pPr>
      <w:r>
        <w:t>Technical Justification</w:t>
      </w:r>
    </w:p>
    <w:p>
      <w:r>
        <w:rPr>
          <w:b/>
        </w:rPr>
        <w:t xml:space="preserve">• Architectural Choice: </w:t>
      </w:r>
      <w:r>
        <w:t>Layered Component-Based Architecture partitioned into Presentation (Touchscreen UI), Business Logic (Order Manager &amp; Menu Catalog), and Hardware Integration (Payment Service &amp; Printer Controller) hosted on kiosk hardware.</w:t>
        <w:br/>
      </w:r>
      <w:r>
        <w:rPr>
          <w:b/>
        </w:rPr>
        <w:t xml:space="preserve">• Reason 1 (Hardware-Software Locality): </w:t>
      </w:r>
      <w:r>
        <w:t>The kiosk is an integrated terminal connected to local hardware (touchscreen, EMV card reader, thermal receipt printer). Layered architecture handles low-level USB/Serial IO directly without network dependency.</w:t>
        <w:br/>
      </w:r>
      <w:r>
        <w:rPr>
          <w:b/>
        </w:rPr>
        <w:t xml:space="preserve">• Reason 2 (Deterministic Sequential Flow): </w:t>
      </w:r>
      <w:r>
        <w:t>Ordering follows an atomic sequential lifecycle: Select Coffee (Espresso/Latte/Americano) -&gt; Select Size (Small/Large) -&gt; Authorize Card -&gt; Print Receipt. The Order Manager coordinates this flow without distributed transaction overhead.</w:t>
        <w:br/>
      </w:r>
      <w:r>
        <w:rPr>
          <w:b/>
        </w:rPr>
        <w:t xml:space="preserve">• Security Advantage: </w:t>
      </w:r>
      <w:r>
        <w:t>PCI-DSS Scope Minimization via Hardware Sandboxing. Payment Service interfaces directly with EMV PIN-pad hardware via encrypted serial IO and talks to bank gateway over TLS 1.3. Card numbers/PINs never enter Order Manager or UI memory space.</w:t>
        <w:br/>
      </w:r>
      <w:r>
        <w:rPr>
          <w:b/>
        </w:rPr>
        <w:t xml:space="preserve">• Performance Benefit: </w:t>
      </w:r>
      <w:r>
        <w:t>Zero-Latency Touch UI &amp; Instant Receipts. Menu and pricing data are cached locally for &lt; 16ms UI responsiveness. The Printer Controller directly streams binary ESC/POS bytecode, dispensing receipts in &lt; 1s after payment authorization.</w:t>
        <w:br/>
      </w:r>
    </w:p>
    <w:p>
      <w:pPr>
        <w:pStyle w:val="Heading2"/>
      </w:pPr>
      <w:r>
        <w:t>UML Component Diagram — Self-Service Coffee Kiosk System</w:t>
      </w:r>
    </w:p>
    <w:p>
      <w:r>
        <w:drawing>
          <wp:inline xmlns:a="http://schemas.openxmlformats.org/drawingml/2006/main" xmlns:pic="http://schemas.openxmlformats.org/drawingml/2006/picture">
            <wp:extent cx="6400800" cy="2738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ffee_Kiosk_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38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