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Consulting Engagement Brief</w:t>
      </w:r>
    </w:p>
    <w:p>
      <w:pPr>
        <w:jc w:val="center"/>
      </w:pPr>
      <w:r>
        <w:rPr>
          <w:b/>
          <w:sz w:val="18"/>
        </w:rPr>
        <w:t>CONFIDENTIAL</w:t>
      </w:r>
    </w:p>
    <w:p/>
    <w:p>
      <w:pPr>
        <w:pStyle w:val="Heading2"/>
      </w:pPr>
      <w:r>
        <w:t>Parties</w:t>
      </w:r>
    </w:p>
    <w:p>
      <w:r>
        <w:t>Client: Aether Technologies Ltd (Company No. 14523678), registered at Unit 12, TechHub Whitechapel, 42 Leman Street, London E1 8EW.</w:t>
      </w:r>
    </w:p>
    <w:p>
      <w:r>
        <w:t>Consultant: Enriched Solutions Ltd (Company No. 13987245), registered at 20 Fenchurch Street, London EC3M 3BY.</w:t>
      </w:r>
    </w:p>
    <w:p>
      <w:pPr>
        <w:pStyle w:val="Heading2"/>
      </w:pPr>
      <w:r>
        <w:t>Scope of Engagement</w:t>
      </w:r>
    </w:p>
    <w:p>
      <w:r>
        <w:t>Enriched Solutions will provide AI strategy and implementation advisory services to Aether Technologies, comprising:</w:t>
      </w:r>
    </w:p>
    <w:p>
      <w:pPr>
        <w:pStyle w:val="ListBullet"/>
      </w:pPr>
      <w:r>
        <w:t>Assessment of current data infrastructure, ML pipelines, and AI readiness across the organisation.</w:t>
      </w:r>
    </w:p>
    <w:p>
      <w:pPr>
        <w:pStyle w:val="ListBullet"/>
      </w:pPr>
      <w:r>
        <w:t>Development of a 12-month AI implementation roadmap aligned to Aether's product strategy and commercial objectives.</w:t>
      </w:r>
    </w:p>
    <w:p>
      <w:pPr>
        <w:pStyle w:val="ListBullet"/>
      </w:pPr>
      <w:r>
        <w:t>Vendor and tooling evaluation for MLOps, data orchestration, and model deployment.</w:t>
      </w:r>
    </w:p>
    <w:p>
      <w:pPr>
        <w:pStyle w:val="ListBullet"/>
      </w:pPr>
      <w:r>
        <w:t>Hands-on advisory during implementation sprints, including architecture review and technical governance.</w:t>
      </w:r>
    </w:p>
    <w:p>
      <w:pPr>
        <w:pStyle w:val="ListBullet"/>
      </w:pPr>
      <w:r>
        <w:t>Monthly progress reporting and executive briefings to the Aether leadership team.</w:t>
      </w:r>
    </w:p>
    <w:p>
      <w:pPr>
        <w:pStyle w:val="Heading2"/>
      </w:pPr>
      <w:r>
        <w:t>Duration</w:t>
      </w:r>
    </w:p>
    <w:p>
      <w:r>
        <w:t>Six (6) months, commencing 1 April 2026 and concluding 30 September 2026. Extension by mutual written agreement only.</w:t>
      </w:r>
    </w:p>
    <w:p>
      <w:pPr>
        <w:pStyle w:val="Heading2"/>
      </w:pPr>
      <w:r>
        <w:t>Fees and Payment</w:t>
      </w:r>
    </w:p>
    <w:p>
      <w:r>
        <w:t>Total fee: £45,000 + VAT, payable in six equal monthly instalments of £7,500 + VAT. Invoices issued on the first business day of each month, payable within 14 days. Late payments attract interest at 4% above Bank of England base rate.</w:t>
      </w:r>
    </w:p>
    <w:p>
      <w:pPr>
        <w:pStyle w:val="Heading2"/>
      </w:pPr>
      <w:r>
        <w:t>Key Personnel</w:t>
      </w:r>
    </w:p>
    <w:p>
      <w:r>
        <w:t>Enriched Solutions will assign a Lead Consultant (Ali Sherazi) as the primary point of contact and engagement lead. Named personnel may not be substituted without prior written approval from Aether Technologies. If the Lead Consultant is unavailable for more than 10 consecutive business days, Aether may terminate this engagement with immediate effect.</w:t>
      </w:r>
    </w:p>
    <w:p>
      <w:pPr>
        <w:pStyle w:val="Heading2"/>
      </w:pPr>
      <w:r>
        <w:t>Special Terms</w:t>
      </w:r>
    </w:p>
    <w:p>
      <w:r>
        <w:rPr>
          <w:b/>
        </w:rPr>
        <w:t xml:space="preserve">Intellectual Property: </w:t>
      </w:r>
      <w:r>
        <w:t>All deliverables produced under this engagement shall be assigned to Aether Technologies upon full payment. Enriched Solutions retains the right to use general methodologies, frameworks, and anonymised learnings in future engagements.</w:t>
      </w:r>
    </w:p>
    <w:p>
      <w:r>
        <w:rPr>
          <w:b/>
        </w:rPr>
        <w:t xml:space="preserve">Data Handling: </w:t>
      </w:r>
      <w:r>
        <w:t>Enriched Solutions will handle all client data in accordance with UK GDPR. No client data shall be stored on personal devices or transferred to third parties without written consent. All data to be returned or securely destroyed within 30 days of engagement completion.</w:t>
      </w:r>
    </w:p>
    <w:p>
      <w:r>
        <w:rPr>
          <w:b/>
        </w:rPr>
        <w:t xml:space="preserve">Confidentiality: </w:t>
      </w:r>
      <w:r>
        <w:t>Both parties agree to maintain strict confidentiality regarding all proprietary information disclosed during this engagement. Obligations survive for 24 months following termination.</w:t>
      </w:r>
    </w:p>
    <w:p>
      <w:pPr>
        <w:pStyle w:val="Heading2"/>
      </w:pPr>
      <w:r>
        <w:t>Primary Contacts</w:t>
      </w:r>
    </w:p>
    <w:p>
      <w:r>
        <w:t>Aether Technologies: Priya Sharma, CTO — priya@aethertech.example.com</w:t>
      </w:r>
    </w:p>
    <w:p>
      <w:r>
        <w:t>Enriched Solutions: Ali Sherazi, Director — ali@enriched.example.com</w:t>
      </w:r>
    </w:p>
    <w:p/>
    <w:p>
      <w:r>
        <w:rPr>
          <w:i/>
          <w:sz w:val="18"/>
        </w:rPr>
        <w:t>This brief is provided for discussion purposes and does not constitute a binding agreement. A formal Professional Services Agreement will be drafted upon mutual acceptance of these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