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2"/>
          <w:szCs w:val="42"/>
        </w:rPr>
      </w:pPr>
      <w:r w:rsidDel="00000000" w:rsidR="00000000" w:rsidRPr="00000000">
        <w:rPr>
          <w:sz w:val="44"/>
          <w:szCs w:val="44"/>
          <w:rtl w:val="0"/>
        </w:rPr>
        <w:t xml:space="preserve">4-7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d1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c1d1f"/>
          <w:sz w:val="42"/>
          <w:szCs w:val="42"/>
          <w:rtl w:val="0"/>
        </w:rPr>
        <w:t xml:space="preserve">アカウントコンセプトを明確化する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k、私の（4-2：自己理解、4-3：ターゲット決定、4-4：悩み仮定、4-5：競合分析、4-6：差別化戦略）を踏まえ、25の質問リスト、ターゲット層、悩み、競合分析、差別化戦略をすべてインプット済みの状態で、Grokを活用してアカウントコンセプトを具体化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。ターゲットに共感と信頼を与えるアカウントコンセプトを完成させて！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