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 Case 2</w:t>
      </w:r>
    </w:p>
    <w:p>
      <w:pPr>
        <w:pBdr>
          <w:bottom w:val="single" w:color="1D1D1B" w:sz="12" w:space="8"/>
        </w:pBdr>
        <w:spacing w:after="280"/>
      </w:pPr>
      <w:r>
        <w:rPr>
          <w:rFonts w:ascii="Arial" w:cs="Arial" w:eastAsia="Arial" w:hAnsi="Arial"/>
          <w:color w:val="55534E"/>
          <w:sz w:val="20"/>
          <w:szCs w:val="20"/>
        </w:rPr>
        <w:t xml:space="preserve">Treasury Loan Diligence Automation · Return on investment · October 2026</w:t>
      </w:r>
    </w:p>
    <w:p>
      <w:pPr>
        <w:spacing w:after="160" w:line="300" w:lineRule="auto"/>
      </w:pPr>
      <w:r>
        <w:rPr>
          <w:rFonts w:ascii="Arial" w:cs="Arial" w:eastAsia="Arial" w:hAnsi="Arial"/>
          <w:b/>
          <w:bCs/>
          <w:color w:val="1F4E8C"/>
          <w:sz w:val="30"/>
          <w:szCs w:val="30"/>
        </w:rPr>
        <w:t xml:space="preserve">About 2,900 staff hours a year back: each document is expected to go from 206 minutes of staff time to 61.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$159k</w:t>
            </w:r>
          </w:p>
          <w:p>
            <w:r>
              <w:rPr>
                <w:rFonts w:ascii="Arial" w:cs="Arial" w:eastAsia="Arial" w:hAnsi="Arial"/>
                <w:color w:val="55534E"/>
                <w:sz w:val="16"/>
                <w:szCs w:val="16"/>
              </w:rPr>
              <w:t xml:space="preserve">net value per year at 100 documents a month</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206 → 61 min</w:t>
            </w:r>
          </w:p>
          <w:p>
            <w:r>
              <w:rPr>
                <w:rFonts w:ascii="Arial" w:cs="Arial" w:eastAsia="Arial" w:hAnsi="Arial"/>
                <w:color w:val="55534E"/>
                <w:sz w:val="16"/>
                <w:szCs w:val="16"/>
              </w:rPr>
              <w:t xml:space="preserve">expected staff time per document, after Use Case 1</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2,900 h</w:t>
            </w:r>
          </w:p>
          <w:p>
            <w:r>
              <w:rPr>
                <w:rFonts w:ascii="Arial" w:cs="Arial" w:eastAsia="Arial" w:hAnsi="Arial"/>
                <w:color w:val="55534E"/>
                <w:sz w:val="16"/>
                <w:szCs w:val="16"/>
              </w:rPr>
              <w:t xml:space="preserve">staff hours freed per year, about 1.6 full-time positions</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$456k</w:t>
            </w:r>
          </w:p>
          <w:p>
            <w:r>
              <w:rPr>
                <w:rFonts w:ascii="Arial" w:cs="Arial" w:eastAsia="Arial" w:hAnsi="Arial"/>
                <w:color w:val="55534E"/>
                <w:sz w:val="16"/>
                <w:szCs w:val="16"/>
              </w:rPr>
              <w:t xml:space="preserve">cumulative net value over two years</w:t>
            </w:r>
          </w:p>
        </w:tc>
      </w:tr>
    </w:tbl>
    <w:p>
      <w:pPr>
        <w:spacing w:after="80"/>
      </w:pPr>
    </w:p>
    <w:p>
      <w:pPr>
        <w:keepNext/>
        <w:spacing w:after="80" w:before="120"/>
      </w:pPr>
      <w:r>
        <w:rPr>
          <w:rFonts w:ascii="Arial" w:cs="Arial" w:eastAsia="Arial" w:hAnsi="Arial"/>
          <w:b/>
          <w:bCs/>
          <w:color w:val="1D1D1B"/>
          <w:sz w:val="19"/>
          <w:szCs w:val="19"/>
        </w:rPr>
        <w:t xml:space="preserve">Staff time per document</w:t>
      </w:r>
    </w:p>
    <w:p>
      <w:pPr>
        <w:keepNext/>
        <w:spacing w:after="0" w:line="240" w:lineRule="auto"/>
      </w:pPr>
      <w:r>
        <w:drawing>
          <wp:inline distT="0" distB="0" distL="0" distR="0">
            <wp:extent cx="5762625" cy="876300"/>
            <wp:effectExtent t="0" r="0" b="0" l="0"/>
            <wp:docPr id="1" name="Staff time per document" descr="Figure 1. Use Case 2 removes about 145 minutes from each document, 70% of the time left once Use Case 1 is running." title="Staff time per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Use Case 2 removes about 145 minutes from each document, 70% of the time left once Use Case 1 is running.</w:t>
      </w:r>
    </w:p>
    <w:p>
      <w:pPr>
        <w:keepNext w:val="false"/>
      </w:pPr>
      <w:r>
        <w:t xml:space="preserve">Use Case 2 automates the rest of the work around the wire instructions: collecting the request and its attachments, checking the settlement statement against the email and the wire, listing exceptions, and preparing the triage workbook, CashPro file and BCMP values. It builds on Use Case 1, which already reads the wire instructions. It is not built yet, so these figures are estimates to be confirmed in the pilot.</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freed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2,900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Full-time equivalents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$159,500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$158,900</w:t>
            </w:r>
          </w:p>
        </w:tc>
      </w:tr>
    </w:tbl>
    <w:p>
      <w:pPr>
        <w:spacing w:after="120"/>
      </w:pPr>
    </w:p>
    <w:p>
      <w:pPr>
        <w:keepNext/>
        <w:spacing w:after="80" w:before="120"/>
      </w:pPr>
      <w:r>
        <w:rPr>
          <w:rFonts w:ascii="Arial" w:cs="Arial" w:eastAsia="Arial" w:hAnsi="Arial"/>
          <w:b/>
          <w:bCs/>
          <w:color w:val="1D1D1B"/>
          <w:sz w:val="19"/>
          <w:szCs w:val="19"/>
        </w:rPr>
        <w:t xml:space="preserve">Cumulative net value of Use Case 2 over two years</w:t>
      </w:r>
    </w:p>
    <w:p>
      <w:pPr>
        <w:keepNext/>
        <w:spacing w:after="0" w:line="240" w:lineRule="auto"/>
      </w:pPr>
      <w:r>
        <w:drawing>
          <wp:inline distT="0" distB="0" distL="0" distR="0">
            <wp:extent cx="5762625" cy="1485900"/>
            <wp:effectExtent t="0" r="0" b="0" l="0"/>
            <wp:docPr id="1" name="Cumulative net value of Use Case 2 over two years" descr="Figure 2. Volume starts at about 100 documents a month and grows 3% a month. With no growth the two-year figure is about $318k. Build cost is not included." title="Cumulative net value of Use Case 2 over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Volume starts at about 100 documents a month and grows 3% a month. With no growth the two-year figure is about $318k. Build cost is not included.</w:t>
      </w:r>
    </w:p>
    <w:p>
      <w:pPr>
        <w:pStyle w:val="Heading1"/>
      </w:pPr>
      <w:r>
        <w:t xml:space="preserve">Where the time comes from</w:t>
      </w:r>
    </w:p>
    <w:p>
      <w:pPr>
        <w:keepNext/>
        <w:spacing w:after="80" w:before="120"/>
      </w:pPr>
      <w:r>
        <w:rPr>
          <w:rFonts w:ascii="Arial" w:cs="Arial" w:eastAsia="Arial" w:hAnsi="Arial"/>
          <w:b/>
          <w:bCs/>
          <w:color w:val="1D1D1B"/>
          <w:sz w:val="19"/>
          <w:szCs w:val="19"/>
        </w:rPr>
        <w:t xml:space="preserve">Minutes per document, by task</w:t>
      </w:r>
    </w:p>
    <w:p>
      <w:pPr>
        <w:keepNext/>
        <w:spacing w:after="0" w:line="240" w:lineRule="auto"/>
      </w:pPr>
      <w:r>
        <w:drawing>
          <wp:inline distT="0" distB="0" distL="0" distR="0">
            <wp:extent cx="5762625" cy="1485900"/>
            <wp:effectExtent t="0" r="0" b="0" l="0"/>
            <wp:docPr id="1" name="Minutes per document, by task" descr="Figure 3. The largest reduction is in cross-document checks. Exceptions keep the most manual time, because call-backs to verify masked or changed wire details stay with a person." title="Minutes per document, by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3.</w:t>
      </w:r>
      <w:r>
        <w:rPr>
          <w:rFonts w:ascii="Arial" w:cs="Arial" w:eastAsia="Arial" w:hAnsi="Arial"/>
          <w:color w:val="55534E"/>
          <w:sz w:val="17"/>
          <w:szCs w:val="17"/>
        </w:rPr>
        <w:t xml:space="preserve"> The largest reduction is in cross-document checks. Exceptions keep the most manual time, because call-backs to verify masked or changed wire details stay with a person.</w:t>
      </w:r>
    </w:p>
    <w:p>
      <w:pPr>
        <w:pStyle w:val="Heading1"/>
      </w:pPr>
      <w:r>
        <w:t xml:space="preserve">What Use Case 2 adds</w:t>
      </w:r>
    </w:p>
    <w:p>
      <w:pPr>
        <w:pStyle w:val="ListParagraph"/>
        <w:numPr>
          <w:ilvl w:val="0"/>
          <w:numId w:val="2"/>
        </w:numPr>
        <w:spacing w:after="60"/>
      </w:pPr>
      <w:r>
        <w:t xml:space="preserve">Automatic checks between the internal settlement statement, the request email and the wire instructions: amounts, fees, fund, dates, routing number format and masked accounts.</w:t>
      </w:r>
    </w:p>
    <w:p>
      <w:pPr>
        <w:pStyle w:val="ListParagraph"/>
        <w:numPr>
          <w:ilvl w:val="0"/>
          <w:numId w:val="2"/>
        </w:numPr>
        <w:spacing w:after="60"/>
      </w:pPr>
      <w:r>
        <w:t xml:space="preserve">The triage workbook, the BOA CashPro import file and the BCMP values, ready for review.</w:t>
      </w:r>
    </w:p>
    <w:p>
      <w:pPr>
        <w:pStyle w:val="ListParagraph"/>
        <w:numPr>
          <w:ilvl w:val="0"/>
          <w:numId w:val="2"/>
        </w:numPr>
        <w:spacing w:after="60"/>
      </w:pPr>
      <w:r>
        <w:t xml:space="preserve">A list of exceptions for Accounting, each with the reason it was raised.</w:t>
      </w:r>
    </w:p>
    <w:p>
      <w:pPr>
        <w:pStyle w:val="ListParagraph"/>
        <w:numPr>
          <w:ilvl w:val="0"/>
          <w:numId w:val="2"/>
        </w:numPr>
        <w:spacing w:after="60"/>
      </w:pPr>
      <w:r>
        <w:t xml:space="preserve">Request emails and attachments collected into a standard SharePoint folder for each loan.</w:t>
      </w:r>
    </w:p>
    <w:p>
      <w:pPr>
        <w:keepNext w:val="false"/>
      </w:pPr>
      <w:r>
        <w:t xml:space="preserve">Accounting keeps the controls it has today: review of the source documents and outputs, resolution of flagged values, CashPro and ProMerit entry, second-person approval and final release. The system prepares payments. It does not send them.</w:t>
      </w:r>
    </w:p>
    <w:p>
      <w:pPr>
        <w:keepNext/>
      </w:pPr>
      <w:r>
        <w:t xml:space="preserve">The build cost is not set yet. The table shows how much Use Case 2 could cost to build and still pay for itself from its net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r>
    </w:tbl>
    <w:p>
      <w:pPr>
        <w:spacing w:after="120"/>
      </w:pPr>
    </w:p>
    <w:p>
      <w:pPr>
        <w:keepNext/>
      </w:pPr>
      <w:r>
        <w:t xml:space="preserve">The saving depends mainly on volume and on how much review work is left once each step is automated. Net value per year: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Documents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Half the estimated review work</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As estimated</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50% more review work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50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$94k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$64k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$129k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200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$258k</w:t>
            </w:r>
          </w:p>
        </w:tc>
      </w:tr>
    </w:tbl>
    <w:p>
      <w:pPr>
        <w:spacing w:after="120"/>
      </w:pPr>
    </w:p>
    <w:p>
      <w:pPr>
        <w:pStyle w:val="Heading1"/>
      </w:pPr>
      <w:r>
        <w:t xml:space="preserve">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reading of the settlement statement and email, per document</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$0.0134</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 at 100 documents a month</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Additional hosting: mailbox and SharePoint automation, storage</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$600 a year</w:t>
            </w:r>
          </w:p>
        </w:tc>
      </w:tr>
    </w:tbl>
    <w:p>
      <w:pPr>
        <w:spacing w:after="120"/>
      </w:pPr>
    </w:p>
    <w:p>
      <w:pPr>
        <w:keepNext w:val="false"/>
      </w:pPr>
      <w:r>
        <w:rPr>
          <w:color w:val="55534E"/>
          <w:sz w:val="18"/>
          <w:szCs w:val="18"/>
        </w:rPr>
        <w:t xml:space="preserve">Priced at the same Azure rates as Use Case 1, assuming about 4 pages per document for the settlement statement and email. Use Case 2 runs on the Azure services Use Case 1 already pays for, so only the additional hosting is counted here.</w:t>
      </w:r>
    </w:p>
    <w:p>
      <w:pPr>
        <w:pStyle w:val="Heading1"/>
      </w:pPr>
      <w:r>
        <w:t xml:space="preserve">Basis of the figures</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four hours of staff time per document today, and about 100 loans a month (from the Treasury loan volume).</w:t>
      </w:r>
    </w:p>
    <w:p>
      <w:pPr>
        <w:pStyle w:val="ListParagraph"/>
        <w:numPr>
          <w:ilvl w:val="0"/>
          <w:numId w:val="2"/>
        </w:numPr>
        <w:spacing w:after="60"/>
      </w:pPr>
      <w:r>
        <w:rPr>
          <w:b/>
          <w:bCs/>
          <w:color w:val="55534E"/>
          <w:sz w:val="18"/>
          <w:szCs w:val="18"/>
        </w:rPr>
        <w:t xml:space="preserve">Estimated:</w:t>
      </w:r>
      <w:r>
        <w:rPr>
          <w:color w:val="55534E"/>
          <w:sz w:val="18"/>
          <w:szCs w:val="18"/>
        </w:rPr>
        <w:t xml:space="preserve"> how the four hours divide across tasks; the share of each task that remains with a person once it is automated (intake 10%, cross-document checks 25%, exceptions 60%, output files 15%); a loaded staff cost of $55 an hour; 3% monthly growth; AI pages per document and hosting cost.</w:t>
      </w:r>
    </w:p>
    <w:p>
      <w:pPr>
        <w:pStyle w:val="ListParagraph"/>
        <w:numPr>
          <w:ilvl w:val="0"/>
          <w:numId w:val="2"/>
        </w:numPr>
        <w:spacing w:after="60"/>
      </w:pPr>
      <w:r>
        <w:rPr>
          <w:b/>
          <w:bCs/>
          <w:color w:val="55534E"/>
          <w:sz w:val="18"/>
          <w:szCs w:val="18"/>
        </w:rPr>
        <w:t xml:space="preserve">Not yet tested:</w:t>
      </w:r>
      <w:r>
        <w:rPr>
          <w:color w:val="55534E"/>
          <w:sz w:val="18"/>
          <w:szCs w:val="18"/>
        </w:rPr>
        <w:t xml:space="preserve"> the cross-document checks and exception rules. Their accuracy, and the time they save, will be measured in the pilot alongside the current process.</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the cost of building Use Case 2, and the avoided cost of a misdirected wire. Staff hours freed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Use Case 2 – Treasury Loan Diligence Automation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1a67873b601d11823bb0611ff40a09db181eab.png"/><Relationship Id="rId9" Type="http://schemas.openxmlformats.org/officeDocument/2006/relationships/image" Target="media/cac5893c5d392293fe95165bf05bd79005004d99.png"/><Relationship Id="rId10" Type="http://schemas.openxmlformats.org/officeDocument/2006/relationships/image" Target="media/9c980dc1a062c95d9b10b91a9ad6e3cfffc51a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2 – Treasury Loan Diligence Automation</dc:title>
  <dc:creator>Initial Funding Automation</dc:creator>
  <cp:lastModifiedBy>Un-named</cp:lastModifiedBy>
  <cp:revision>1</cp:revision>
  <dcterms:created xsi:type="dcterms:W3CDTF">2026-10-09T17:09:59.401Z</dcterms:created>
  <dcterms:modified xsi:type="dcterms:W3CDTF">2026-10-09T17:09:59.401Z</dcterms:modified>
</cp:coreProperties>
</file>

<file path=docProps/custom.xml><?xml version="1.0" encoding="utf-8"?>
<Properties xmlns="http://schemas.openxmlformats.org/officeDocument/2006/custom-properties" xmlns:vt="http://schemas.openxmlformats.org/officeDocument/2006/docPropsVTypes"/>
</file>