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3: Directives &amp; Pipes - Built-in and Custom</w:t>
      </w:r>
    </w:p>
    <w:p>
      <w:pPr>
        <w:spacing w:after="200"/>
      </w:pPr>
      <w:r>
        <w:t xml:space="preserve">Goal: use built-in structural/attribute directives and pipes, then build one custom directive and one custom pipe.</w:t>
      </w:r>
    </w:p>
    <w:p>
      <w:pPr>
        <w:pStyle w:val="Heading2"/>
        <w:spacing w:after="120" w:before="300"/>
      </w:pPr>
      <w:r>
        <w:t xml:space="preserve">Task 1: Structural Directives (*ngIf, *ngFor) in CourseListComponent</w:t>
      </w:r>
    </w:p>
    <w:p>
      <w:pPr>
        <w:spacing w:after="120"/>
      </w:pPr>
      <w:r>
        <w:t xml:space="preserve">*ngIf shows a loading message while courses are being fetched, and an empty-state message when the list is empty.</w:t>
      </w:r>
    </w:p>
    <w:p>
      <w:pPr>
        <w:spacing w:after="120"/>
      </w:pPr>
      <w:r>
        <w:t xml:space="preserve">*ngFor renders one &lt;app-course-card&gt; per course in the grid.</w:t>
      </w:r>
    </w:p>
    <w:p>
      <w:pPr>
        <w:jc w:val="center"/>
      </w:pPr>
      <w:r>
        <w:drawing>
          <wp:inline distT="0" distB="0" distL="0" distR="0">
            <wp:extent cx="5334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course-list.component.ts</w:t>
      </w:r>
    </w:p>
    <w:p>
      <w:pPr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course-list.component.html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Course grid rendered with *ngFor, loading/empty state handled by *ngIf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2: Attribute Directives (ngClass, ngStyle) in CourseCardComponent</w:t>
      </w:r>
    </w:p>
    <w:p>
      <w:pPr>
        <w:spacing w:after="120"/>
      </w:pPr>
      <w:r>
        <w:t xml:space="preserve">[ngClass] toggles the card--enrolled class based on isEnrolled.</w:t>
      </w:r>
    </w:p>
    <w:p>
      <w:pPr>
        <w:spacing w:after="120"/>
      </w:pPr>
      <w:r>
        <w:t xml:space="preserve">[ngStyle] sets a dynamic border colour based on the grade, since that value cannot be expressed as a static class.</w:t>
      </w:r>
    </w:p>
    <w:p>
      <w:pPr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course-card.component.html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[ngClass] applies card--enrolled (light green background) once a course is enrolled</w:t>
      </w:r>
    </w:p>
    <w:p>
      <w:pPr>
        <w:jc w:val="center"/>
      </w:pPr>
      <w:r>
        <w:drawing>
          <wp:inline distT="0" distB="0" distL="0" distR="0">
            <wp:extent cx="5029200" cy="2318146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Custom Directive and Custom Pipe</w:t>
      </w:r>
    </w:p>
    <w:p>
      <w:pPr>
        <w:spacing w:after="120"/>
      </w:pPr>
      <w:r>
        <w:t xml:space="preserve">HighlightDirective (ng generate directive directives/highlight) adds a yellow background on mouseenter and removes it on mouseleave using @HostListener.</w:t>
      </w:r>
    </w:p>
    <w:p>
      <w:pPr>
        <w:spacing w:after="120"/>
      </w:pPr>
      <w:r>
        <w:t xml:space="preserve">GradePipe (PipeTransform) converts a numeric score (0-100) into a letter grade, e.g. {{ 87 | grade }} -&gt; "B".</w:t>
      </w:r>
    </w:p>
    <w:p>
      <w:pPr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highlight.directive.ts</w:t>
      </w:r>
    </w:p>
    <w:p>
      <w:pPr>
        <w:jc w:val="center"/>
      </w:pPr>
      <w:r>
        <w:drawing>
          <wp:inline distT="0" distB="0" distL="0" distR="0">
            <wp:extent cx="5334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grade.pipe.ts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HighlightDirective applies a yellow background on mouseenter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b275eaec4329f3c21e8b1a01884b60080cbeb9.png"/><Relationship Id="rId8" Type="http://schemas.openxmlformats.org/officeDocument/2006/relationships/image" Target="media/8ea56526823d15eb523834645e10d90fbfc92276.png"/><Relationship Id="rId9" Type="http://schemas.openxmlformats.org/officeDocument/2006/relationships/image" Target="media/e35663c211343d7b006baa425f0bd691a1acd9b3.png"/><Relationship Id="rId10" Type="http://schemas.openxmlformats.org/officeDocument/2006/relationships/image" Target="media/447d931e3038c015952e902cf80cf10e4783f231.png"/><Relationship Id="rId11" Type="http://schemas.openxmlformats.org/officeDocument/2006/relationships/image" Target="media/e23a6181232810173088758b318d641d7d6477ee.png"/><Relationship Id="rId12" Type="http://schemas.openxmlformats.org/officeDocument/2006/relationships/fontTable" Target="fontTable.xml"/><Relationship Id="rId13" Type="http://schemas.openxmlformats.org/officeDocument/2006/relationships/image" Target="media/output_6.png"/><Relationship Id="rId14" Type="http://schemas.openxmlformats.org/officeDocument/2006/relationships/image" Target="media/output_7.png"/><Relationship Id="rId15" Type="http://schemas.openxmlformats.org/officeDocument/2006/relationships/image" Target="media/output_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2026-07-25T16:04:38.422Z</dcterms:created>
  <dcterms:modified xsi:type="dcterms:W3CDTF">2026-07-25T16:04:38.422Z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