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Digital Nurture 5.0 | Angular (v20.0) | Hands-On Exercise Book</w:t>
      </w:r>
      <w:r>
        <w:rPr>
          <w:color w:val="888888"/>
          <w:sz w:val="18"/>
          <w:szCs w:val="18"/>
        </w:rPr>
        <w:t xml:space="preserve">Digital Nurture 5.0 | Angular (v20.0) | Hands-On Exercise Book</w:t>
      </w:r>
    </w:p>
    <w:p>
      <w:pPr>
        <w:pStyle w:val="Heading1"/>
        <w:spacing w:after="160"/>
      </w:pPr>
      <w:r>
        <w:t xml:space="preserve">Hands-On 6: Services &amp; Dependency Injection</w:t>
      </w:r>
    </w:p>
    <w:p>
      <w:pPr>
        <w:spacing w:after="200"/>
      </w:pPr>
      <w:r>
        <w:t xml:space="preserve">Goal: centralise shared logic/data in Angular services, understand providedIn: root vs component-level providers, and use a service as a shared state store.</w:t>
      </w:r>
    </w:p>
    <w:p>
      <w:pPr>
        <w:pStyle w:val="Heading2"/>
        <w:spacing w:after="120" w:before="300"/>
      </w:pPr>
      <w:r>
        <w:t xml:space="preserve">Task 1: CourseService - Root-Provided Singleton</w:t>
      </w:r>
    </w:p>
    <w:p>
      <w:pPr>
        <w:spacing w:after="120"/>
      </w:pPr>
      <w:r>
        <w:t xml:space="preserve">@Injectable({ providedIn: "root" }) means every component that injects CourseService shares the same singleton instance.</w:t>
      </w:r>
    </w:p>
    <w:p>
      <w:pPr>
        <w:jc w:val="center"/>
      </w:pPr>
      <w:r>
        <w:drawing>
          <wp:inline distT="0" distB="0" distL="0" distR="0">
            <wp:extent cx="533400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course.service.ts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Courses loaded from the singleton CourseService</w:t>
      </w:r>
    </w:p>
    <w:p>
      <w:pPr>
        <w:jc w:val="center"/>
      </w:pPr>
      <w:r>
        <w:drawing>
          <wp:inline distT="0" distB="0" distL="0" distR="0">
            <wp:extent cx="5029200" cy="2015609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2: EnrollmentService - Shared State Store</w:t>
      </w:r>
    </w:p>
    <w:p>
      <w:pPr>
        <w:spacing w:after="120"/>
      </w:pPr>
      <w:r>
        <w:t xml:space="preserve">A BehaviorSubject of enrolled course IDs lets CourseCardComponent (writer) and StudentProfileComponent (reader) stay in sync without passing data through inputs.</w:t>
      </w:r>
    </w:p>
    <w:p>
      <w:pPr>
        <w:jc w:val="center"/>
      </w:pPr>
      <w:r>
        <w:drawing>
          <wp:inline distT="0" distB="0" distL="0" distR="0">
            <wp:extent cx="533400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enrollment.service.ts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Profile page reflects the enrolled course written by CourseCardComponent through the shared EnrollmentService</w:t>
      </w:r>
    </w:p>
    <w:p>
      <w:pPr>
        <w:jc w:val="center"/>
      </w:pPr>
      <w:r>
        <w:drawing>
          <wp:inline distT="0" distB="0" distL="0" distR="0">
            <wp:extent cx="5029200" cy="1166931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3: NotificationService - Component-Level Provider</w:t>
      </w:r>
    </w:p>
    <w:p>
      <w:pPr>
        <w:spacing w:after="120"/>
      </w:pPr>
      <w:r>
        <w:t xml:space="preserve">NotificationService is deliberately NOT providedIn: "root". NotificationComponent provides it locally (providers: [NotificationService]), so each instance gets its own isolated copy of messages.</w:t>
      </w:r>
    </w:p>
    <w:p>
      <w:pPr>
        <w:jc w:val="center"/>
      </w:pPr>
      <w:r>
        <w:drawing>
          <wp:inline distT="0" distB="0" distL="0" distR="0">
            <wp:extent cx="5334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notification.service.ts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Component-level NotificationService message displayed on the Profile page</w:t>
      </w:r>
    </w:p>
    <w:p>
      <w:pPr>
        <w:jc w:val="center"/>
      </w:pPr>
      <w:r>
        <w:drawing>
          <wp:inline distT="0" distB="0" distL="0" distR="0">
            <wp:extent cx="5029200" cy="1166931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c74fde5157f8783b8a192a4b2bbc1cb5197a81.png"/><Relationship Id="rId8" Type="http://schemas.openxmlformats.org/officeDocument/2006/relationships/image" Target="media/11d222a8c7e63bbadb51ac6dfe156ea5f94e135b.png"/><Relationship Id="rId9" Type="http://schemas.openxmlformats.org/officeDocument/2006/relationships/image" Target="media/38881d1b51887a23c6c8e23c145e2fbf411d1f83.png"/><Relationship Id="rId10" Type="http://schemas.openxmlformats.org/officeDocument/2006/relationships/fontTable" Target="fontTable.xml"/><Relationship Id="rId11" Type="http://schemas.openxmlformats.org/officeDocument/2006/relationships/image" Target="media/output_4.png"/><Relationship Id="rId12" Type="http://schemas.openxmlformats.org/officeDocument/2006/relationships/image" Target="media/output_5.png"/><Relationship Id="rId13" Type="http://schemas.openxmlformats.org/officeDocument/2006/relationships/image" Target="media/output_6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2026-07-25T16:04:38.802Z</dcterms:created>
  <dcterms:modified xsi:type="dcterms:W3CDTF">2026-07-25T16:04:38.802Z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