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Digital Nurture 5.0 | Angular (v20.0) | Hands-On Exercise Book</w:t>
      </w:r>
      <w:r>
        <w:rPr>
          <w:color w:val="888888"/>
          <w:sz w:val="18"/>
          <w:szCs w:val="18"/>
        </w:rPr>
        <w:t xml:space="preserve">Digital Nurture 5.0 | Angular (v20.0) | Hands-On Exercise Book</w:t>
      </w:r>
    </w:p>
    <w:p>
      <w:pPr>
        <w:pStyle w:val="Heading1"/>
        <w:spacing w:after="160"/>
      </w:pPr>
      <w:r>
        <w:t xml:space="preserve">Hands-On 7: Angular Routing - Guards, Lazy Loading &amp; Route Data</w:t>
      </w:r>
    </w:p>
    <w:p>
      <w:pPr>
        <w:spacing w:after="200"/>
      </w:pPr>
      <w:r>
        <w:t xml:space="preserve">Goal: configure all portal routes, lazy-load the enrollment feature, and protect routes with CanActivate / CanDeactivate guards.</w:t>
      </w:r>
    </w:p>
    <w:p>
      <w:pPr>
        <w:pStyle w:val="Heading2"/>
        <w:spacing w:after="120" w:before="300"/>
      </w:pPr>
      <w:r>
        <w:t xml:space="preserve">Task 1: Route Configuration and Lazy Loading</w:t>
      </w:r>
    </w:p>
    <w:p>
      <w:pPr>
        <w:spacing w:after="120"/>
      </w:pPr>
      <w:r>
        <w:t xml:space="preserve">Routes are defined with loadComponent() for standalone lazy loading - the /enroll chunk is only downloaded when the user navigates there.</w:t>
      </w:r>
    </w:p>
    <w:p>
      <w:pPr>
        <w:spacing w:after="120"/>
      </w:pPr>
      <w:r>
        <w:t xml:space="preserve">Unknown paths fall back to Home via a wildcard route.</w:t>
      </w:r>
    </w:p>
    <w:p>
      <w:pPr>
        <w:jc w:val="center"/>
      </w:pPr>
      <w:r>
        <w:drawing>
          <wp:inline distT="0" distB="0" distL="0" distR="0">
            <wp:extent cx="53340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app.routes.ts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Home route ('/')</w:t>
      </w:r>
    </w:p>
    <w:p>
      <w:pPr>
        <w:jc w:val="center"/>
      </w:pPr>
      <w:r>
        <w:drawing>
          <wp:inline distT="0" distB="0" distL="0" distR="0">
            <wp:extent cx="5029200" cy="1551979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5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Task 2: CanActivate Guard (authGuard)</w:t>
      </w:r>
    </w:p>
    <w:p>
      <w:pPr>
        <w:spacing w:after="120"/>
      </w:pPr>
      <w:r>
        <w:t xml:space="preserve">authGuard checks AuthService.isLoggedIn (hardcoded true for now); if false it redirects to "/" and blocks navigation. Applied to /profile and /enroll.</w:t>
      </w:r>
    </w:p>
    <w:p>
      <w:pPr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auth.guard.ts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/profile route, accessible because authGuard sees AuthService.isLoggedIn = true</w:t>
      </w:r>
    </w:p>
    <w:p>
      <w:pPr>
        <w:jc w:val="center"/>
      </w:pPr>
      <w:r>
        <w:drawing>
          <wp:inline distT="0" distB="0" distL="0" distR="0">
            <wp:extent cx="5029200" cy="1166931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1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Task 3: CanDeactivate Guard (unsavedChangesGuard)</w:t>
      </w:r>
    </w:p>
    <w:p>
      <w:pPr>
        <w:spacing w:after="120"/>
      </w:pPr>
      <w:r>
        <w:t xml:space="preserve">If the reactive enrollment form is dirty, window.confirm() asks the user before letting them navigate away, preventing accidental data loss.</w:t>
      </w:r>
    </w:p>
    <w:p>
      <w:pPr>
        <w:jc w:val="center"/>
      </w:pPr>
      <w:r>
        <w:drawing>
          <wp:inline distT="0" distB="0" distL="0" distR="0">
            <wp:extent cx="5334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unsaved-changes.guard.ts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/enroll route, lazy-loaded only when navigated to</w:t>
      </w:r>
    </w:p>
    <w:p>
      <w:pPr>
        <w:jc w:val="center"/>
      </w:pPr>
      <w:r>
        <w:drawing>
          <wp:inline distT="0" distB="0" distL="0" distR="0">
            <wp:extent cx="5029200" cy="1732716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3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6874c67c6c6ccc69034ed8dfd9e84b560b67489.png"/><Relationship Id="rId8" Type="http://schemas.openxmlformats.org/officeDocument/2006/relationships/image" Target="media/be24b18f39fd8e38d0abbb12db2af7769f107b40.png"/><Relationship Id="rId9" Type="http://schemas.openxmlformats.org/officeDocument/2006/relationships/image" Target="media/d4c30f1042c9fdad1d826568833b00b10c5e1908.png"/><Relationship Id="rId10" Type="http://schemas.openxmlformats.org/officeDocument/2006/relationships/fontTable" Target="fontTable.xml"/><Relationship Id="rId11" Type="http://schemas.openxmlformats.org/officeDocument/2006/relationships/image" Target="media/output_4.png"/><Relationship Id="rId12" Type="http://schemas.openxmlformats.org/officeDocument/2006/relationships/image" Target="media/output_5.png"/><Relationship Id="rId13" Type="http://schemas.openxmlformats.org/officeDocument/2006/relationships/image" Target="media/output_6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2026-07-25T16:04:38.999Z</dcterms:created>
  <dcterms:modified xsi:type="dcterms:W3CDTF">2026-07-25T16:04:38.999Z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