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Docker-based деплой; GPU: NVIDIA (CUDA)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и настройке под конкретное железо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4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4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4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4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4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0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76" w:name="требования-к-серверному-оборудованию"/>
    <w:p>
      <w:pPr>
        <w:pStyle w:val="Heading3"/>
      </w:pPr>
      <w:r>
        <w:t xml:space="preserve">Требования к серверному оборудованию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зависимость-числа-участников-от-gpu"/>
    <w:p>
      <w:pPr>
        <w:pStyle w:val="Heading3"/>
      </w:pPr>
      <w:r>
        <w:t xml:space="preserve">Зависимость числа участников от GPU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96"/>
        <w:gridCol w:w="1784"/>
        <w:gridCol w:w="2900"/>
        <w:gridCol w:w="1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concurrent переводов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Расчёт:</w:t>
      </w:r>
      <w:r>
        <w:t xml:space="preserve"> </w:t>
      </w:r>
      <w:r>
        <w:t xml:space="preserve">при RTF ~0.6 (SeamlessM4T v2 на A100) и среднем чанке 2s, одна GPU обрабатывает один перевод за ~1.2s. С batch inference (2–4 перевода одновременно) — до 8–10 переводов/с. При 1–2 одновременно говорящих (реалистичный сценарий конференции) одной A100 достаточно для 10 участников с 3 языками.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2026-02-22T21:23:15Z</dcterms:created>
  <dcterms:modified xsi:type="dcterms:W3CDTF">2026-02-22T21:23:15Z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