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2.png" ContentType="image/png"/>
  <Override PartName="/word/media/rId72.png" ContentType="image/png"/>
  <Override PartName="/word/media/rId6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Поддержка трёх аппаратных конфигураций: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</w:t>
      </w:r>
      <w:r>
        <w:t xml:space="preserve"> </w:t>
      </w:r>
      <w:r>
        <w:t xml:space="preserve">(A10/A100):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Apple Mac Studio</w:t>
      </w:r>
      <w:r>
        <w:t xml:space="preserve"> </w:t>
      </w:r>
      <w:r>
        <w:t xml:space="preserve">(M2/M3/M4 Ultra): гибридный деплой — сервисы в Docker Desktop, Translation Agent нативно через PyTorch MPS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 DGX Spark</w:t>
      </w:r>
      <w:r>
        <w:t xml:space="preserve"> </w:t>
      </w:r>
      <w:r>
        <w:t xml:space="preserve">(GB10): Full Docker + NVIDIA Container Toolkit + CUDA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для каждой из трёх аппаратных конфигураций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5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5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5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5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5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3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41" w:name="обзор-архитектуры"/>
    <w:p>
      <w:pPr>
        <w:pStyle w:val="Heading2"/>
      </w:pPr>
      <w:r>
        <w:t xml:space="preserve">5.1 Обзор архитектуры</w:t>
      </w:r>
    </w:p>
    <w:bookmarkStart w:id="39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CaptionedFigure"/>
      </w:pPr>
      <w:r>
        <w:drawing>
          <wp:inline>
            <wp:extent cx="5334000" cy="3690383"/>
            <wp:effectExtent b="0" l="0" r="0" t="0"/>
            <wp:docPr descr="Общая архитектура SyncVoice" title="" id="37" name="Picture"/>
            <a:graphic>
              <a:graphicData uri="http://schemas.openxmlformats.org/drawingml/2006/picture">
                <pic:pic>
                  <pic:nvPicPr>
                    <pic:cNvPr descr="img/syncvoice-arch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архитектура SyncVoice</w:t>
      </w:r>
    </w:p>
    <w:bookmarkEnd w:id="39"/>
    <w:bookmarkStart w:id="40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компоненты-системы"/>
    <w:p>
      <w:pPr>
        <w:pStyle w:val="Heading2"/>
      </w:pPr>
      <w:r>
        <w:t xml:space="preserve">5.2 Компоненты системы</w:t>
      </w:r>
    </w:p>
    <w:bookmarkStart w:id="42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42"/>
    <w:bookmarkStart w:id="43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3"/>
    <w:bookmarkStart w:id="44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4"/>
    <w:bookmarkStart w:id="45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5"/>
    <w:bookmarkStart w:id="46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6"/>
    <w:bookmarkStart w:id="47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7"/>
    <w:bookmarkStart w:id="48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8"/>
    <w:bookmarkStart w:id="49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9"/>
    <w:bookmarkStart w:id="50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оток-данных-data-flow"/>
    <w:p>
      <w:pPr>
        <w:pStyle w:val="Heading2"/>
      </w:pPr>
      <w:r>
        <w:t xml:space="preserve">5.3 Поток данных (Data Flow)</w:t>
      </w:r>
    </w:p>
    <w:bookmarkStart w:id="55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CaptionedFigure"/>
      </w:pPr>
      <w:r>
        <w:drawing>
          <wp:inline>
            <wp:extent cx="5334000" cy="6417468"/>
            <wp:effectExtent b="0" l="0" r="0" t="0"/>
            <wp:docPr descr="Поток данных — цикл перевода" title="" id="53" name="Picture"/>
            <a:graphic>
              <a:graphicData uri="http://schemas.openxmlformats.org/drawingml/2006/picture">
                <pic:pic>
                  <pic:nvPicPr>
                    <pic:cNvPr descr="img/syncvoice-data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Поток данных — цикл перевода</w:t>
      </w:r>
    </w:p>
    <w:p>
      <w:pPr>
        <w:pStyle w:val="BodyText"/>
      </w:pPr>
      <w:r>
        <w:rPr>
          <w:bCs/>
          <w:b/>
        </w:rPr>
        <w:t xml:space="preserve">ИТОГО end-to-end latency (p95): ≤2 секунды</w:t>
      </w:r>
      <w:r>
        <w:t xml:space="preserve"> </w:t>
      </w:r>
      <w:r>
        <w:t xml:space="preserve">= ~100ms (сеть) + ~500-1500ms (VAD/chunk) + ~500-800ms (модель, A100) + ~100ms (сеть)</w:t>
      </w:r>
    </w:p>
    <w:bookmarkEnd w:id="55"/>
    <w:bookmarkStart w:id="56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BodyText"/>
      </w:pPr>
      <w:r>
        <w:rPr>
          <w:bCs/>
          <w:b/>
        </w:rPr>
        <w:t xml:space="preserve">Audio → ASR → текст (source) → NMT → текст (target) → GlossaryAI → TTS → audio</w:t>
      </w:r>
    </w:p>
    <w:p>
      <w:pPr>
        <w:pStyle w:val="BodyText"/>
      </w:pPr>
      <w:r>
        <w:t xml:space="preserve">GlossaryAI выполняет: поиск по словарю, замену терминов, правила «не переводить», фонетические транскрипции.</w:t>
      </w:r>
    </w:p>
    <w:p>
      <w:pPr>
        <w:pStyle w:val="BodyText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61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CaptionedFigure"/>
      </w:pPr>
      <w:r>
        <w:drawing>
          <wp:inline>
            <wp:extent cx="5334000" cy="2869556"/>
            <wp:effectExtent b="0" l="0" r="0" t="0"/>
            <wp:docPr descr="Маршрутизация потоков N x M" title="" id="59" name="Picture"/>
            <a:graphic>
              <a:graphicData uri="http://schemas.openxmlformats.org/drawingml/2006/picture">
                <pic:pic>
                  <pic:nvPicPr>
                    <pic:cNvPr descr="img/syncvoice-rout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Маршрутизация потоков N x M</w:t>
      </w:r>
    </w:p>
    <w:bookmarkEnd w:id="61"/>
    <w:bookmarkStart w:id="62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Говорящий A1 (EN) произнёс фразу → translate(EN→RU) = 1 вызов модели → track</w:t>
      </w:r>
      <w:r>
        <w:t xml:space="preserve"> </w:t>
      </w:r>
      <w:r>
        <w:t xml:space="preserve">“</w:t>
      </w:r>
      <w:r>
        <w:t xml:space="preserve">tts-ru-from-A1</w:t>
      </w:r>
      <w:r>
        <w:t xml:space="preserve">”</w:t>
      </w:r>
      <w:r>
        <w:t xml:space="preserve"> </w:t>
      </w:r>
      <w:r>
        <w:t xml:space="preserve">(подписаны: B1–B4) → translate(EN→HI) = 1 вызов → track</w:t>
      </w:r>
      <w:r>
        <w:t xml:space="preserve"> </w:t>
      </w:r>
      <w:r>
        <w:t xml:space="preserve">“</w:t>
      </w:r>
      <w:r>
        <w:t xml:space="preserve">tts-hi-from-A1</w:t>
      </w:r>
      <w:r>
        <w:t xml:space="preserve">”</w:t>
      </w:r>
      <w:r>
        <w:t xml:space="preserve"> </w:t>
      </w:r>
      <w:r>
        <w:t xml:space="preserve">(подписаны: C1–C3).</w:t>
      </w:r>
      <w:r>
        <w:t xml:space="preserve"> </w:t>
      </w:r>
      <w:r>
        <w:rPr>
          <w:bCs/>
          <w:b/>
        </w:rPr>
        <w:t xml:space="preserve">Итого: 2 вызова модели вместо 7.</w:t>
      </w:r>
    </w:p>
    <w:bookmarkEnd w:id="62"/>
    <w:bookmarkStart w:id="63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63"/>
    <w:bookmarkStart w:id="64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архитектура-записи"/>
    <w:p>
      <w:pPr>
        <w:pStyle w:val="Heading2"/>
      </w:pPr>
      <w:r>
        <w:t xml:space="preserve">5.5 Архитектура записи</w:t>
      </w:r>
    </w:p>
    <w:bookmarkStart w:id="69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Архитектура записи конференции" title="" id="67" name="Picture"/>
            <a:graphic>
              <a:graphicData uri="http://schemas.openxmlformats.org/drawingml/2006/picture">
                <pic:pic>
                  <pic:nvPicPr>
                    <pic:cNvPr descr="img/syncvoice-record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записи конференции</w:t>
      </w:r>
    </w:p>
    <w:bookmarkEnd w:id="69"/>
    <w:bookmarkStart w:id="70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1" w:name="деплой-1"/>
    <w:p>
      <w:pPr>
        <w:pStyle w:val="Heading2"/>
      </w:pPr>
      <w:r>
        <w:t xml:space="preserve">5.6 Деплой</w:t>
      </w:r>
    </w:p>
    <w:bookmarkStart w:id="75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Схема контейнеров Docker Compose" title="" id="73" name="Picture"/>
            <a:graphic>
              <a:graphicData uri="http://schemas.openxmlformats.org/drawingml/2006/picture">
                <pic:pic>
                  <pic:nvPicPr>
                    <pic:cNvPr descr="img/syncvoice-dock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контейнеров Docker Compose</w:t>
      </w:r>
    </w:p>
    <w:bookmarkEnd w:id="75"/>
    <w:bookmarkStart w:id="80" w:name="варианты-аппаратного-обеспечения"/>
    <w:p>
      <w:pPr>
        <w:pStyle w:val="Heading3"/>
      </w:pPr>
      <w:r>
        <w:t xml:space="preserve">Варианты аппаратного обеспечения</w:t>
      </w:r>
    </w:p>
    <w:p>
      <w:pPr>
        <w:pStyle w:val="FirstParagraph"/>
      </w:pPr>
      <w:r>
        <w:t xml:space="preserve">Система поддерживает три конфигурации on-prem развёртывания. Клиент выбирает исходя из бюджета, доступности и требований к числу участников.</w:t>
      </w:r>
    </w:p>
    <w:bookmarkStart w:id="76" w:name="сравнение-конфигураций"/>
    <w:p>
      <w:pPr>
        <w:pStyle w:val="Heading4"/>
      </w:pPr>
      <w:r>
        <w:t xml:space="preserve">Сравнение конфигураций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94"/>
        <w:gridCol w:w="2092"/>
        <w:gridCol w:w="1793"/>
        <w:gridCol w:w="2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Процессор/GPU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/ A10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M2/M3/M4 Ultra (MPS)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(CUDA)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64–128 GB DDR5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 (ML нативно, сервисы в 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14+ (Sonoma)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настольный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настольный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Ориентировочная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– 3 000 000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400 000 – 900 000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~400 000 ₽ (серый рынок)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 (3 языка)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43bd3365e9669915114b655178b0ea017bb32e3"/>
    <w:p>
      <w:pPr>
        <w:pStyle w:val="Heading4"/>
      </w:pPr>
      <w:r>
        <w:t xml:space="preserve">Конфигурация 1: NVIDIA-сервер (для крупных инсталляций)</w:t>
      </w:r>
    </w:p>
    <w:p>
      <w:pPr>
        <w:pStyle w:val="BlockText"/>
      </w:pPr>
      <w:r>
        <w:t xml:space="preserve">⚠️ Датацентровые GPU NVIDIA (A10, A100) находятся под экспортными ограничениями и доступны в РФ только через серый рынок. Цены ориентировочные и могут существенно варьироваться.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29"/>
        <w:gridCol w:w="2096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 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03"/>
        <w:gridCol w:w="1980"/>
        <w:gridCol w:w="2351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 – 2 000 000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языка, без запаса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– 3 000 000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3 000 000 – 5 000 000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4 000 000 – 6 000 000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a9847e6994b2f934f801207c1f5aec36b45e9a6"/>
    <w:p>
      <w:pPr>
        <w:pStyle w:val="Heading4"/>
      </w:pPr>
      <w:r>
        <w:t xml:space="preserve">Конфигурация 2: Apple Mac Studio (рекомендуемая для РФ-рынка)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с чипом M2 Ultra / M3 Ultra / M4 Ultra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 (Metal Performance Shaders)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и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(сервисы: LiveKit, PostgreSQL, Redis, Admin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Python (venv), не в Docker — прямой доступ к Metal GPU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 деплоя на Mac:</w:t>
      </w:r>
      <w:r>
        <w:t xml:space="preserve"> </w:t>
      </w:r>
      <w:r>
        <w:t xml:space="preserve">- Translation Agent запускается как нативный macOS-сервис (launchd), не в Docker</w:t>
      </w:r>
      <w:r>
        <w:t xml:space="preserve"> </w:t>
      </w:r>
      <w:r>
        <w:t xml:space="preserve">- Все остальные компоненты — в Docker Desktop</w:t>
      </w:r>
      <w:r>
        <w:t xml:space="preserve"> </w:t>
      </w:r>
      <w:r>
        <w:t xml:space="preserve">- PyTorch с MPS backend:</w:t>
      </w:r>
      <w:r>
        <w:t xml:space="preserve"> </w:t>
      </w:r>
      <w:r>
        <w:rPr>
          <w:rStyle w:val="VerbatimChar"/>
        </w:rPr>
        <w:t xml:space="preserve">torch.device("mps")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- Производительность: M3 Ultra показывает ~0.7–1.0 RTF на SeamlessM4T v2 Large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436"/>
        <w:gridCol w:w="1675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400 000 – 600 000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M3/M4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600 000 – 900 000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f50d3f1fdbc3e6832c0a1b649ee2f9ab6469e6a"/>
    <w:p>
      <w:pPr>
        <w:pStyle w:val="Heading4"/>
      </w:pPr>
      <w:r>
        <w:t xml:space="preserve">Конфигурация 3: NVIDIA DGX Spark (рекомендуемая для компактных инсталляций)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Superchip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 GPU (1 PFLOP FP4)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 (CPU + GPU через NVLink-C2C)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 (Blackwell 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~400 000 ₽ (серый рынок, РФ)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(размер Mac mini)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 Стандартный CUDA-стек — идентичная конфигурация с NVIDIA-сервером, только компактнее</w:t>
      </w:r>
      <w:r>
        <w:t xml:space="preserve"> </w:t>
      </w:r>
      <w:r>
        <w:t xml:space="preserve">- 128 GB unified memory покрывает SeamlessM4T v2 Large с запасом</w:t>
      </w:r>
      <w:r>
        <w:t xml:space="preserve"> </w:t>
      </w:r>
      <w:r>
        <w:t xml:space="preserve">- Два DGX Spark можно объединить через NVLink для 256 GB и удвоения производительности</w:t>
      </w:r>
      <w:r>
        <w:t xml:space="preserve"> </w:t>
      </w:r>
      <w:r>
        <w:t xml:space="preserve">- Минимальная сложность настройки — всё в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DGX Spark (NVLink)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языка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 (общий):</w:t>
      </w:r>
      <w:r>
        <w:t xml:space="preserve"> </w:t>
      </w:r>
      <w:r>
        <w:t xml:space="preserve">при RTF ~0.6 и среднем чанке 2s один GPU-job занимает ~1.2s. При реалистичном сценарии 1–2 одновременно говорящих достаточно одной карты для 10 участников с 3 языками.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2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2026-02-22T21:45:11Z</dcterms:created>
  <dcterms:modified xsi:type="dcterms:W3CDTF">2026-02-22T21:45:11Z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