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Поддержка четырёх аппаратных конфигураций: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A100/A10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RTX 4090/5090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Apple Mac Studio</w:t>
      </w:r>
      <w:r>
        <w:t xml:space="preserve"> </w:t>
      </w:r>
      <w:r>
        <w:t xml:space="preserve">(M2/M3/M4 Ultra): гибридный деплой — сервисы в Docker Desktop, Translation Agent нативно через PyTorch MPS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(GB10): Full Docker + NVIDIA Container Toolkit + CUDA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для каждой из трёх аппаратных конфигураций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5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5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5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5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5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4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81" w:name="варианты-аппаратного-обеспечения"/>
    <w:p>
      <w:pPr>
        <w:pStyle w:val="Heading3"/>
      </w:pPr>
      <w:r>
        <w:t xml:space="preserve">Варианты аппаратного обеспечения</w:t>
      </w:r>
    </w:p>
    <w:p>
      <w:pPr>
        <w:pStyle w:val="FirstParagraph"/>
      </w:pPr>
      <w:r>
        <w:t xml:space="preserve">Система поддерживает три конфигурации on-prem развёртывания. Клиент выбирает исходя из бюджета, доступности и требований к числу участников.</w:t>
      </w:r>
    </w:p>
    <w:bookmarkStart w:id="76" w:name="сравнение-конфигураций"/>
    <w:p>
      <w:pPr>
        <w:pStyle w:val="Heading4"/>
      </w:pPr>
      <w:r>
        <w:t xml:space="preserve">Сравнение конфигураций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77"/>
        <w:gridCol w:w="1564"/>
        <w:gridCol w:w="2053"/>
        <w:gridCol w:w="1662"/>
        <w:gridCol w:w="1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A100/A10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4090/5090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A10/A100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4090/5090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M2/M3/M4 Ultra (MPS)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GB10 Blackwell (CUDA)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– 5M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– 2.2M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– 900K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~400K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Доступность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43bd3365e9669915114b655178b0ea017bb32e3"/>
    <w:p>
      <w:pPr>
        <w:pStyle w:val="Heading4"/>
      </w:pPr>
      <w:r>
        <w:t xml:space="preserve">Конфигурация 1: NVIDIA-сервер (для крупных инсталляций)</w:t>
      </w:r>
    </w:p>
    <w:p>
      <w:pPr>
        <w:pStyle w:val="BlockText"/>
      </w:pPr>
      <w:r>
        <w:t xml:space="preserve">⚠️ Датацентровые GPU NVIDIA (A10, A100) находятся под экспортными ограничениями и доступны в РФ только через серый рынок. Цены ориентировочные и могут существенно варьироваться.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03"/>
        <w:gridCol w:w="1980"/>
        <w:gridCol w:w="2351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– 2 000 000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языка, без запаса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3 000 000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 – 5 000 000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4 000 000 – 6 000 000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9ad383d2efb08f3b9714ec7de55399990bce195"/>
    <w:p>
      <w:pPr>
        <w:pStyle w:val="Heading4"/>
      </w:pPr>
      <w:r>
        <w:t xml:space="preserve">Конфигурация 2: NVIDIA-сервер с RTX (оптимальная цена/производительность для РФ)</w:t>
      </w:r>
    </w:p>
    <w:p>
      <w:pPr>
        <w:pStyle w:val="BlockText"/>
      </w:pPr>
      <w:r>
        <w:t xml:space="preserve">Consumer/prosumer GPU — не под теми же экспортными ограничениями что датацентровые A100/A10. Наилучшее соотношение цена/производительность для большинства инсталляций в РФ.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 GDDR6X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GDDR7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FP16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 TFLOPS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на 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~0.4–0.6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карты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~300 000 – 400 000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~800 000 – 1 200 000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SeamlessM4T v2 Large (~10–15 GB в FP16) комфортно помещается в 24 GB и тем более в 32 GB</w:t>
      </w:r>
      <w:r>
        <w:t xml:space="preserve"> </w:t>
      </w:r>
      <w:r>
        <w:t xml:space="preserve">- RTX 4090: минимальный запас VRAM при 3 языках и batch inference; рекомендуется 1 карта на 5–8 участников</w:t>
      </w:r>
      <w:r>
        <w:t xml:space="preserve"> </w:t>
      </w:r>
      <w:r>
        <w:t xml:space="preserve">- RTX 5090: 32 GB + Blackwell arch значительно ускоряет инференс; сопоставим с A100 40 GB по производительности</w:t>
      </w:r>
      <w:r>
        <w:t xml:space="preserve"> </w:t>
      </w:r>
      <w:r>
        <w:t xml:space="preserve">- Consumer-драйверы работают корректно для инференса (не обучение)</w:t>
      </w:r>
      <w:r>
        <w:t xml:space="preserve"> </w:t>
      </w:r>
      <w:r>
        <w:t xml:space="preserve">- Возможна установка 2 карт в один сервер для удвоения throughput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16"/>
        <w:gridCol w:w="2112"/>
        <w:gridCol w:w="250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минимальный запас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900 000 – 1 300 000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800 000 – 1 200 000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 (32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2 200 000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b47149ba8f3748e136926ae04b8a0d2ae937dce"/>
    <w:p>
      <w:pPr>
        <w:pStyle w:val="Heading4"/>
      </w:pPr>
      <w:r>
        <w:t xml:space="preserve">Конфигурация 3: Apple Mac Studio (рекомендуемая для РФ-рынка)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с чипом M2 Ultra / M3 Ultra / M4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 (Metal Performance Shaders)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(сервисы: LiveKit, PostgreSQL, Redis, Admin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Python (venv), не в Docker — прямой доступ к Metal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деплоя на Mac:</w:t>
      </w:r>
      <w:r>
        <w:t xml:space="preserve"> </w:t>
      </w:r>
      <w:r>
        <w:t xml:space="preserve">- Translation Agent запускается как нативный macOS-сервис (launchd), не в Docker</w:t>
      </w:r>
      <w:r>
        <w:t xml:space="preserve"> </w:t>
      </w:r>
      <w:r>
        <w:t xml:space="preserve">- Все остальные компоненты — в Docker Desktop</w:t>
      </w:r>
      <w:r>
        <w:t xml:space="preserve"> </w:t>
      </w:r>
      <w:r>
        <w:t xml:space="preserve">- PyTorch с MPS backend:</w:t>
      </w:r>
      <w:r>
        <w:t xml:space="preserve"> </w:t>
      </w:r>
      <w:r>
        <w:rPr>
          <w:rStyle w:val="VerbatimChar"/>
        </w:rPr>
        <w:t xml:space="preserve">torch.device("mps")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- Производительность: M3 Ultra показывает ~0.7–1.0 RTF на SeamlessM4T v2 Large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436"/>
        <w:gridCol w:w="1675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400 000 – 600 000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M3/M4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600 000 – 900 000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e7b61a15ac54b7131835f4ff1cd88e074519ac2"/>
    <w:p>
      <w:pPr>
        <w:pStyle w:val="Heading4"/>
      </w:pPr>
      <w:r>
        <w:t xml:space="preserve">Конфигурация 4: NVIDIA DGX Spark (компактный AI-кирпич)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Superchip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 GPU (1 PFLOP FP4)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 (CPU + GPU через NVLink-C2C)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 (Blackwell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~400 000 ₽ (серый рынок, 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(размер Mac mini)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 Стандартный CUDA-стек — идентичная конфигурация с NVIDIA-сервером, только компактнее</w:t>
      </w:r>
      <w:r>
        <w:t xml:space="preserve"> </w:t>
      </w:r>
      <w:r>
        <w:t xml:space="preserve">- 128 GB unified memory покрывает SeamlessM4T v2 Large с запасом</w:t>
      </w:r>
      <w:r>
        <w:t xml:space="preserve"> </w:t>
      </w:r>
      <w:r>
        <w:t xml:space="preserve">- Два DGX Spark можно объединить через NVLink для 256 GB и удвоения производительности</w:t>
      </w:r>
      <w:r>
        <w:t xml:space="preserve"> </w:t>
      </w:r>
      <w:r>
        <w:t xml:space="preserve">- Минимальная сложность настройки — всё в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DGX Spark (NVLink)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языка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 (общий):</w:t>
      </w:r>
      <w:r>
        <w:t xml:space="preserve"> </w:t>
      </w:r>
      <w:r>
        <w:t xml:space="preserve">при RTF ~0.6 и среднем чанке 2s один GPU-job занимает ~1.2s. При реалистичном сценарии 1–2 одновременно говорящих достаточно одной карты для 10 участников с 3 языками.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9" w:name="риски-проекта"/>
    <w:p>
      <w:pPr>
        <w:pStyle w:val="Heading1"/>
      </w:pPr>
      <w:r>
        <w:t xml:space="preserve">6. Риски проекта</w:t>
      </w:r>
    </w:p>
    <w:p>
      <w:pPr>
        <w:pStyle w:val="BlockText"/>
      </w:pPr>
      <w:r>
        <w:t xml:space="preserve">Pre-mortem анализ:</w:t>
      </w:r>
      <w:r>
        <w:t xml:space="preserve"> </w:t>
      </w:r>
      <w:r>
        <w:t xml:space="preserve">“</w:t>
      </w:r>
      <w:r>
        <w:t xml:space="preserve">Сентябрь 2026. Проект провалился. Почему?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85" w:name="сводная-таблица-рисков"/>
    <w:p>
      <w:pPr>
        <w:pStyle w:val="Heading2"/>
      </w:pPr>
      <w:r>
        <w:t xml:space="preserve">6.1 Сводная таблица рисков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86"/>
        <w:gridCol w:w="880"/>
        <w:gridCol w:w="1613"/>
        <w:gridCol w:w="1906"/>
        <w:gridCol w:w="1320"/>
        <w:gridCol w:w="1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&gt;2s на production-железе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Закрыт</w:t>
            </w:r>
            <w:r>
              <w:t xml:space="preserve"> </w:t>
            </w:r>
            <w:r>
              <w:t xml:space="preserve">(см. раздел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speakers ломают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Снижен</w:t>
            </w:r>
            <w:r>
              <w:t xml:space="preserve"> </w:t>
            </w:r>
            <w:r>
              <w:t xml:space="preserve">— max 3s при 8 одновременных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недооценён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перевода фарм-терминологии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от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/ PyTorch MPS нестабилен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предоставляет железо вовремя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Дефицит / подорожание GPU на сером рынке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меняет лицензию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детализация-критических-рисков"/>
    <w:p>
      <w:pPr>
        <w:pStyle w:val="Heading2"/>
      </w:pPr>
      <w:r>
        <w:t xml:space="preserve">6.2 Детализация критических рисков</w:t>
      </w:r>
    </w:p>
    <w:bookmarkStart w:id="86" w:name="t1-latency-2s-на-production-железе"/>
    <w:p>
      <w:pPr>
        <w:pStyle w:val="Heading3"/>
      </w:pPr>
      <w:r>
        <w:t xml:space="preserve">T1 — Latency &gt;2s на production-железе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На демо SeamlessM4T работал в идеальных условиях. В production добавляются: реальная сеть клиента, concurrent processing, холодный старт модели, накладные расходы Docker. Реальный p95 может составить 3–5s.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Нагрузочный тест на железе клиента в первые 2 недели разработки</w:t>
      </w:r>
      <w:r>
        <w:t xml:space="preserve"> </w:t>
      </w:r>
      <w:r>
        <w:t xml:space="preserve">- Зафиксировать достигнутый p95 как contractual SLA — не абстрактное</w:t>
      </w:r>
      <w:r>
        <w:t xml:space="preserve"> </w:t>
      </w:r>
      <w:r>
        <w:t xml:space="preserve">“</w:t>
      </w:r>
      <w:r>
        <w:t xml:space="preserve">≤2s</w:t>
      </w:r>
      <w:r>
        <w:t xml:space="preserve">”</w:t>
      </w:r>
      <w:r>
        <w:t xml:space="preserve"> </w:t>
      </w:r>
      <w:r>
        <w:t xml:space="preserve">- Если тест показывает &gt;2s — согласовать с клиентом либо обновление железа, либо пересмотр SLA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На 4-й неделе MVP показывает latency &gt;3s на 2 участниках.</w:t>
      </w:r>
    </w:p>
    <w:p>
      <w:r>
        <w:pict>
          <v:rect style="width:0;height:1.5pt" o:hralign="center" o:hrstd="t" o:hr="t"/>
        </w:pict>
      </w:r>
    </w:p>
    <w:bookmarkEnd w:id="86"/>
    <w:bookmarkStart w:id="87" w:name="t4-concurrent-speakers-ломают-pipeline"/>
    <w:p>
      <w:pPr>
        <w:pStyle w:val="Heading3"/>
      </w:pPr>
      <w:r>
        <w:t xml:space="preserve">T4 — Concurrent speakers ломают pipeline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При 3+ одновременно говорящих очередь translation jobs растёт быстрее чем GPU её обрабатывает. Latency деградирует до 10–15s. Формально система не падает, но UX катастрофический.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Механизм очереди с приоритетами и</w:t>
      </w:r>
      <w:r>
        <w:t xml:space="preserve"> </w:t>
      </w:r>
      <w:r>
        <w:t xml:space="preserve">“</w:t>
      </w:r>
      <w:r>
        <w:t xml:space="preserve">skip при перегрузке</w:t>
      </w:r>
      <w:r>
        <w:t xml:space="preserve">”</w:t>
      </w:r>
      <w:r>
        <w:t xml:space="preserve"> </w:t>
      </w:r>
      <w:r>
        <w:t xml:space="preserve">проектируется с первого дня, не добавляется потом</w:t>
      </w:r>
      <w:r>
        <w:t xml:space="preserve"> </w:t>
      </w:r>
      <w:r>
        <w:t xml:space="preserve">- Стресс-тест: симуляция 10 одновременно говорящих обязателен до сдачи MVP</w:t>
      </w:r>
      <w:r>
        <w:t xml:space="preserve"> </w:t>
      </w:r>
      <w:r>
        <w:t xml:space="preserve">- Визуальный индикатор загрузки pipeline — участник видит что его речь обрабатывается</w:t>
      </w:r>
      <w:r>
        <w:t xml:space="preserve"> </w:t>
      </w:r>
      <w:r>
        <w:t xml:space="preserve">- Мониторинг глубины очереди в Admin Portal с алертами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При тесте с 3+ участниками latency нестабильна (разброс &gt;2x от среднего).</w:t>
      </w:r>
    </w:p>
    <w:p>
      <w:r>
        <w:pict>
          <v:rect style="width:0;height:1.5pt" o:hralign="center" o:hrstd="t" o:hr="t"/>
        </w:pict>
      </w:r>
    </w:p>
    <w:bookmarkEnd w:id="87"/>
    <w:bookmarkStart w:id="88" w:name="p1-timeline-недооценён"/>
    <w:p>
      <w:pPr>
        <w:pStyle w:val="Heading3"/>
      </w:pPr>
      <w:r>
        <w:t xml:space="preserve">P1 — Timeline недооценён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WebRTC + ML pipeline с нуля + глоссарий + запись + admin portal — объём значительно больше типичных проектов. Риск смещения сроков на 2–3 месяца.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MVP scope строго ограничен: только WebRTC + перевод + базовый UI (Phase 1)</w:t>
      </w:r>
      <w:r>
        <w:t xml:space="preserve"> </w:t>
      </w:r>
      <w:r>
        <w:t xml:space="preserve">- Запись, глоссарий, admin portal — Phase 2, отдельный договор или допсоглашение</w:t>
      </w:r>
      <w:r>
        <w:t xml:space="preserve"> </w:t>
      </w:r>
      <w:r>
        <w:t xml:space="preserve">- Клиент видит working demo через 6–8 недель, не ждёт полного продукта 7 месяцев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К 4-й неделе нет working WebRTC demo с базовым переводом.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остальные-риски"/>
    <w:p>
      <w:pPr>
        <w:pStyle w:val="Heading2"/>
      </w:pPr>
      <w:r>
        <w:t xml:space="preserve">6.3 Остальные риски</w:t>
      </w:r>
    </w:p>
    <w:bookmarkStart w:id="90" w:name="t3-качество-перевода-фарм-терминологии"/>
    <w:p>
      <w:pPr>
        <w:pStyle w:val="Heading3"/>
      </w:pPr>
      <w:r>
        <w:t xml:space="preserve">T3 — Качество перевода фарм-терминологии 🟡</w:t>
      </w:r>
    </w:p>
    <w:p>
      <w:pPr>
        <w:pStyle w:val="FirstParagraph"/>
      </w:pPr>
      <w:r>
        <w:t xml:space="preserve">SeamlessM4T — модель общего назначения. Специфические термины могут переводиться неверно. Глоссарий покрывает только заранее известные слова.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QA с реальным фарм-контентом с первого месяца; агрессивное наполнение глоссария до go-live (цель: &gt;2000 терминов).</w:t>
      </w:r>
    </w:p>
    <w:bookmarkEnd w:id="90"/>
    <w:bookmarkStart w:id="91" w:name="p3-scope-creep"/>
    <w:p>
      <w:pPr>
        <w:pStyle w:val="Heading3"/>
      </w:pPr>
      <w:r>
        <w:t xml:space="preserve">P3 — Scope creep 🟡</w:t>
      </w:r>
    </w:p>
    <w:p>
      <w:pPr>
        <w:pStyle w:val="FirstParagraph"/>
      </w:pPr>
      <w:r>
        <w:t xml:space="preserve">Клиент добавляет пожелания (</w:t>
      </w:r>
      <w:r>
        <w:t xml:space="preserve">“</w:t>
      </w:r>
      <w:r>
        <w:t xml:space="preserve">а можно субтитры?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а интеграцию с нашей системой?</w:t>
      </w:r>
      <w:r>
        <w:t xml:space="preserve">”</w:t>
      </w:r>
      <w:r>
        <w:t xml:space="preserve">) без согласования стоимости.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Процедура change request прописана в договоре до старта. Любое изменение scope = отдельная оценка и допсоглашение.</w:t>
      </w:r>
    </w:p>
    <w:bookmarkEnd w:id="91"/>
    <w:bookmarkStart w:id="92" w:name="t5-mac-studio-pytorch-mps-нестабилен"/>
    <w:p>
      <w:pPr>
        <w:pStyle w:val="Heading3"/>
      </w:pPr>
      <w:r>
        <w:t xml:space="preserve">T5 — Mac Studio / PyTorch MPS нестабилен 🟡</w:t>
      </w:r>
    </w:p>
    <w:p>
      <w:pPr>
        <w:pStyle w:val="FirstParagraph"/>
      </w:pPr>
      <w:r>
        <w:t xml:space="preserve">MPS backend значительно менее зрелый чем CUDA. Возможны memory leaks и несовместимости.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RTX-сервер остаётся primary рекомендацией. Mac Studio — alternative с явным disclaimer в документации.</w:t>
      </w:r>
    </w:p>
    <w:bookmarkEnd w:id="92"/>
    <w:bookmarkStart w:id="93" w:name="X95be3120332ede32dc0a1faa0902fdc8a4d40d1"/>
    <w:p>
      <w:pPr>
        <w:pStyle w:val="Heading3"/>
      </w:pPr>
      <w:r>
        <w:t xml:space="preserve">L2 — Клиент не предоставляет железо вовремя 🟡</w:t>
      </w:r>
    </w:p>
    <w:p>
      <w:pPr>
        <w:pStyle w:val="FirstParagraph"/>
      </w:pPr>
      <w:r>
        <w:t xml:space="preserve">Разработка ведётся на</w:t>
      </w:r>
      <w:r>
        <w:t xml:space="preserve"> </w:t>
      </w:r>
      <w:r>
        <w:t xml:space="preserve">“</w:t>
      </w:r>
      <w:r>
        <w:t xml:space="preserve">симуляторе</w:t>
      </w:r>
      <w:r>
        <w:t xml:space="preserve">”</w:t>
      </w:r>
      <w:r>
        <w:t xml:space="preserve"> </w:t>
      </w:r>
      <w:r>
        <w:t xml:space="preserve">→ production latency совсем другая.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В договоре: клиент обязуется предоставить доступ к production-железу до старта разработки, или аренда сервера за счёт клиента.</w:t>
      </w:r>
    </w:p>
    <w:bookmarkEnd w:id="93"/>
    <w:bookmarkStart w:id="94" w:name="e1-дефицит-gpu-на-сером-рынке"/>
    <w:p>
      <w:pPr>
        <w:pStyle w:val="Heading3"/>
      </w:pPr>
      <w:r>
        <w:t xml:space="preserve">E1 — Дефицит GPU на сером рынке 🟡</w:t>
      </w:r>
    </w:p>
    <w:p>
      <w:pPr>
        <w:pStyle w:val="FirstParagraph"/>
      </w:pPr>
      <w:r>
        <w:t xml:space="preserve">RTX 5090 или DGX Spark внезапно недоступны или дорожают вдвое.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Прописать в договоре 2–3 альтернативные конфигурации железа. Цены в смете — ориентировочные.</w:t>
      </w:r>
    </w:p>
    <w:bookmarkEnd w:id="94"/>
    <w:bookmarkStart w:id="95" w:name="e2-livekit-меняет-лицензию"/>
    <w:p>
      <w:pPr>
        <w:pStyle w:val="Heading3"/>
      </w:pPr>
      <w:r>
        <w:t xml:space="preserve">E2 — LiveKit меняет лицензию 🟢</w:t>
      </w:r>
    </w:p>
    <w:p>
      <w:pPr>
        <w:pStyle w:val="FirstParagraph"/>
      </w:pPr>
      <w:r>
        <w:t xml:space="preserve">LiveKit уже менял условия self-hosted в 2024. Риск повторения.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Абстрактный SFU-слой в архитектуре — замена на mediasoup/Janus без переписывания pipeline.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7088d959fdedb5866c3199dc1fc1595655913e4"/>
    <w:p>
      <w:pPr>
        <w:pStyle w:val="Heading2"/>
      </w:pPr>
      <w:r>
        <w:t xml:space="preserve">6.4 Обновление по результатам тестирования (23.02.2026)</w:t>
      </w:r>
    </w:p>
    <w:p>
      <w:pPr>
        <w:pStyle w:val="FirstParagraph"/>
      </w:pPr>
      <w:r>
        <w:t xml:space="preserve">Нагрузочный тест на RTX 4090 (раздел 7) подтвердил: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T1 закрыт</w:t>
      </w:r>
      <w:r>
        <w:t xml:space="preserve">: batch inference даёт RTF 0.18–0.29, e2e ≤2s при реальном использовании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T4 снижен</w:t>
      </w:r>
      <w:r>
        <w:t xml:space="preserve">: max 3s только при искусственном стресс-тесте (все 8 говорят одновременно)</w:t>
      </w:r>
      <w:r>
        <w:t xml:space="preserve"> </w:t>
      </w:r>
      <w:r>
        <w:t xml:space="preserve">- Финальная архитектура: batch inference + asyncio queue + группировка по (src_lang, tgt_lang)</w:t>
      </w:r>
    </w:p>
    <w:p>
      <w:pPr>
        <w:pStyle w:val="BodyText"/>
      </w:pPr>
      <w:r>
        <w:rPr>
          <w:bCs/>
          <w:b/>
        </w:rPr>
        <w:t xml:space="preserve">Обновлённый ТОП-3 приоритетов: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MVP-first [P1]</w:t>
      </w:r>
      <w:r>
        <w:t xml:space="preserve"> </w:t>
      </w:r>
      <w:r>
        <w:t xml:space="preserve">→ Phase 1: только WebRTC + перевод + базовый UI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Качество перевода фарм-терминологии [T3]</w:t>
      </w:r>
      <w:r>
        <w:t xml:space="preserve"> </w:t>
      </w:r>
      <w:r>
        <w:t xml:space="preserve">→ ранний QA + глоссарий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Scope creep [P3]</w:t>
      </w:r>
      <w:r>
        <w:t xml:space="preserve"> </w:t>
      </w:r>
      <w:r>
        <w:t xml:space="preserve">→ change request процедура в договоре до старта</w:t>
      </w:r>
    </w:p>
    <w:p>
      <w:r>
        <w:pict>
          <v:rect style="width:0;height:1.5pt" o:hralign="center" o:hrstd="t" o:hr="t"/>
        </w:pict>
      </w:r>
    </w:p>
    <w:bookmarkEnd w:id="97"/>
    <w:bookmarkStart w:id="98" w:name="ранние-сигналы-тревоги"/>
    <w:p>
      <w:pPr>
        <w:pStyle w:val="Heading2"/>
      </w:pPr>
      <w:r>
        <w:t xml:space="preserve">6.5 Ранние сигналы тревоги</w:t>
      </w:r>
    </w:p>
    <w:p>
      <w:pPr>
        <w:numPr>
          <w:ilvl w:val="0"/>
          <w:numId w:val="1018"/>
        </w:numPr>
        <w:pStyle w:val="Compact"/>
      </w:pPr>
      <w:r>
        <w:t xml:space="preserve">☐ К неделе 2: нет доступа к production-железу клиента</w:t>
      </w:r>
    </w:p>
    <w:p>
      <w:pPr>
        <w:numPr>
          <w:ilvl w:val="0"/>
          <w:numId w:val="1018"/>
        </w:numPr>
        <w:pStyle w:val="Compact"/>
      </w:pPr>
      <w:r>
        <w:t xml:space="preserve">☐ К неделе 4: нет working WebRTC demo с latency &lt;3s</w:t>
      </w:r>
    </w:p>
    <w:p>
      <w:pPr>
        <w:numPr>
          <w:ilvl w:val="0"/>
          <w:numId w:val="1018"/>
        </w:numPr>
        <w:pStyle w:val="Compact"/>
      </w:pPr>
      <w:r>
        <w:t xml:space="preserve">☐ К неделе 6: клиент запрашивает фичи вне Phase 1 scope</w:t>
      </w:r>
    </w:p>
    <w:p>
      <w:pPr>
        <w:numPr>
          <w:ilvl w:val="0"/>
          <w:numId w:val="1018"/>
        </w:numPr>
        <w:pStyle w:val="Compact"/>
      </w:pPr>
      <w:r>
        <w:t xml:space="preserve">☐ В любое время: batch inference на production-железе показывает RTF &gt;1.0</w:t>
      </w:r>
    </w:p>
    <w:p>
      <w:pPr>
        <w:numPr>
          <w:ilvl w:val="0"/>
          <w:numId w:val="1018"/>
        </w:numPr>
        <w:pStyle w:val="Compact"/>
      </w:pPr>
      <w:r>
        <w:t xml:space="preserve">☐ Качество перевода фарм-терминологии &lt;90% на тестовых данных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v0.8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результаты-нагрузочного-тестирования"/>
    <w:p>
      <w:pPr>
        <w:pStyle w:val="Heading1"/>
      </w:pPr>
      <w:r>
        <w:t xml:space="preserve">7. Результаты нагрузочного тестирования</w:t>
      </w:r>
    </w:p>
    <w:p>
      <w:pPr>
        <w:pStyle w:val="BlockText"/>
      </w:pPr>
      <w:r>
        <w:t xml:space="preserve">Тестирование проведено: 23 февраля 2026</w:t>
      </w:r>
      <w:r>
        <w:t xml:space="preserve"> </w:t>
      </w:r>
      <w:r>
        <w:t xml:space="preserve">Стенд: NVIDIA GeForce RTX 4090 (24 GB), WSL2, Python 3.12, SeamlessM4T v2 Large (FP16)</w:t>
      </w:r>
      <w:r>
        <w:t xml:space="preserve"> </w:t>
      </w:r>
      <w:r>
        <w:t xml:space="preserve">Методология: N WebSocket-клиентов в одной комнате, все отправляют 2-секундное аудио одновременно, замер e2e latency от отправки до получения переведённого аудио.</w:t>
      </w:r>
    </w:p>
    <w:p>
      <w:r>
        <w:pict>
          <v:rect style="width:0;height:1.5pt" o:hralign="center" o:hrstd="t" o:hr="t"/>
        </w:pict>
      </w:r>
    </w:p>
    <w:bookmarkStart w:id="103" w:name="эволюция-архитектуры-pipeline"/>
    <w:p>
      <w:pPr>
        <w:pStyle w:val="Heading2"/>
      </w:pPr>
      <w:r>
        <w:t xml:space="preserve">7.1 Эволюция архитектуры pipeline</w:t>
      </w:r>
    </w:p>
    <w:p>
      <w:pPr>
        <w:pStyle w:val="FirstParagraph"/>
      </w:pPr>
      <w:r>
        <w:t xml:space="preserve">В ходе тестирования последовательно проверены три подхода к обработке translation pipeline.</w:t>
      </w:r>
    </w:p>
    <w:bookmarkStart w:id="100" w:name="X310479576c56a728af8090e385c3d34c2143131"/>
    <w:p>
      <w:pPr>
        <w:pStyle w:val="Heading3"/>
      </w:pPr>
      <w:r>
        <w:t xml:space="preserve">Подход 1: Sequential (последовательная обработка)</w:t>
      </w:r>
    </w:p>
    <w:p>
      <w:pPr>
        <w:pStyle w:val="FirstParagraph"/>
      </w:pPr>
      <w:r>
        <w:t xml:space="preserve">Переводы для всех участников выполняются один за другим в одном потоке.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415ms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0.20–0.22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535ms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0.17–0.25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Быстро при 1–2 участниках, деградирует при одновременных запросах.</w:t>
      </w:r>
    </w:p>
    <w:p>
      <w:r>
        <w:pict>
          <v:rect style="width:0;height:1.5pt" o:hralign="center" o:hrstd="t" o:hr="t"/>
        </w:pict>
      </w:r>
    </w:p>
    <w:bookmarkEnd w:id="100"/>
    <w:bookmarkStart w:id="101" w:name="подход-2-thread-pool-параллельные-потоки"/>
    <w:p>
      <w:pPr>
        <w:pStyle w:val="Heading3"/>
      </w:pPr>
      <w:r>
        <w:t xml:space="preserve">Подход 2: Thread Pool (параллельные потоки)</w:t>
      </w:r>
    </w:p>
    <w:p>
      <w:pPr>
        <w:pStyle w:val="FirstParagraph"/>
      </w:pPr>
      <w:r>
        <w:t xml:space="preserve">Переводы запускаются параллельно через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, но GPU один — потоки конкурируют за вычислительный ресурс.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1492ms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1538ms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0.71–0.75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3941ms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5091ms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1.1–1.9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5524ms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8092ms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1.0–1.7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6934ms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11044ms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0.8–1.9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Хуже sequential — конкуренция потоков за GPU увеличивает время каждого вызова.</w:t>
      </w:r>
    </w:p>
    <w:p>
      <w:r>
        <w:pict>
          <v:rect style="width:0;height:1.5pt" o:hralign="center" o:hrstd="t" o:hr="t"/>
        </w:pict>
      </w:r>
    </w:p>
    <w:bookmarkEnd w:id="101"/>
    <w:bookmarkStart w:id="102" w:name="X12411845a69177e8d46142390f324137edb0d09"/>
    <w:p>
      <w:pPr>
        <w:pStyle w:val="Heading3"/>
      </w:pPr>
      <w:r>
        <w:t xml:space="preserve">Подход 3: Batch Inference + Queue ✅ Финальная архитектура</w:t>
      </w:r>
    </w:p>
    <w:p>
      <w:pPr>
        <w:pStyle w:val="FirstParagraph"/>
      </w:pPr>
      <w:r>
        <w:t xml:space="preserve">Центральный воркер собирает входящие запросы в окне 150ms, группирует по парам (src_lang → tgt_lang) и отправляет каждую группу как</w:t>
      </w:r>
      <w:r>
        <w:t xml:space="preserve"> </w:t>
      </w:r>
      <w:r>
        <w:rPr>
          <w:bCs/>
          <w:b/>
        </w:rPr>
        <w:t xml:space="preserve">один батч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model.generate()</w:t>
      </w:r>
      <w:r>
        <w:t xml:space="preserve">. Разные языковые пары обрабатываются параллельно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Участников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Generate (batch)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1336ms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1593ms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485–889ms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0.26–0.45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1764ms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2749ms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371–460ms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0.19–0.24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836ms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1863ms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342–548ms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0.18–0.29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813ms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1997ms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3064ms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349–537ms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0.18–0.28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Ключевой результат:</w:t>
      </w:r>
      <w:r>
        <w:t xml:space="preserve"> </w:t>
      </w:r>
      <w:r>
        <w:t xml:space="preserve">3–4 аудио в одном батч-вызове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занимают ~400–550ms — почти столько же, сколько один аудио последовательно. GPU используется максимально эффективно.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реальные-сценарии-использования"/>
    <w:p>
      <w:pPr>
        <w:pStyle w:val="Heading2"/>
      </w:pPr>
      <w:r>
        <w:t xml:space="preserve">7.2 Реальные сценарии использования</w:t>
      </w:r>
    </w:p>
    <w:p>
      <w:pPr>
        <w:pStyle w:val="FirstParagraph"/>
      </w:pPr>
      <w:r>
        <w:t xml:space="preserve">В боевых условиях конференции участники</w:t>
      </w:r>
      <w:r>
        <w:t xml:space="preserve"> </w:t>
      </w:r>
      <w:r>
        <w:rPr>
          <w:bCs/>
          <w:b/>
        </w:rPr>
        <w:t xml:space="preserve">не говорят все одновременно</w:t>
      </w:r>
      <w:r>
        <w:t xml:space="preserve">. Типичный паттерн: 1–2 активных говорящих в любой момент.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3009"/>
        <w:gridCol w:w="2059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Активных говорящих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E2E 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 (1 говорящий)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~500–900ms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Отлично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Активная дискуссия (2 говорящих)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~800–1600ms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В рамках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Стресс (все говорят, 6 участников)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2814ms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Незначительно выше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Экстремальный стресс (все 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3064ms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Только при полном overlapping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Целевой SLA ≤2s выполняется при реалистичных условиях использования. Максимум 3s достигается только в искусственном стресс-тесте (все 8 участников говорят одновременно).</w:t>
      </w:r>
    </w:p>
    <w:p>
      <w:r>
        <w:pict>
          <v:rect style="width:0;height:1.5pt" o:hralign="center" o:hrstd="t" o:hr="t"/>
        </w:pict>
      </w:r>
    </w:p>
    <w:bookmarkEnd w:id="104"/>
    <w:bookmarkStart w:id="105" w:name="производительность-gpu"/>
    <w:p>
      <w:pPr>
        <w:pStyle w:val="Heading2"/>
      </w:pPr>
      <w:r>
        <w:t xml:space="preserve">7.3 Производительность GPU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GeForce RTX 4090 (24 GB GDDR6X)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(FP16, ~12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(batch, реальный)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0.18–0.29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 latency (1 аудио)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~400–550ms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 latency (3–4 аудио,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~400–550ms (батч практически бесплатен)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Свободный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 (возможна загрузка второй модели или увеличение batch size)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RTF 0.18–0.29 значительно лучше первоначальной оценки (1.3). Это означает, что RTX 4090 обрабатывает аудио</w:t>
      </w:r>
      <w:r>
        <w:t xml:space="preserve"> </w:t>
      </w:r>
      <w:r>
        <w:rPr>
          <w:bCs/>
          <w:b/>
        </w:rPr>
        <w:t xml:space="preserve">в 3–5 раз быстрее реального времени</w:t>
      </w:r>
      <w:r>
        <w:t xml:space="preserve">. Цель ≤2s подтверждена экспериментально.</w:t>
      </w:r>
    </w:p>
    <w:p>
      <w:r>
        <w:pict>
          <v:rect style="width:0;height:1.5pt" o:hralign="center" o:hrstd="t" o:hr="t"/>
        </w:pict>
      </w:r>
    </w:p>
    <w:bookmarkEnd w:id="105"/>
    <w:bookmarkStart w:id="106" w:name="X8b25d29bfcc906e948c2e0f9b05ace7412079cf"/>
    <w:p>
      <w:pPr>
        <w:pStyle w:val="Heading2"/>
      </w:pPr>
      <w:r>
        <w:t xml:space="preserve">7.4 Обновлённые риски по результатам тестирования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59"/>
        <w:gridCol w:w="3090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до теста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после теста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T1: Latency &gt;2s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Закрыт</w:t>
            </w:r>
            <w:r>
              <w:t xml:space="preserve"> </w:t>
            </w:r>
            <w:r>
              <w:t xml:space="preserve">— подтверждено ≤2s при реальном использовании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T4: Concurrent speakers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Снижен</w:t>
            </w:r>
            <w:r>
              <w:t xml:space="preserve"> </w:t>
            </w:r>
            <w:r>
              <w:t xml:space="preserve">— max 3s при 8 одновременных говорящих; в норме &lt;1.6s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рекомендации-по-масштабированию"/>
    <w:p>
      <w:pPr>
        <w:pStyle w:val="Heading2"/>
      </w:pPr>
      <w:r>
        <w:t xml:space="preserve">7.5 Рекомендации по масштабированию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участников (≤2s SLA)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участников (≤3s SLA)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 (128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~18</w:t>
            </w:r>
          </w:p>
        </w:tc>
      </w:tr>
    </w:tbl>
    <w:p>
      <w:pPr>
        <w:pStyle w:val="BlockText"/>
      </w:pPr>
      <w:r>
        <w:t xml:space="preserve">Оценка основана на линейном масштабировании batch inference. Реальные цифры могут быть выше при распараллеливании по GPU.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v0.8</w:t>
      </w:r>
    </w:p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2026-02-22T22:38:00Z</dcterms:created>
  <dcterms:modified xsi:type="dcterms:W3CDTF">2026-02-22T22:38:00Z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