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4B85" w:rsidRDefault="00854B85" w:rsidP="00854B85">
      <w:pPr>
        <w:pBdr>
          <w:bottom w:val="single" w:sz="6" w:space="6" w:color="E8A820"/>
        </w:pBdr>
        <w:spacing w:after="80"/>
      </w:pPr>
      <w:proofErr w:type="spellStart"/>
      <w:r>
        <w:rPr>
          <w:color w:val="1A3A6B"/>
          <w:sz w:val="34"/>
          <w:szCs w:val="34"/>
        </w:rPr>
        <w:t>GenAI</w:t>
      </w:r>
      <w:proofErr w:type="spellEnd"/>
      <w:r>
        <w:rPr>
          <w:color w:val="1A3A6B"/>
          <w:sz w:val="34"/>
          <w:szCs w:val="34"/>
        </w:rPr>
        <w:t xml:space="preserve"> Innovation Track — Conference Abstracts</w:t>
      </w:r>
    </w:p>
    <w:p w:rsidR="00854B85" w:rsidRDefault="00854B85" w:rsidP="00854B85">
      <w:pPr>
        <w:spacing w:before="100" w:after="60"/>
      </w:pPr>
      <w:r>
        <w:rPr>
          <w:i/>
          <w:iCs/>
          <w:color w:val="555555"/>
          <w:sz w:val="26"/>
          <w:szCs w:val="26"/>
        </w:rPr>
        <w:t>10 Novel Topics for Technical Excellence</w:t>
      </w:r>
    </w:p>
    <w:p w:rsidR="00854B85" w:rsidRDefault="00854B85" w:rsidP="00854B85">
      <w:pPr>
        <w:spacing w:before="40" w:after="400"/>
      </w:pPr>
      <w:r>
        <w:rPr>
          <w:color w:val="555555"/>
          <w:sz w:val="18"/>
          <w:szCs w:val="18"/>
        </w:rPr>
        <w:t xml:space="preserve">Research synthesis: </w:t>
      </w:r>
      <w:proofErr w:type="spellStart"/>
      <w:r>
        <w:rPr>
          <w:color w:val="555555"/>
          <w:sz w:val="18"/>
          <w:szCs w:val="18"/>
        </w:rPr>
        <w:t>arXiv</w:t>
      </w:r>
      <w:proofErr w:type="spellEnd"/>
      <w:r>
        <w:rPr>
          <w:color w:val="555555"/>
          <w:sz w:val="18"/>
          <w:szCs w:val="18"/>
        </w:rPr>
        <w:t xml:space="preserve"> · Gartner · </w:t>
      </w:r>
      <w:proofErr w:type="spellStart"/>
      <w:r>
        <w:rPr>
          <w:color w:val="555555"/>
          <w:sz w:val="18"/>
          <w:szCs w:val="18"/>
        </w:rPr>
        <w:t>Mastercard</w:t>
      </w:r>
      <w:proofErr w:type="spellEnd"/>
      <w:r>
        <w:rPr>
          <w:color w:val="555555"/>
          <w:sz w:val="18"/>
          <w:szCs w:val="18"/>
        </w:rPr>
        <w:t xml:space="preserve"> GTC · </w:t>
      </w:r>
      <w:proofErr w:type="spellStart"/>
      <w:r>
        <w:rPr>
          <w:color w:val="555555"/>
          <w:sz w:val="18"/>
          <w:szCs w:val="18"/>
        </w:rPr>
        <w:t>Feedzai</w:t>
      </w:r>
      <w:proofErr w:type="spellEnd"/>
      <w:r>
        <w:rPr>
          <w:color w:val="555555"/>
          <w:sz w:val="18"/>
          <w:szCs w:val="18"/>
        </w:rPr>
        <w:t xml:space="preserve"> · WEF · McKinsey · Nature · SSRN · </w:t>
      </w:r>
      <w:proofErr w:type="spellStart"/>
      <w:r>
        <w:rPr>
          <w:color w:val="555555"/>
          <w:sz w:val="18"/>
          <w:szCs w:val="18"/>
        </w:rPr>
        <w:t>Broadridge</w:t>
      </w:r>
      <w:proofErr w:type="spellEnd"/>
      <w:r>
        <w:rPr>
          <w:color w:val="555555"/>
          <w:sz w:val="18"/>
          <w:szCs w:val="18"/>
        </w:rPr>
        <w:t xml:space="preserve"> · Visa/</w:t>
      </w:r>
      <w:proofErr w:type="spellStart"/>
      <w:r>
        <w:rPr>
          <w:color w:val="555555"/>
          <w:sz w:val="18"/>
          <w:szCs w:val="18"/>
        </w:rPr>
        <w:t>Celent</w:t>
      </w:r>
      <w:proofErr w:type="spellEnd"/>
    </w:p>
    <w:p w:rsidR="00854B85" w:rsidRDefault="00854B85" w:rsidP="00854B85">
      <w:pPr>
        <w:pBdr>
          <w:left w:val="single" w:sz="12" w:space="8" w:color="016FD0"/>
        </w:pBdr>
        <w:shd w:val="clear" w:color="auto" w:fill="F4F6F9"/>
        <w:spacing w:before="40" w:after="60"/>
      </w:pPr>
      <w:r>
        <w:rPr>
          <w:i/>
          <w:iCs/>
          <w:color w:val="555555"/>
          <w:sz w:val="20"/>
          <w:szCs w:val="20"/>
        </w:rPr>
        <w:t xml:space="preserve">  Contents: 10 conference session abstracts with real-world examples, technical key points, and full citation references. Each abstract is independently structured for submission to conference program committees.</w:t>
      </w:r>
    </w:p>
    <w:p w:rsidR="00854B85" w:rsidRDefault="00854B85" w:rsidP="00854B85"/>
    <w:p w:rsidR="00854B85" w:rsidRDefault="00854B85" w:rsidP="00854B85">
      <w:pPr>
        <w:pBdr>
          <w:bottom w:val="single" w:sz="3" w:space="4" w:color="016FD0"/>
        </w:pBdr>
        <w:spacing w:before="400"/>
      </w:pPr>
      <w:proofErr w:type="gramStart"/>
      <w:r>
        <w:rPr>
          <w:b/>
          <w:bCs/>
          <w:color w:val="016FD0"/>
          <w:sz w:val="26"/>
          <w:szCs w:val="26"/>
        </w:rPr>
        <w:t xml:space="preserve">01  </w:t>
      </w:r>
      <w:r>
        <w:rPr>
          <w:b/>
          <w:bCs/>
          <w:color w:val="1A3A6B"/>
          <w:sz w:val="26"/>
          <w:szCs w:val="26"/>
        </w:rPr>
        <w:t>Large</w:t>
      </w:r>
      <w:proofErr w:type="gramEnd"/>
      <w:r>
        <w:rPr>
          <w:b/>
          <w:bCs/>
          <w:color w:val="1A3A6B"/>
          <w:sz w:val="26"/>
          <w:szCs w:val="26"/>
        </w:rPr>
        <w:t xml:space="preserve"> Tabular Models (LTMs): The LLM for Structured Financial Data</w:t>
      </w:r>
      <w:r>
        <w:rPr>
          <w:i/>
          <w:iCs/>
          <w:color w:val="016FD0"/>
          <w:sz w:val="20"/>
          <w:szCs w:val="20"/>
        </w:rPr>
        <w:t xml:space="preserve">   [Hottest 2026]</w:t>
      </w:r>
    </w:p>
    <w:p w:rsidR="00854B85" w:rsidRDefault="00854B85" w:rsidP="00854B85">
      <w:pPr>
        <w:spacing w:before="140" w:after="80"/>
        <w:jc w:val="both"/>
      </w:pPr>
      <w:r>
        <w:t xml:space="preserve">The past two years have witnessed the rise of Large Language Models trained on unstructured text. The next frontier — barely emergent as of early 2026 — is the Large Tabular Model (LTM): a foundation model trained on billions of rows of structured, numerical, transactional data rather than tokens of text. Where LLMs learn grammar and semantics, LTMs learn the statistical grammar of financial </w:t>
      </w:r>
      <w:proofErr w:type="spellStart"/>
      <w:r>
        <w:t>behavior</w:t>
      </w:r>
      <w:proofErr w:type="spellEnd"/>
      <w:r>
        <w:t xml:space="preserve"> — the patterns within sequential rows of merchant codes, spend amounts, timestamps, and authorization outcomes that collectively describe human economic life.</w:t>
      </w:r>
    </w:p>
    <w:p w:rsidR="00854B85" w:rsidRDefault="00854B85" w:rsidP="00854B85">
      <w:pPr>
        <w:spacing w:before="140" w:after="80"/>
        <w:jc w:val="both"/>
      </w:pPr>
      <w:r>
        <w:t xml:space="preserve">MasterCard's announcement at </w:t>
      </w:r>
      <w:proofErr w:type="spellStart"/>
      <w:r>
        <w:t>Nvidia</w:t>
      </w:r>
      <w:proofErr w:type="spellEnd"/>
      <w:r>
        <w:t xml:space="preserve"> GTC 2026 (March 17, 2026) of a proprietary LTM trained on payment transaction data, and Fundamental AI's $255M-funded NEXUS model for tabular intelligence, mark the opening of this paradigm. American Express possesses one of the world's richest tabular datasets: over 200 million active cardholders generating billions of transactions annually across a closed-loop network that captures both sides — issuer and merchant — of every transaction.</w:t>
      </w:r>
    </w:p>
    <w:p w:rsidR="00854B85" w:rsidRDefault="00854B85" w:rsidP="00854B85">
      <w:pPr>
        <w:spacing w:before="180" w:after="60"/>
      </w:pPr>
      <w:r>
        <w:rPr>
          <w:b/>
          <w:bCs/>
          <w:color w:val="016FD0"/>
        </w:rPr>
        <w:t>Example</w:t>
      </w:r>
    </w:p>
    <w:p w:rsidR="00854B85" w:rsidRDefault="00854B85" w:rsidP="00854B85">
      <w:pPr>
        <w:spacing w:before="140" w:after="80"/>
        <w:jc w:val="both"/>
      </w:pPr>
      <w:r>
        <w:t xml:space="preserve">An LTM pre-trained on </w:t>
      </w:r>
      <w:proofErr w:type="spellStart"/>
      <w:r w:rsidR="00AE0FDF">
        <w:t>Ccc</w:t>
      </w:r>
      <w:r>
        <w:t>'s</w:t>
      </w:r>
      <w:proofErr w:type="spellEnd"/>
      <w:r>
        <w:t xml:space="preserve"> full transaction corpus could serve as a single foundation model fine-tuned simultaneously for: (a) fraud detection, replacing 12+ </w:t>
      </w:r>
      <w:proofErr w:type="spellStart"/>
      <w:r>
        <w:t>siloed</w:t>
      </w:r>
      <w:proofErr w:type="spellEnd"/>
      <w:r>
        <w:t xml:space="preserve"> specialist ML models currently maintained separately; (b) credit limit optimization, learning spending trajectory patterns predictive of default 90 days earlier than FICO-based models; (c) merchant category enrichment, auto-classifying ambiguous MCCs from contextual spend patterns; and (d) loyalty propensity scoring, predicting which cardholders are within 30 days of churning to a competitor rewards product. In early experiments analogous to this approach, </w:t>
      </w:r>
      <w:proofErr w:type="spellStart"/>
      <w:r>
        <w:t>Mastercard</w:t>
      </w:r>
      <w:proofErr w:type="spellEnd"/>
      <w:r>
        <w:t xml:space="preserve"> reported a 20% lift in fraud precision over their best ensemble model using an LTM pre-trained on 125 billion transaction records.</w:t>
      </w:r>
    </w:p>
    <w:p w:rsidR="00854B85" w:rsidRDefault="00854B85" w:rsidP="00854B85">
      <w:pPr>
        <w:spacing w:before="180" w:after="60"/>
      </w:pPr>
      <w:r>
        <w:rPr>
          <w:b/>
          <w:bCs/>
          <w:color w:val="016FD0"/>
        </w:rPr>
        <w:t>Key Technical Points</w:t>
      </w:r>
    </w:p>
    <w:p w:rsidR="00854B85" w:rsidRDefault="00854B85" w:rsidP="00854B85">
      <w:pPr>
        <w:pStyle w:val="ListParagraph"/>
        <w:numPr>
          <w:ilvl w:val="0"/>
          <w:numId w:val="1"/>
        </w:numPr>
        <w:spacing w:before="60" w:after="40"/>
      </w:pPr>
      <w:r>
        <w:t xml:space="preserve">Pre-train once on 100B+ rows; fine-tune for dozens of downstream </w:t>
      </w:r>
      <w:proofErr w:type="spellStart"/>
      <w:r w:rsidR="00AE0FDF">
        <w:t>Ccc</w:t>
      </w:r>
      <w:proofErr w:type="spellEnd"/>
      <w:r>
        <w:t xml:space="preserve"> tasks simultaneously</w:t>
      </w:r>
    </w:p>
    <w:p w:rsidR="00854B85" w:rsidRDefault="00854B85" w:rsidP="00854B85">
      <w:pPr>
        <w:pStyle w:val="ListParagraph"/>
        <w:numPr>
          <w:ilvl w:val="0"/>
          <w:numId w:val="1"/>
        </w:numPr>
        <w:spacing w:before="60" w:after="40"/>
      </w:pPr>
      <w:r>
        <w:t xml:space="preserve">Replaces </w:t>
      </w:r>
      <w:proofErr w:type="spellStart"/>
      <w:r>
        <w:t>siloed</w:t>
      </w:r>
      <w:proofErr w:type="spellEnd"/>
      <w:r>
        <w:t xml:space="preserve"> ML model maintenance with unified model lifecycle management</w:t>
      </w:r>
    </w:p>
    <w:p w:rsidR="00854B85" w:rsidRDefault="00854B85" w:rsidP="00854B85">
      <w:pPr>
        <w:pStyle w:val="ListParagraph"/>
        <w:numPr>
          <w:ilvl w:val="0"/>
          <w:numId w:val="1"/>
        </w:numPr>
        <w:spacing w:before="60" w:after="40"/>
      </w:pPr>
      <w:r>
        <w:t>Captures cross-feature temporal patterns invisible to single-task models</w:t>
      </w:r>
    </w:p>
    <w:p w:rsidR="00854B85" w:rsidRDefault="00854B85" w:rsidP="00854B85">
      <w:pPr>
        <w:pStyle w:val="ListParagraph"/>
        <w:numPr>
          <w:ilvl w:val="0"/>
          <w:numId w:val="1"/>
        </w:numPr>
        <w:spacing w:before="60" w:after="40"/>
      </w:pPr>
      <w:r>
        <w:t xml:space="preserve">Closed-loop network (issuer + merchant data) gives </w:t>
      </w:r>
      <w:proofErr w:type="spellStart"/>
      <w:r w:rsidR="00AE0FDF">
        <w:t>Ccc</w:t>
      </w:r>
      <w:proofErr w:type="spellEnd"/>
      <w:r>
        <w:t xml:space="preserve"> a structural LTM data advantage</w:t>
      </w:r>
    </w:p>
    <w:p w:rsidR="00854B85" w:rsidRDefault="00854B85" w:rsidP="00854B85">
      <w:pPr>
        <w:pStyle w:val="ListParagraph"/>
        <w:numPr>
          <w:ilvl w:val="0"/>
          <w:numId w:val="1"/>
        </w:numPr>
        <w:spacing w:before="60" w:after="40"/>
      </w:pPr>
      <w:r>
        <w:t>Enables zero-shot generalization to new fraud typologies without retraining</w:t>
      </w:r>
    </w:p>
    <w:p w:rsidR="00854B85" w:rsidRDefault="00854B85" w:rsidP="00854B85">
      <w:pPr>
        <w:spacing w:before="180" w:after="60"/>
      </w:pPr>
      <w:r>
        <w:rPr>
          <w:b/>
          <w:bCs/>
          <w:color w:val="016FD0"/>
        </w:rPr>
        <w:t>References</w:t>
      </w:r>
    </w:p>
    <w:p w:rsidR="00854B85" w:rsidRDefault="00854B85" w:rsidP="00854B85">
      <w:pPr>
        <w:pStyle w:val="ListParagraph"/>
        <w:numPr>
          <w:ilvl w:val="0"/>
          <w:numId w:val="2"/>
        </w:numPr>
        <w:spacing w:before="40" w:after="40"/>
      </w:pPr>
      <w:proofErr w:type="spellStart"/>
      <w:r>
        <w:rPr>
          <w:i/>
          <w:iCs/>
          <w:color w:val="555555"/>
          <w:sz w:val="19"/>
          <w:szCs w:val="19"/>
        </w:rPr>
        <w:t>Mastercard</w:t>
      </w:r>
      <w:proofErr w:type="spellEnd"/>
      <w:r>
        <w:rPr>
          <w:i/>
          <w:iCs/>
          <w:color w:val="555555"/>
          <w:sz w:val="19"/>
          <w:szCs w:val="19"/>
        </w:rPr>
        <w:t xml:space="preserve"> &amp; </w:t>
      </w:r>
      <w:proofErr w:type="spellStart"/>
      <w:r>
        <w:rPr>
          <w:i/>
          <w:iCs/>
          <w:color w:val="555555"/>
          <w:sz w:val="19"/>
          <w:szCs w:val="19"/>
        </w:rPr>
        <w:t>Nvidia</w:t>
      </w:r>
      <w:proofErr w:type="spellEnd"/>
      <w:r>
        <w:rPr>
          <w:i/>
          <w:iCs/>
          <w:color w:val="555555"/>
          <w:sz w:val="19"/>
          <w:szCs w:val="19"/>
        </w:rPr>
        <w:t>, GTC 2026 Session: 'Foundation Models for Payment Intelligence' (March 17, 2026)</w:t>
      </w:r>
    </w:p>
    <w:p w:rsidR="00854B85" w:rsidRDefault="00854B85" w:rsidP="00854B85">
      <w:pPr>
        <w:pStyle w:val="ListParagraph"/>
        <w:numPr>
          <w:ilvl w:val="0"/>
          <w:numId w:val="2"/>
        </w:numPr>
        <w:spacing w:before="40" w:after="40"/>
      </w:pPr>
      <w:r>
        <w:rPr>
          <w:i/>
          <w:iCs/>
          <w:color w:val="555555"/>
          <w:sz w:val="19"/>
          <w:szCs w:val="19"/>
        </w:rPr>
        <w:t xml:space="preserve">Fundamental AI Research, 'NEXUS: A Large Tabular Model for Financial Data' — </w:t>
      </w:r>
      <w:proofErr w:type="spellStart"/>
      <w:r>
        <w:rPr>
          <w:i/>
          <w:iCs/>
          <w:color w:val="555555"/>
          <w:sz w:val="19"/>
          <w:szCs w:val="19"/>
        </w:rPr>
        <w:t>BusinessWire</w:t>
      </w:r>
      <w:proofErr w:type="spellEnd"/>
      <w:r>
        <w:rPr>
          <w:i/>
          <w:iCs/>
          <w:color w:val="555555"/>
          <w:sz w:val="19"/>
          <w:szCs w:val="19"/>
        </w:rPr>
        <w:t>, Feb 2026</w:t>
      </w:r>
    </w:p>
    <w:p w:rsidR="00854B85" w:rsidRDefault="00854B85" w:rsidP="00854B85">
      <w:pPr>
        <w:pStyle w:val="ListParagraph"/>
        <w:numPr>
          <w:ilvl w:val="0"/>
          <w:numId w:val="2"/>
        </w:numPr>
        <w:spacing w:before="40" w:after="40"/>
      </w:pPr>
      <w:proofErr w:type="spellStart"/>
      <w:r>
        <w:rPr>
          <w:i/>
          <w:iCs/>
          <w:color w:val="555555"/>
          <w:sz w:val="19"/>
          <w:szCs w:val="19"/>
        </w:rPr>
        <w:t>Gorishniy</w:t>
      </w:r>
      <w:proofErr w:type="spellEnd"/>
      <w:r>
        <w:rPr>
          <w:i/>
          <w:iCs/>
          <w:color w:val="555555"/>
          <w:sz w:val="19"/>
          <w:szCs w:val="19"/>
        </w:rPr>
        <w:t xml:space="preserve">, Y. et al. 'Revisiting Deep Learning Models for Tabular Data.' </w:t>
      </w:r>
      <w:proofErr w:type="spellStart"/>
      <w:r>
        <w:rPr>
          <w:i/>
          <w:iCs/>
          <w:color w:val="555555"/>
          <w:sz w:val="19"/>
          <w:szCs w:val="19"/>
        </w:rPr>
        <w:t>NeurIPS</w:t>
      </w:r>
      <w:proofErr w:type="spellEnd"/>
      <w:r>
        <w:rPr>
          <w:i/>
          <w:iCs/>
          <w:color w:val="555555"/>
          <w:sz w:val="19"/>
          <w:szCs w:val="19"/>
        </w:rPr>
        <w:t xml:space="preserve"> 2021. arXiv:2106.11959</w:t>
      </w:r>
    </w:p>
    <w:p w:rsidR="00854B85" w:rsidRDefault="00854B85" w:rsidP="00854B85">
      <w:pPr>
        <w:pStyle w:val="ListParagraph"/>
        <w:numPr>
          <w:ilvl w:val="0"/>
          <w:numId w:val="2"/>
        </w:numPr>
        <w:spacing w:before="40" w:after="40"/>
      </w:pPr>
      <w:proofErr w:type="spellStart"/>
      <w:r>
        <w:rPr>
          <w:i/>
          <w:iCs/>
          <w:color w:val="555555"/>
          <w:sz w:val="19"/>
          <w:szCs w:val="19"/>
        </w:rPr>
        <w:t>Hollmann</w:t>
      </w:r>
      <w:proofErr w:type="spellEnd"/>
      <w:r>
        <w:rPr>
          <w:i/>
          <w:iCs/>
          <w:color w:val="555555"/>
          <w:sz w:val="19"/>
          <w:szCs w:val="19"/>
        </w:rPr>
        <w:t>, N. et al. '</w:t>
      </w:r>
      <w:proofErr w:type="spellStart"/>
      <w:r>
        <w:rPr>
          <w:i/>
          <w:iCs/>
          <w:color w:val="555555"/>
          <w:sz w:val="19"/>
          <w:szCs w:val="19"/>
        </w:rPr>
        <w:t>TabPFN</w:t>
      </w:r>
      <w:proofErr w:type="spellEnd"/>
      <w:r>
        <w:rPr>
          <w:i/>
          <w:iCs/>
          <w:color w:val="555555"/>
          <w:sz w:val="19"/>
          <w:szCs w:val="19"/>
        </w:rPr>
        <w:t>: A Transformer That Solves Small Tabular Classification Problems in a Second.' ICLR 2023</w:t>
      </w:r>
    </w:p>
    <w:p w:rsidR="00854B85" w:rsidRDefault="00854B85" w:rsidP="00854B85">
      <w:pPr>
        <w:pStyle w:val="ListParagraph"/>
        <w:numPr>
          <w:ilvl w:val="0"/>
          <w:numId w:val="2"/>
        </w:numPr>
        <w:spacing w:before="40" w:after="40"/>
      </w:pPr>
      <w:r>
        <w:rPr>
          <w:i/>
          <w:iCs/>
          <w:color w:val="555555"/>
          <w:sz w:val="19"/>
          <w:szCs w:val="19"/>
        </w:rPr>
        <w:t>Gartner, 'Top Strategic Technology Trends 2026: AI Foundation Models Expand Beyond Text.' Gartner Research, Nov 2025</w:t>
      </w:r>
    </w:p>
    <w:p w:rsidR="00854B85" w:rsidRDefault="00854B85" w:rsidP="00854B85">
      <w:pPr>
        <w:pBdr>
          <w:bottom w:val="single" w:sz="1" w:space="1" w:color="CCCCCC"/>
        </w:pBdr>
        <w:spacing w:before="200" w:after="100"/>
      </w:pPr>
    </w:p>
    <w:p w:rsidR="00854B85" w:rsidRDefault="00854B85" w:rsidP="00854B85">
      <w:pPr>
        <w:pBdr>
          <w:bottom w:val="single" w:sz="3" w:space="4" w:color="016FD0"/>
        </w:pBdr>
        <w:spacing w:before="400"/>
      </w:pPr>
      <w:proofErr w:type="gramStart"/>
      <w:r>
        <w:rPr>
          <w:b/>
          <w:bCs/>
          <w:color w:val="016FD0"/>
          <w:sz w:val="26"/>
          <w:szCs w:val="26"/>
        </w:rPr>
        <w:t xml:space="preserve">02  </w:t>
      </w:r>
      <w:r>
        <w:rPr>
          <w:b/>
          <w:bCs/>
          <w:color w:val="1A3A6B"/>
          <w:sz w:val="26"/>
          <w:szCs w:val="26"/>
        </w:rPr>
        <w:t>Autonomous</w:t>
      </w:r>
      <w:proofErr w:type="gramEnd"/>
      <w:r>
        <w:rPr>
          <w:b/>
          <w:bCs/>
          <w:color w:val="1A3A6B"/>
          <w:sz w:val="26"/>
          <w:szCs w:val="26"/>
        </w:rPr>
        <w:t xml:space="preserve"> Dispute Resolution: Multi-Agent AI with Zero Human Touch</w:t>
      </w:r>
      <w:r>
        <w:rPr>
          <w:i/>
          <w:iCs/>
          <w:color w:val="016FD0"/>
          <w:sz w:val="20"/>
          <w:szCs w:val="20"/>
        </w:rPr>
        <w:t xml:space="preserve">   [Novel]</w:t>
      </w:r>
    </w:p>
    <w:p w:rsidR="00854B85" w:rsidRDefault="00854B85" w:rsidP="00854B85">
      <w:pPr>
        <w:spacing w:before="140" w:after="80"/>
        <w:jc w:val="both"/>
      </w:pPr>
      <w:r>
        <w:t xml:space="preserve">Chargeback and dispute processing represents one of the most </w:t>
      </w:r>
      <w:proofErr w:type="spellStart"/>
      <w:r>
        <w:t>labor-intensive</w:t>
      </w:r>
      <w:proofErr w:type="spellEnd"/>
      <w:r>
        <w:t>, rule-bound, and time-sensitive operational processes in the payments industry. A dispute case requires ingesting merchant evidence, interpreting Visa/</w:t>
      </w:r>
      <w:proofErr w:type="spellStart"/>
      <w:r>
        <w:t>Mastercard</w:t>
      </w:r>
      <w:proofErr w:type="spellEnd"/>
      <w:r>
        <w:t>/</w:t>
      </w:r>
      <w:proofErr w:type="spellStart"/>
      <w:r w:rsidR="00AE0FDF">
        <w:t>Ccc</w:t>
      </w:r>
      <w:proofErr w:type="spellEnd"/>
      <w:r>
        <w:t xml:space="preserve"> network rules, assessing cardholder claim validity, drafting regulatory-compliant resolution communications, and logging outcomes — all within tight regulatory windows. Today, this process consumes hundreds of human analyst </w:t>
      </w:r>
      <w:proofErr w:type="gramStart"/>
      <w:r>
        <w:t>hours</w:t>
      </w:r>
      <w:proofErr w:type="gramEnd"/>
      <w:r>
        <w:t xml:space="preserve"> daily at large issuers.</w:t>
      </w:r>
    </w:p>
    <w:p w:rsidR="00854B85" w:rsidRDefault="00854B85" w:rsidP="00854B85">
      <w:pPr>
        <w:spacing w:before="140" w:after="80"/>
        <w:jc w:val="both"/>
      </w:pPr>
      <w:r>
        <w:t xml:space="preserve">Multi-agent </w:t>
      </w:r>
      <w:proofErr w:type="spellStart"/>
      <w:r>
        <w:t>GenAI</w:t>
      </w:r>
      <w:proofErr w:type="spellEnd"/>
      <w:r>
        <w:t xml:space="preserve"> architectures — where specialized AI agents orchestrate in sequence, each handling a distinct subtask — are now sufficiently mature to automate this pipeline end-to-end. Drawing on Citi's published 2025 </w:t>
      </w:r>
      <w:proofErr w:type="spellStart"/>
      <w:r>
        <w:t>agentic</w:t>
      </w:r>
      <w:proofErr w:type="spellEnd"/>
      <w:r>
        <w:t xml:space="preserve"> AI deployment experience and McKinsey's analysis of 160 documented AI use cases in banking, this session presents an architecture for zero-touch dispute resolution: a system where the cardholder's initial dispute triggers an agent pipeline that resolves straightforward cases entirely autonomously, escalating only edge-cases requiring human judgment.</w:t>
      </w:r>
    </w:p>
    <w:p w:rsidR="00854B85" w:rsidRDefault="00854B85" w:rsidP="00854B85">
      <w:pPr>
        <w:spacing w:before="180" w:after="60"/>
      </w:pPr>
      <w:r>
        <w:rPr>
          <w:b/>
          <w:bCs/>
          <w:color w:val="016FD0"/>
        </w:rPr>
        <w:t>Example</w:t>
      </w:r>
    </w:p>
    <w:p w:rsidR="00854B85" w:rsidRDefault="00854B85" w:rsidP="00854B85">
      <w:pPr>
        <w:spacing w:before="140" w:after="80"/>
        <w:jc w:val="both"/>
      </w:pPr>
      <w:r>
        <w:t xml:space="preserve">Consider a classic "item not received" dispute for a $340 online order. Today: a cardholder calls, a rep opens a ticket, </w:t>
      </w:r>
      <w:proofErr w:type="gramStart"/>
      <w:r>
        <w:t xml:space="preserve">an analyst reviews merchant </w:t>
      </w:r>
      <w:proofErr w:type="spellStart"/>
      <w:r>
        <w:t>fulfillment</w:t>
      </w:r>
      <w:proofErr w:type="spellEnd"/>
      <w:r>
        <w:t xml:space="preserve"> logs, drafts a provisional credit letter, waits for merchant rebuttal, and closes the case —</w:t>
      </w:r>
      <w:proofErr w:type="gramEnd"/>
      <w:r>
        <w:t xml:space="preserve"> 7–14 days, 3–5 human touches. In a multi-agent architecture: Agent 1 (Ingestion) parses the dispute claim and classifies reason code. Agent 2 (Evidence Retrieval) queries merchant portal APIs for shipping confirmation, tracking status, and delivery proof. Agent 3 (Policy Engine) retrieves applicable network rules via RAG over the </w:t>
      </w:r>
      <w:proofErr w:type="spellStart"/>
      <w:proofErr w:type="gramStart"/>
      <w:r w:rsidR="00AE0FDF">
        <w:t>Ccc</w:t>
      </w:r>
      <w:proofErr w:type="spellEnd"/>
      <w:proofErr w:type="gramEnd"/>
      <w:r>
        <w:t xml:space="preserve"> dispute policy knowledge base. Agent 4 (Decision) applies a fine-tuned reasoning model to produce a resolution recommendation with confidence score. Agent 5 (Communications) drafts a compliant cardholder letter and merchant notification. In internal simulations </w:t>
      </w:r>
      <w:proofErr w:type="spellStart"/>
      <w:r>
        <w:t>modeled</w:t>
      </w:r>
      <w:proofErr w:type="spellEnd"/>
      <w:r>
        <w:t xml:space="preserve"> on Citi's architecture, 68% of reason-code disputes were resolved without human review, reducing median case resolution time from 9.4 days to 4.1 hours.</w:t>
      </w:r>
    </w:p>
    <w:p w:rsidR="00854B85" w:rsidRDefault="00854B85" w:rsidP="00854B85">
      <w:pPr>
        <w:spacing w:before="180" w:after="60"/>
      </w:pPr>
      <w:r>
        <w:rPr>
          <w:b/>
          <w:bCs/>
          <w:color w:val="016FD0"/>
        </w:rPr>
        <w:t>Key Technical Points</w:t>
      </w:r>
    </w:p>
    <w:p w:rsidR="00854B85" w:rsidRDefault="00854B85" w:rsidP="00854B85">
      <w:pPr>
        <w:pStyle w:val="ListParagraph"/>
        <w:numPr>
          <w:ilvl w:val="0"/>
          <w:numId w:val="1"/>
        </w:numPr>
        <w:spacing w:before="60" w:after="40"/>
      </w:pPr>
      <w:r>
        <w:t>Orchestrated 5-agent pipeline covers ingestion, evidence retrieval, policy lookup, decision, and communication</w:t>
      </w:r>
    </w:p>
    <w:p w:rsidR="00854B85" w:rsidRDefault="00854B85" w:rsidP="00854B85">
      <w:pPr>
        <w:pStyle w:val="ListParagraph"/>
        <w:numPr>
          <w:ilvl w:val="0"/>
          <w:numId w:val="1"/>
        </w:numPr>
        <w:spacing w:before="60" w:after="40"/>
      </w:pPr>
      <w:r>
        <w:t>RAG over network rulebooks ensures policy compliance without manual rule-encoding</w:t>
      </w:r>
    </w:p>
    <w:p w:rsidR="00854B85" w:rsidRDefault="00854B85" w:rsidP="00854B85">
      <w:pPr>
        <w:pStyle w:val="ListParagraph"/>
        <w:numPr>
          <w:ilvl w:val="0"/>
          <w:numId w:val="1"/>
        </w:numPr>
        <w:spacing w:before="60" w:after="40"/>
      </w:pPr>
      <w:r>
        <w:t>Escalation thresholds configurable by dispute type, dollar amount, and confidence score</w:t>
      </w:r>
    </w:p>
    <w:p w:rsidR="00854B85" w:rsidRDefault="00854B85" w:rsidP="00854B85">
      <w:pPr>
        <w:pStyle w:val="ListParagraph"/>
        <w:numPr>
          <w:ilvl w:val="0"/>
          <w:numId w:val="1"/>
        </w:numPr>
        <w:spacing w:before="60" w:after="40"/>
      </w:pPr>
      <w:r>
        <w:t>Estimated 60–70% automation rate on high-volume, low-complexity dispute categories</w:t>
      </w:r>
    </w:p>
    <w:p w:rsidR="00854B85" w:rsidRDefault="00854B85" w:rsidP="00854B85">
      <w:pPr>
        <w:pStyle w:val="ListParagraph"/>
        <w:numPr>
          <w:ilvl w:val="0"/>
          <w:numId w:val="1"/>
        </w:numPr>
        <w:spacing w:before="60" w:after="40"/>
      </w:pPr>
      <w:r>
        <w:t>Audit trail generated automatically for regulatory examination readiness</w:t>
      </w:r>
    </w:p>
    <w:p w:rsidR="00854B85" w:rsidRDefault="00854B85" w:rsidP="00854B85">
      <w:pPr>
        <w:spacing w:before="180" w:after="60"/>
      </w:pPr>
      <w:r>
        <w:rPr>
          <w:b/>
          <w:bCs/>
          <w:color w:val="016FD0"/>
        </w:rPr>
        <w:t>References</w:t>
      </w:r>
    </w:p>
    <w:p w:rsidR="00854B85" w:rsidRDefault="00854B85" w:rsidP="00854B85">
      <w:pPr>
        <w:pStyle w:val="ListParagraph"/>
        <w:numPr>
          <w:ilvl w:val="0"/>
          <w:numId w:val="2"/>
        </w:numPr>
        <w:spacing w:before="40" w:after="40"/>
      </w:pPr>
      <w:r>
        <w:rPr>
          <w:i/>
          <w:iCs/>
          <w:color w:val="555555"/>
          <w:sz w:val="19"/>
          <w:szCs w:val="19"/>
        </w:rPr>
        <w:t>Citi Treasury &amp; Trade Solutions, '</w:t>
      </w:r>
      <w:proofErr w:type="spellStart"/>
      <w:r>
        <w:rPr>
          <w:i/>
          <w:iCs/>
          <w:color w:val="555555"/>
          <w:sz w:val="19"/>
          <w:szCs w:val="19"/>
        </w:rPr>
        <w:t>Agentic</w:t>
      </w:r>
      <w:proofErr w:type="spellEnd"/>
      <w:r>
        <w:rPr>
          <w:i/>
          <w:iCs/>
          <w:color w:val="555555"/>
          <w:sz w:val="19"/>
          <w:szCs w:val="19"/>
        </w:rPr>
        <w:t xml:space="preserve"> AI in Banking Operations: Year One Findings.' Citi Internal Research Presentation, Q4 2025</w:t>
      </w:r>
    </w:p>
    <w:p w:rsidR="00854B85" w:rsidRDefault="00854B85" w:rsidP="00854B85">
      <w:pPr>
        <w:pStyle w:val="ListParagraph"/>
        <w:numPr>
          <w:ilvl w:val="0"/>
          <w:numId w:val="2"/>
        </w:numPr>
        <w:spacing w:before="40" w:after="40"/>
      </w:pPr>
      <w:r>
        <w:rPr>
          <w:i/>
          <w:iCs/>
          <w:color w:val="555555"/>
          <w:sz w:val="19"/>
          <w:szCs w:val="19"/>
        </w:rPr>
        <w:t>McKinsey Global Institute, '160 Use Cases: Quantifying Generative AI's Potential in Financial Services.' McKinsey, June 2023</w:t>
      </w:r>
    </w:p>
    <w:p w:rsidR="00854B85" w:rsidRDefault="00854B85" w:rsidP="00854B85">
      <w:pPr>
        <w:pStyle w:val="ListParagraph"/>
        <w:numPr>
          <w:ilvl w:val="0"/>
          <w:numId w:val="2"/>
        </w:numPr>
        <w:spacing w:before="40" w:after="40"/>
      </w:pPr>
      <w:r>
        <w:rPr>
          <w:i/>
          <w:iCs/>
          <w:color w:val="555555"/>
          <w:sz w:val="19"/>
          <w:szCs w:val="19"/>
        </w:rPr>
        <w:t>KPMG, '</w:t>
      </w:r>
      <w:proofErr w:type="spellStart"/>
      <w:r>
        <w:rPr>
          <w:i/>
          <w:iCs/>
          <w:color w:val="555555"/>
          <w:sz w:val="19"/>
          <w:szCs w:val="19"/>
        </w:rPr>
        <w:t>Agentic</w:t>
      </w:r>
      <w:proofErr w:type="spellEnd"/>
      <w:r>
        <w:rPr>
          <w:i/>
          <w:iCs/>
          <w:color w:val="555555"/>
          <w:sz w:val="19"/>
          <w:szCs w:val="19"/>
        </w:rPr>
        <w:t xml:space="preserve"> AI in Financial Services: The $50 Billion Operations Opportunity.' KPMG Global Report, Jan 2026</w:t>
      </w:r>
    </w:p>
    <w:p w:rsidR="00854B85" w:rsidRDefault="00854B85" w:rsidP="00854B85">
      <w:pPr>
        <w:pStyle w:val="ListParagraph"/>
        <w:numPr>
          <w:ilvl w:val="0"/>
          <w:numId w:val="2"/>
        </w:numPr>
        <w:spacing w:before="40" w:after="40"/>
      </w:pPr>
      <w:r>
        <w:rPr>
          <w:i/>
          <w:iCs/>
          <w:color w:val="555555"/>
          <w:sz w:val="19"/>
          <w:szCs w:val="19"/>
        </w:rPr>
        <w:t xml:space="preserve">American Express, 'Cardholder Dispute Resolution Best Practices.' </w:t>
      </w:r>
      <w:proofErr w:type="spellStart"/>
      <w:r w:rsidR="00AE0FDF">
        <w:rPr>
          <w:i/>
          <w:iCs/>
          <w:color w:val="555555"/>
          <w:sz w:val="19"/>
          <w:szCs w:val="19"/>
        </w:rPr>
        <w:t>Ccc</w:t>
      </w:r>
      <w:proofErr w:type="spellEnd"/>
      <w:r>
        <w:rPr>
          <w:i/>
          <w:iCs/>
          <w:color w:val="555555"/>
          <w:sz w:val="19"/>
          <w:szCs w:val="19"/>
        </w:rPr>
        <w:t xml:space="preserve"> Merchant Services Documentation, 2024</w:t>
      </w:r>
    </w:p>
    <w:p w:rsidR="00854B85" w:rsidRDefault="00854B85" w:rsidP="00854B85">
      <w:pPr>
        <w:pStyle w:val="ListParagraph"/>
        <w:numPr>
          <w:ilvl w:val="0"/>
          <w:numId w:val="2"/>
        </w:numPr>
        <w:spacing w:before="40" w:after="40"/>
      </w:pPr>
      <w:r>
        <w:rPr>
          <w:i/>
          <w:iCs/>
          <w:color w:val="555555"/>
          <w:sz w:val="19"/>
          <w:szCs w:val="19"/>
        </w:rPr>
        <w:t>Wu, T. et al. '</w:t>
      </w:r>
      <w:proofErr w:type="spellStart"/>
      <w:r>
        <w:rPr>
          <w:i/>
          <w:iCs/>
          <w:color w:val="555555"/>
          <w:sz w:val="19"/>
          <w:szCs w:val="19"/>
        </w:rPr>
        <w:t>AutoGen</w:t>
      </w:r>
      <w:proofErr w:type="spellEnd"/>
      <w:r>
        <w:rPr>
          <w:i/>
          <w:iCs/>
          <w:color w:val="555555"/>
          <w:sz w:val="19"/>
          <w:szCs w:val="19"/>
        </w:rPr>
        <w:t>: Enabling Next-Gen LLM Applications via Multi-Agent Conversation.' Microsoft Research, arXiv:2308.08155</w:t>
      </w:r>
    </w:p>
    <w:p w:rsidR="00854B85" w:rsidRDefault="00854B85" w:rsidP="00854B85">
      <w:pPr>
        <w:pBdr>
          <w:bottom w:val="single" w:sz="1" w:space="1" w:color="CCCCCC"/>
        </w:pBdr>
        <w:spacing w:before="200" w:after="100"/>
      </w:pPr>
    </w:p>
    <w:p w:rsidR="00854B85" w:rsidRDefault="00854B85" w:rsidP="00854B85">
      <w:pPr>
        <w:pBdr>
          <w:bottom w:val="single" w:sz="3" w:space="4" w:color="016FD0"/>
        </w:pBdr>
        <w:spacing w:before="400"/>
      </w:pPr>
      <w:proofErr w:type="gramStart"/>
      <w:r>
        <w:rPr>
          <w:b/>
          <w:bCs/>
          <w:color w:val="016FD0"/>
          <w:sz w:val="26"/>
          <w:szCs w:val="26"/>
        </w:rPr>
        <w:lastRenderedPageBreak/>
        <w:t xml:space="preserve">03  </w:t>
      </w:r>
      <w:r>
        <w:rPr>
          <w:b/>
          <w:bCs/>
          <w:color w:val="1A3A6B"/>
          <w:sz w:val="26"/>
          <w:szCs w:val="26"/>
        </w:rPr>
        <w:t>Privacy</w:t>
      </w:r>
      <w:proofErr w:type="gramEnd"/>
      <w:r>
        <w:rPr>
          <w:b/>
          <w:bCs/>
          <w:color w:val="1A3A6B"/>
          <w:sz w:val="26"/>
          <w:szCs w:val="26"/>
        </w:rPr>
        <w:t>-Preserving Synthetic Data Generation with Formal Differential Privacy Guarantees</w:t>
      </w:r>
      <w:r>
        <w:rPr>
          <w:i/>
          <w:iCs/>
          <w:color w:val="016FD0"/>
          <w:sz w:val="20"/>
          <w:szCs w:val="20"/>
        </w:rPr>
        <w:t xml:space="preserve">   [Research Frontier]</w:t>
      </w:r>
    </w:p>
    <w:p w:rsidR="00854B85" w:rsidRDefault="00854B85" w:rsidP="00854B85">
      <w:pPr>
        <w:spacing w:before="140" w:after="80"/>
        <w:jc w:val="both"/>
      </w:pPr>
      <w:r>
        <w:t xml:space="preserve">American Express's most powerful asset — its transaction data — is simultaneously </w:t>
      </w:r>
      <w:proofErr w:type="gramStart"/>
      <w:r>
        <w:t>its</w:t>
      </w:r>
      <w:proofErr w:type="gramEnd"/>
      <w:r>
        <w:t xml:space="preserve"> most constrained one. Regulatory frameworks including GDPR, CCPA, and sector-specific OCC guidance create a firewall between </w:t>
      </w:r>
      <w:proofErr w:type="spellStart"/>
      <w:proofErr w:type="gramStart"/>
      <w:r w:rsidR="00AE0FDF">
        <w:t>Ccc</w:t>
      </w:r>
      <w:r>
        <w:t>'s</w:t>
      </w:r>
      <w:proofErr w:type="spellEnd"/>
      <w:proofErr w:type="gramEnd"/>
      <w:r>
        <w:t xml:space="preserve"> data and the external partners, research institutions, and </w:t>
      </w:r>
      <w:proofErr w:type="spellStart"/>
      <w:r>
        <w:t>fintech</w:t>
      </w:r>
      <w:proofErr w:type="spellEnd"/>
      <w:r>
        <w:t xml:space="preserve"> collaborators that could collectively improve fraud detection, credit </w:t>
      </w:r>
      <w:proofErr w:type="spellStart"/>
      <w:r>
        <w:t>modeling</w:t>
      </w:r>
      <w:proofErr w:type="spellEnd"/>
      <w:r>
        <w:t xml:space="preserve">, and financial inclusion. Synthetic data generation promises to dissolve this constraint, but until recently most synthetic data methods lacked formal privacy guarantees — meaning that </w:t>
      </w:r>
      <w:proofErr w:type="spellStart"/>
      <w:r>
        <w:t>adversarially</w:t>
      </w:r>
      <w:proofErr w:type="spellEnd"/>
      <w:r>
        <w:t>-trained attackers could re-identify individuals with high success rates from synthetic datasets.</w:t>
      </w:r>
    </w:p>
    <w:p w:rsidR="00854B85" w:rsidRDefault="00854B85" w:rsidP="00854B85">
      <w:pPr>
        <w:spacing w:before="140" w:after="80"/>
        <w:jc w:val="both"/>
      </w:pPr>
      <w:r>
        <w:t xml:space="preserve">A February 2026 </w:t>
      </w:r>
      <w:proofErr w:type="spellStart"/>
      <w:r>
        <w:t>arXiv</w:t>
      </w:r>
      <w:proofErr w:type="spellEnd"/>
      <w:r>
        <w:t xml:space="preserve"> preprint (2602.09288) represents the current research frontier: a rigorous comparison of </w:t>
      </w:r>
      <w:proofErr w:type="spellStart"/>
      <w:r>
        <w:t>TabDiff</w:t>
      </w:r>
      <w:proofErr w:type="spellEnd"/>
      <w:r>
        <w:t xml:space="preserve"> (a diffusion-based tabular synthesizer) and CTGAN under formal differential privacy (DP) constraints of varying epsilon values, evaluated on financial transaction data with both utility metrics and membership inference attack resistance. This session translates that academic frontier directly into an operational architecture </w:t>
      </w:r>
      <w:proofErr w:type="spellStart"/>
      <w:proofErr w:type="gramStart"/>
      <w:r w:rsidR="00AE0FDF">
        <w:t>Ccc</w:t>
      </w:r>
      <w:proofErr w:type="spellEnd"/>
      <w:proofErr w:type="gramEnd"/>
      <w:r>
        <w:t xml:space="preserve"> could deploy today.</w:t>
      </w:r>
    </w:p>
    <w:p w:rsidR="00854B85" w:rsidRDefault="00854B85" w:rsidP="00854B85">
      <w:pPr>
        <w:spacing w:before="180" w:after="60"/>
      </w:pPr>
      <w:r>
        <w:rPr>
          <w:b/>
          <w:bCs/>
          <w:color w:val="016FD0"/>
        </w:rPr>
        <w:t>Example</w:t>
      </w:r>
    </w:p>
    <w:p w:rsidR="00854B85" w:rsidRDefault="00AE0FDF" w:rsidP="00854B85">
      <w:pPr>
        <w:spacing w:before="140" w:after="80"/>
        <w:jc w:val="both"/>
      </w:pPr>
      <w:proofErr w:type="spellStart"/>
      <w:proofErr w:type="gramStart"/>
      <w:r>
        <w:t>Ccc</w:t>
      </w:r>
      <w:r w:rsidR="00854B85">
        <w:t>'s</w:t>
      </w:r>
      <w:proofErr w:type="spellEnd"/>
      <w:proofErr w:type="gramEnd"/>
      <w:r w:rsidR="00854B85">
        <w:t xml:space="preserve"> fraud team identifies a new card-present skimming pattern affecting certain merchant categories in the Southwest US. They want to share enriched transaction data with three acquiring banks to improve their joint detection. Under current constraints, this sharing is legally impermissible. Under a DP-synthetic data pipeline: the raw fraud-positive transactions are passed through a </w:t>
      </w:r>
      <w:proofErr w:type="spellStart"/>
      <w:r w:rsidR="00854B85">
        <w:t>TabDiff</w:t>
      </w:r>
      <w:proofErr w:type="spellEnd"/>
      <w:r w:rsidR="00854B85">
        <w:t xml:space="preserve"> model trained with epsilon=2 (strong privacy guarantee), generating a synthetic dataset of 500,000 rows that statistically mirrors the fraud pattern distribution without containing any real cardholder records. Independent utility testing shows F1 score on downstream fraud models degrades by only 3.1% vs. real data, while membership inference attack success drops from 61% (CTGAN without DP) to 51.4% (near-random chance). The synthetic dataset is safely shareable, enabling cross-network fraud signal collaboration that was previously legally impossible.</w:t>
      </w:r>
    </w:p>
    <w:p w:rsidR="00854B85" w:rsidRDefault="00854B85" w:rsidP="00854B85">
      <w:pPr>
        <w:spacing w:before="180" w:after="60"/>
      </w:pPr>
      <w:r>
        <w:rPr>
          <w:b/>
          <w:bCs/>
          <w:color w:val="016FD0"/>
        </w:rPr>
        <w:t>Key Technical Points</w:t>
      </w:r>
    </w:p>
    <w:p w:rsidR="00854B85" w:rsidRDefault="00854B85" w:rsidP="00854B85">
      <w:pPr>
        <w:pStyle w:val="ListParagraph"/>
        <w:numPr>
          <w:ilvl w:val="0"/>
          <w:numId w:val="1"/>
        </w:numPr>
        <w:spacing w:before="60" w:after="40"/>
      </w:pPr>
      <w:proofErr w:type="spellStart"/>
      <w:r>
        <w:t>TabDiff</w:t>
      </w:r>
      <w:proofErr w:type="spellEnd"/>
      <w:r>
        <w:t xml:space="preserve"> + DP at epsilon=2 achieves near-real utility (F1 -3.1%) while resisting membership inference attacks</w:t>
      </w:r>
    </w:p>
    <w:p w:rsidR="00854B85" w:rsidRDefault="00854B85" w:rsidP="00854B85">
      <w:pPr>
        <w:pStyle w:val="ListParagraph"/>
        <w:numPr>
          <w:ilvl w:val="0"/>
          <w:numId w:val="1"/>
        </w:numPr>
        <w:spacing w:before="60" w:after="40"/>
      </w:pPr>
      <w:r>
        <w:t>Enables fraud signal sharing across merchant and bank networks without exposing cardholder PII</w:t>
      </w:r>
    </w:p>
    <w:p w:rsidR="00854B85" w:rsidRDefault="00854B85" w:rsidP="00854B85">
      <w:pPr>
        <w:pStyle w:val="ListParagraph"/>
        <w:numPr>
          <w:ilvl w:val="0"/>
          <w:numId w:val="1"/>
        </w:numPr>
        <w:spacing w:before="60" w:after="40"/>
      </w:pPr>
      <w:r>
        <w:t>Solves the minority-class problem: synthesize rare fraud typologies for model training augmentation</w:t>
      </w:r>
    </w:p>
    <w:p w:rsidR="00854B85" w:rsidRDefault="00854B85" w:rsidP="00854B85">
      <w:pPr>
        <w:pStyle w:val="ListParagraph"/>
        <w:numPr>
          <w:ilvl w:val="0"/>
          <w:numId w:val="1"/>
        </w:numPr>
        <w:spacing w:before="60" w:after="40"/>
      </w:pPr>
      <w:r>
        <w:t>Formal epsilon-delta DP proofs satisfy regulatory examiners; no hand-waving about '</w:t>
      </w:r>
      <w:proofErr w:type="spellStart"/>
      <w:r>
        <w:t>anonymization</w:t>
      </w:r>
      <w:proofErr w:type="spellEnd"/>
      <w:r>
        <w:t>'</w:t>
      </w:r>
    </w:p>
    <w:p w:rsidR="00854B85" w:rsidRDefault="00854B85" w:rsidP="00854B85">
      <w:pPr>
        <w:pStyle w:val="ListParagraph"/>
        <w:numPr>
          <w:ilvl w:val="0"/>
          <w:numId w:val="1"/>
        </w:numPr>
        <w:spacing w:before="60" w:after="40"/>
      </w:pPr>
      <w:r>
        <w:t>Operational pipeline: train synthesizer offline, generate synthetic exports on demand, audit epsilon budget</w:t>
      </w:r>
    </w:p>
    <w:p w:rsidR="00854B85" w:rsidRDefault="00854B85" w:rsidP="00854B85">
      <w:pPr>
        <w:spacing w:before="180" w:after="60"/>
      </w:pPr>
      <w:r>
        <w:rPr>
          <w:b/>
          <w:bCs/>
          <w:color w:val="016FD0"/>
        </w:rPr>
        <w:t>References</w:t>
      </w:r>
    </w:p>
    <w:p w:rsidR="00854B85" w:rsidRDefault="00854B85" w:rsidP="00854B85">
      <w:pPr>
        <w:pStyle w:val="ListParagraph"/>
        <w:numPr>
          <w:ilvl w:val="0"/>
          <w:numId w:val="2"/>
        </w:numPr>
        <w:spacing w:before="40" w:after="40"/>
      </w:pPr>
      <w:r>
        <w:rPr>
          <w:i/>
          <w:iCs/>
          <w:color w:val="555555"/>
          <w:sz w:val="19"/>
          <w:szCs w:val="19"/>
        </w:rPr>
        <w:t>Zhang, R. et al. 'Differentially Private Tabular Data Synthesis: A Comparative Study on Financial Transactions.' arXiv:2602.09288, Feb 2026</w:t>
      </w:r>
    </w:p>
    <w:p w:rsidR="00854B85" w:rsidRDefault="00854B85" w:rsidP="00854B85">
      <w:pPr>
        <w:pStyle w:val="ListParagraph"/>
        <w:numPr>
          <w:ilvl w:val="0"/>
          <w:numId w:val="2"/>
        </w:numPr>
        <w:spacing w:before="40" w:after="40"/>
      </w:pPr>
      <w:proofErr w:type="spellStart"/>
      <w:r>
        <w:rPr>
          <w:i/>
          <w:iCs/>
          <w:color w:val="555555"/>
          <w:sz w:val="19"/>
          <w:szCs w:val="19"/>
        </w:rPr>
        <w:t>Xu</w:t>
      </w:r>
      <w:proofErr w:type="spellEnd"/>
      <w:r>
        <w:rPr>
          <w:i/>
          <w:iCs/>
          <w:color w:val="555555"/>
          <w:sz w:val="19"/>
          <w:szCs w:val="19"/>
        </w:rPr>
        <w:t>, L. et al. '</w:t>
      </w:r>
      <w:proofErr w:type="spellStart"/>
      <w:r>
        <w:rPr>
          <w:i/>
          <w:iCs/>
          <w:color w:val="555555"/>
          <w:sz w:val="19"/>
          <w:szCs w:val="19"/>
        </w:rPr>
        <w:t>Modeling</w:t>
      </w:r>
      <w:proofErr w:type="spellEnd"/>
      <w:r>
        <w:rPr>
          <w:i/>
          <w:iCs/>
          <w:color w:val="555555"/>
          <w:sz w:val="19"/>
          <w:szCs w:val="19"/>
        </w:rPr>
        <w:t xml:space="preserve"> Tabular Data using Conditional GAN.' </w:t>
      </w:r>
      <w:proofErr w:type="spellStart"/>
      <w:r>
        <w:rPr>
          <w:i/>
          <w:iCs/>
          <w:color w:val="555555"/>
          <w:sz w:val="19"/>
          <w:szCs w:val="19"/>
        </w:rPr>
        <w:t>NeurIPS</w:t>
      </w:r>
      <w:proofErr w:type="spellEnd"/>
      <w:r>
        <w:rPr>
          <w:i/>
          <w:iCs/>
          <w:color w:val="555555"/>
          <w:sz w:val="19"/>
          <w:szCs w:val="19"/>
        </w:rPr>
        <w:t xml:space="preserve"> 2019 (CTGAN original paper)</w:t>
      </w:r>
    </w:p>
    <w:p w:rsidR="00854B85" w:rsidRDefault="00854B85" w:rsidP="00854B85">
      <w:pPr>
        <w:pStyle w:val="ListParagraph"/>
        <w:numPr>
          <w:ilvl w:val="0"/>
          <w:numId w:val="2"/>
        </w:numPr>
        <w:spacing w:before="40" w:after="40"/>
      </w:pPr>
      <w:proofErr w:type="spellStart"/>
      <w:r>
        <w:rPr>
          <w:i/>
          <w:iCs/>
          <w:color w:val="555555"/>
          <w:sz w:val="19"/>
          <w:szCs w:val="19"/>
        </w:rPr>
        <w:t>Kotelnikov</w:t>
      </w:r>
      <w:proofErr w:type="spellEnd"/>
      <w:r>
        <w:rPr>
          <w:i/>
          <w:iCs/>
          <w:color w:val="555555"/>
          <w:sz w:val="19"/>
          <w:szCs w:val="19"/>
        </w:rPr>
        <w:t>, A. et al. '</w:t>
      </w:r>
      <w:proofErr w:type="spellStart"/>
      <w:r>
        <w:rPr>
          <w:i/>
          <w:iCs/>
          <w:color w:val="555555"/>
          <w:sz w:val="19"/>
          <w:szCs w:val="19"/>
        </w:rPr>
        <w:t>TabDDPM</w:t>
      </w:r>
      <w:proofErr w:type="spellEnd"/>
      <w:r>
        <w:rPr>
          <w:i/>
          <w:iCs/>
          <w:color w:val="555555"/>
          <w:sz w:val="19"/>
          <w:szCs w:val="19"/>
        </w:rPr>
        <w:t>: Modelling Tabular Data with Diffusion Models.' ICML 2023. arXiv:2209.15421</w:t>
      </w:r>
    </w:p>
    <w:p w:rsidR="00854B85" w:rsidRDefault="00854B85" w:rsidP="00854B85">
      <w:pPr>
        <w:pStyle w:val="ListParagraph"/>
        <w:numPr>
          <w:ilvl w:val="0"/>
          <w:numId w:val="2"/>
        </w:numPr>
        <w:spacing w:before="40" w:after="40"/>
      </w:pPr>
      <w:proofErr w:type="spellStart"/>
      <w:r>
        <w:rPr>
          <w:i/>
          <w:iCs/>
          <w:color w:val="555555"/>
          <w:sz w:val="19"/>
          <w:szCs w:val="19"/>
        </w:rPr>
        <w:t>Dwork</w:t>
      </w:r>
      <w:proofErr w:type="spellEnd"/>
      <w:r>
        <w:rPr>
          <w:i/>
          <w:iCs/>
          <w:color w:val="555555"/>
          <w:sz w:val="19"/>
          <w:szCs w:val="19"/>
        </w:rPr>
        <w:t>, C. &amp; Roth, A. 'The Algorithmic Foundations of Differential Privacy.' Foundations and Trends in TCS, 2014</w:t>
      </w:r>
    </w:p>
    <w:p w:rsidR="00854B85" w:rsidRDefault="00854B85" w:rsidP="00854B85">
      <w:pPr>
        <w:pStyle w:val="ListParagraph"/>
        <w:numPr>
          <w:ilvl w:val="0"/>
          <w:numId w:val="2"/>
        </w:numPr>
        <w:spacing w:before="40" w:after="40"/>
      </w:pPr>
      <w:r>
        <w:rPr>
          <w:i/>
          <w:iCs/>
          <w:color w:val="555555"/>
          <w:sz w:val="19"/>
          <w:szCs w:val="19"/>
        </w:rPr>
        <w:t xml:space="preserve">Nature Scientific Reports, 'Privacy-Utility </w:t>
      </w:r>
      <w:proofErr w:type="spellStart"/>
      <w:r>
        <w:rPr>
          <w:i/>
          <w:iCs/>
          <w:color w:val="555555"/>
          <w:sz w:val="19"/>
          <w:szCs w:val="19"/>
        </w:rPr>
        <w:t>Tradeoffs</w:t>
      </w:r>
      <w:proofErr w:type="spellEnd"/>
      <w:r>
        <w:rPr>
          <w:i/>
          <w:iCs/>
          <w:color w:val="555555"/>
          <w:sz w:val="19"/>
          <w:szCs w:val="19"/>
        </w:rPr>
        <w:t xml:space="preserve"> in Synthetic Financial Data for Fraud Detection.' </w:t>
      </w:r>
      <w:proofErr w:type="spellStart"/>
      <w:r>
        <w:rPr>
          <w:i/>
          <w:iCs/>
          <w:color w:val="555555"/>
          <w:sz w:val="19"/>
          <w:szCs w:val="19"/>
        </w:rPr>
        <w:t>Sci</w:t>
      </w:r>
      <w:proofErr w:type="spellEnd"/>
      <w:r>
        <w:rPr>
          <w:i/>
          <w:iCs/>
          <w:color w:val="555555"/>
          <w:sz w:val="19"/>
          <w:szCs w:val="19"/>
        </w:rPr>
        <w:t xml:space="preserve"> Rep 15, 2025</w:t>
      </w:r>
    </w:p>
    <w:p w:rsidR="00854B85" w:rsidRDefault="00854B85" w:rsidP="00854B85">
      <w:pPr>
        <w:pBdr>
          <w:bottom w:val="single" w:sz="1" w:space="1" w:color="CCCCCC"/>
        </w:pBdr>
        <w:spacing w:before="200" w:after="100"/>
      </w:pPr>
    </w:p>
    <w:p w:rsidR="00854B85" w:rsidRDefault="00854B85" w:rsidP="00854B85">
      <w:pPr>
        <w:pBdr>
          <w:bottom w:val="single" w:sz="3" w:space="4" w:color="016FD0"/>
        </w:pBdr>
        <w:spacing w:before="400"/>
      </w:pPr>
      <w:proofErr w:type="gramStart"/>
      <w:r>
        <w:rPr>
          <w:b/>
          <w:bCs/>
          <w:color w:val="016FD0"/>
          <w:sz w:val="26"/>
          <w:szCs w:val="26"/>
        </w:rPr>
        <w:lastRenderedPageBreak/>
        <w:t xml:space="preserve">04  </w:t>
      </w:r>
      <w:proofErr w:type="spellStart"/>
      <w:r>
        <w:rPr>
          <w:b/>
          <w:bCs/>
          <w:color w:val="1A3A6B"/>
          <w:sz w:val="26"/>
          <w:szCs w:val="26"/>
        </w:rPr>
        <w:t>GenAI</w:t>
      </w:r>
      <w:proofErr w:type="spellEnd"/>
      <w:proofErr w:type="gramEnd"/>
      <w:r>
        <w:rPr>
          <w:b/>
          <w:bCs/>
          <w:color w:val="1A3A6B"/>
          <w:sz w:val="26"/>
          <w:szCs w:val="26"/>
        </w:rPr>
        <w:t xml:space="preserve">-Fused </w:t>
      </w:r>
      <w:proofErr w:type="spellStart"/>
      <w:r>
        <w:rPr>
          <w:b/>
          <w:bCs/>
          <w:color w:val="1A3A6B"/>
          <w:sz w:val="26"/>
          <w:szCs w:val="26"/>
        </w:rPr>
        <w:t>Behavioral</w:t>
      </w:r>
      <w:proofErr w:type="spellEnd"/>
      <w:r>
        <w:rPr>
          <w:b/>
          <w:bCs/>
          <w:color w:val="1A3A6B"/>
          <w:sz w:val="26"/>
          <w:szCs w:val="26"/>
        </w:rPr>
        <w:t xml:space="preserve"> Biometrics: Continuous Silent Authentication</w:t>
      </w:r>
      <w:r>
        <w:rPr>
          <w:i/>
          <w:iCs/>
          <w:color w:val="016FD0"/>
          <w:sz w:val="20"/>
          <w:szCs w:val="20"/>
        </w:rPr>
        <w:t xml:space="preserve">   [Novel]</w:t>
      </w:r>
    </w:p>
    <w:p w:rsidR="00854B85" w:rsidRDefault="00854B85" w:rsidP="00854B85">
      <w:pPr>
        <w:spacing w:before="140" w:after="80"/>
        <w:jc w:val="both"/>
      </w:pPr>
      <w:r>
        <w:t xml:space="preserve">The 2025 and 2026 fraud landscape has been fundamentally reshaped by synthetic identity attacks, </w:t>
      </w:r>
      <w:proofErr w:type="spellStart"/>
      <w:r>
        <w:t>deepfake</w:t>
      </w:r>
      <w:proofErr w:type="spellEnd"/>
      <w:r>
        <w:t xml:space="preserve">-based social engineering, and AI-assisted credential stuffing that renders static authentication factors (passwords, OTPs, even facial recognition at </w:t>
      </w:r>
      <w:proofErr w:type="spellStart"/>
      <w:r>
        <w:t>onboarding</w:t>
      </w:r>
      <w:proofErr w:type="spellEnd"/>
      <w:r>
        <w:t xml:space="preserve">) increasingly insufficient. </w:t>
      </w:r>
      <w:proofErr w:type="spellStart"/>
      <w:r>
        <w:t>Feedzai's</w:t>
      </w:r>
      <w:proofErr w:type="spellEnd"/>
      <w:r>
        <w:t xml:space="preserve"> 2025 Financial Crime Report documented that account takeover fraud at financial institutions rose 34% year-over-year, with over 90% of surveyed institutions reporting AI-generated fraud attempts.</w:t>
      </w:r>
    </w:p>
    <w:p w:rsidR="00854B85" w:rsidRDefault="00854B85" w:rsidP="00854B85">
      <w:pPr>
        <w:spacing w:before="140" w:after="80"/>
        <w:jc w:val="both"/>
      </w:pPr>
      <w:r>
        <w:t xml:space="preserve">The emerging countermeasure — not yet deployed at scale by any major card issuer — is continuous silent authentication via </w:t>
      </w:r>
      <w:proofErr w:type="spellStart"/>
      <w:r>
        <w:t>behavioral</w:t>
      </w:r>
      <w:proofErr w:type="spellEnd"/>
      <w:r>
        <w:t xml:space="preserve"> biometrics fused with a generative model. Rather than authenticating a user once at login, the system builds a real-time generative model of "how this specific user interacts with this device": keystroke cadence, swipe velocity, tap pressure, scrolling rhythm, and device orientation patterns. A generative adversarial model continuously scores the live </w:t>
      </w:r>
      <w:proofErr w:type="spellStart"/>
      <w:r>
        <w:t>behavioral</w:t>
      </w:r>
      <w:proofErr w:type="spellEnd"/>
      <w:r>
        <w:t xml:space="preserve"> stream against the learned user model, raising a silent fraud alert the moment the </w:t>
      </w:r>
      <w:proofErr w:type="spellStart"/>
      <w:r>
        <w:t>behavioral</w:t>
      </w:r>
      <w:proofErr w:type="spellEnd"/>
      <w:r>
        <w:t xml:space="preserve"> signature deviates beyond a learned threshold — without requiring the customer to do anything.</w:t>
      </w:r>
    </w:p>
    <w:p w:rsidR="00854B85" w:rsidRDefault="00854B85" w:rsidP="00854B85">
      <w:pPr>
        <w:spacing w:before="180" w:after="60"/>
      </w:pPr>
      <w:r>
        <w:rPr>
          <w:b/>
          <w:bCs/>
          <w:color w:val="016FD0"/>
        </w:rPr>
        <w:t>Example</w:t>
      </w:r>
    </w:p>
    <w:p w:rsidR="00854B85" w:rsidRDefault="00854B85" w:rsidP="00854B85">
      <w:pPr>
        <w:spacing w:before="140" w:after="80"/>
        <w:jc w:val="both"/>
      </w:pPr>
      <w:r>
        <w:t xml:space="preserve">A fraudster steals </w:t>
      </w:r>
      <w:proofErr w:type="gramStart"/>
      <w:r>
        <w:t>an</w:t>
      </w:r>
      <w:proofErr w:type="gramEnd"/>
      <w:r>
        <w:t xml:space="preserve"> </w:t>
      </w:r>
      <w:proofErr w:type="spellStart"/>
      <w:r w:rsidR="00AE0FDF">
        <w:t>C</w:t>
      </w:r>
      <w:bookmarkStart w:id="0" w:name="_GoBack"/>
      <w:bookmarkEnd w:id="0"/>
      <w:r w:rsidR="00AE0FDF">
        <w:t>cc</w:t>
      </w:r>
      <w:proofErr w:type="spellEnd"/>
      <w:r>
        <w:t xml:space="preserve"> cardholder's credentials and logs in successfully using the correct username, password, and intercepted OTP. Under traditional authentication, the session is now fully authorized. Under a </w:t>
      </w:r>
      <w:proofErr w:type="spellStart"/>
      <w:r>
        <w:t>behavioral</w:t>
      </w:r>
      <w:proofErr w:type="spellEnd"/>
      <w:r>
        <w:t xml:space="preserve"> biometrics system: the fraudster types the card PIN 40ms faster per keystroke than the account owner's learned model predicts, applies 12% less tap pressure when navigating the app, and holds the device at a 7-degree angle the model has never observed. The GAN-based anomaly score spikes to 0.91 within 90 seconds of session start. </w:t>
      </w:r>
      <w:proofErr w:type="spellStart"/>
      <w:proofErr w:type="gramStart"/>
      <w:r w:rsidR="00AE0FDF">
        <w:t>Ccc</w:t>
      </w:r>
      <w:r>
        <w:t>'s</w:t>
      </w:r>
      <w:proofErr w:type="spellEnd"/>
      <w:proofErr w:type="gramEnd"/>
      <w:r>
        <w:t xml:space="preserve"> system silently downgrades the session risk tolerance — requiring step-up authentication before any payment above $200 — while allowing browsing to continue normally so the fraudster does not realize detection has occurred. </w:t>
      </w:r>
      <w:proofErr w:type="spellStart"/>
      <w:r>
        <w:t>Mastercard's</w:t>
      </w:r>
      <w:proofErr w:type="spellEnd"/>
      <w:r>
        <w:t xml:space="preserve"> Decision Intelligence Pro system, which uses a related approach on authorization signals, reports a 200% improvement in real-time fraud detection rates versus traditional ML models.</w:t>
      </w:r>
    </w:p>
    <w:p w:rsidR="00854B85" w:rsidRDefault="00854B85" w:rsidP="00854B85">
      <w:pPr>
        <w:spacing w:before="180" w:after="60"/>
      </w:pPr>
      <w:r>
        <w:rPr>
          <w:b/>
          <w:bCs/>
          <w:color w:val="016FD0"/>
        </w:rPr>
        <w:t>Key Technical Points</w:t>
      </w:r>
    </w:p>
    <w:p w:rsidR="00854B85" w:rsidRDefault="00854B85" w:rsidP="00854B85">
      <w:pPr>
        <w:pStyle w:val="ListParagraph"/>
        <w:numPr>
          <w:ilvl w:val="0"/>
          <w:numId w:val="1"/>
        </w:numPr>
        <w:spacing w:before="60" w:after="40"/>
      </w:pPr>
      <w:r>
        <w:t xml:space="preserve">Captures 15+ </w:t>
      </w:r>
      <w:proofErr w:type="spellStart"/>
      <w:r>
        <w:t>behavioral</w:t>
      </w:r>
      <w:proofErr w:type="spellEnd"/>
      <w:r>
        <w:t xml:space="preserve"> dimensions: keystroke timing, swipe dynamics, tap pressure, device orientation, scroll rhythm</w:t>
      </w:r>
    </w:p>
    <w:p w:rsidR="00854B85" w:rsidRDefault="00854B85" w:rsidP="00854B85">
      <w:pPr>
        <w:pStyle w:val="ListParagraph"/>
        <w:numPr>
          <w:ilvl w:val="0"/>
          <w:numId w:val="1"/>
        </w:numPr>
        <w:spacing w:before="60" w:after="40"/>
      </w:pPr>
      <w:r>
        <w:t xml:space="preserve">GAN-based user model updates continuously; adapts to legitimate </w:t>
      </w:r>
      <w:proofErr w:type="spellStart"/>
      <w:r>
        <w:t>behavioral</w:t>
      </w:r>
      <w:proofErr w:type="spellEnd"/>
      <w:r>
        <w:t xml:space="preserve"> drift over time</w:t>
      </w:r>
    </w:p>
    <w:p w:rsidR="00854B85" w:rsidRDefault="00854B85" w:rsidP="00854B85">
      <w:pPr>
        <w:pStyle w:val="ListParagraph"/>
        <w:numPr>
          <w:ilvl w:val="0"/>
          <w:numId w:val="1"/>
        </w:numPr>
        <w:spacing w:before="60" w:after="40"/>
      </w:pPr>
      <w:r>
        <w:t>Silent detection: fraudsters do not know they have been flagged, enabling richer investigative data collection</w:t>
      </w:r>
    </w:p>
    <w:p w:rsidR="00854B85" w:rsidRDefault="00854B85" w:rsidP="00854B85">
      <w:pPr>
        <w:pStyle w:val="ListParagraph"/>
        <w:numPr>
          <w:ilvl w:val="0"/>
          <w:numId w:val="1"/>
        </w:numPr>
        <w:spacing w:before="60" w:after="40"/>
      </w:pPr>
      <w:r>
        <w:t>Zero-friction for legitimate users: no additional authentication steps unless anomaly threshold is crossed</w:t>
      </w:r>
    </w:p>
    <w:p w:rsidR="00854B85" w:rsidRDefault="00854B85" w:rsidP="00854B85">
      <w:pPr>
        <w:pStyle w:val="ListParagraph"/>
        <w:numPr>
          <w:ilvl w:val="0"/>
          <w:numId w:val="1"/>
        </w:numPr>
        <w:spacing w:before="60" w:after="40"/>
      </w:pPr>
      <w:r>
        <w:t xml:space="preserve">Especially powerful for </w:t>
      </w:r>
      <w:proofErr w:type="spellStart"/>
      <w:r w:rsidR="00AE0FDF">
        <w:t>Ccc</w:t>
      </w:r>
      <w:r>
        <w:t>'s</w:t>
      </w:r>
      <w:proofErr w:type="spellEnd"/>
      <w:r>
        <w:t xml:space="preserve"> high-value travel and B2B segment where account takeover damages are highest</w:t>
      </w:r>
    </w:p>
    <w:p w:rsidR="00854B85" w:rsidRDefault="00854B85" w:rsidP="00854B85">
      <w:pPr>
        <w:spacing w:before="180" w:after="60"/>
      </w:pPr>
      <w:r>
        <w:rPr>
          <w:b/>
          <w:bCs/>
          <w:color w:val="016FD0"/>
        </w:rPr>
        <w:t>References</w:t>
      </w:r>
    </w:p>
    <w:p w:rsidR="00854B85" w:rsidRDefault="00854B85" w:rsidP="00854B85">
      <w:pPr>
        <w:pStyle w:val="ListParagraph"/>
        <w:numPr>
          <w:ilvl w:val="0"/>
          <w:numId w:val="2"/>
        </w:numPr>
        <w:spacing w:before="40" w:after="40"/>
      </w:pPr>
      <w:proofErr w:type="spellStart"/>
      <w:r>
        <w:rPr>
          <w:i/>
          <w:iCs/>
          <w:color w:val="555555"/>
          <w:sz w:val="19"/>
          <w:szCs w:val="19"/>
        </w:rPr>
        <w:t>Feedzai</w:t>
      </w:r>
      <w:proofErr w:type="spellEnd"/>
      <w:r>
        <w:rPr>
          <w:i/>
          <w:iCs/>
          <w:color w:val="555555"/>
          <w:sz w:val="19"/>
          <w:szCs w:val="19"/>
        </w:rPr>
        <w:t xml:space="preserve">, 'The State of Financial Crime 2025.' </w:t>
      </w:r>
      <w:proofErr w:type="spellStart"/>
      <w:r>
        <w:rPr>
          <w:i/>
          <w:iCs/>
          <w:color w:val="555555"/>
          <w:sz w:val="19"/>
          <w:szCs w:val="19"/>
        </w:rPr>
        <w:t>Feedzai</w:t>
      </w:r>
      <w:proofErr w:type="spellEnd"/>
      <w:r>
        <w:rPr>
          <w:i/>
          <w:iCs/>
          <w:color w:val="555555"/>
          <w:sz w:val="19"/>
          <w:szCs w:val="19"/>
        </w:rPr>
        <w:t xml:space="preserve"> Annual Research Report, Feb 2025</w:t>
      </w:r>
    </w:p>
    <w:p w:rsidR="00854B85" w:rsidRDefault="00854B85" w:rsidP="00854B85">
      <w:pPr>
        <w:pStyle w:val="ListParagraph"/>
        <w:numPr>
          <w:ilvl w:val="0"/>
          <w:numId w:val="2"/>
        </w:numPr>
        <w:spacing w:before="40" w:after="40"/>
      </w:pPr>
      <w:proofErr w:type="spellStart"/>
      <w:r>
        <w:rPr>
          <w:i/>
          <w:iCs/>
          <w:color w:val="555555"/>
          <w:sz w:val="19"/>
          <w:szCs w:val="19"/>
        </w:rPr>
        <w:t>Mastercard</w:t>
      </w:r>
      <w:proofErr w:type="spellEnd"/>
      <w:r>
        <w:rPr>
          <w:i/>
          <w:iCs/>
          <w:color w:val="555555"/>
          <w:sz w:val="19"/>
          <w:szCs w:val="19"/>
        </w:rPr>
        <w:t xml:space="preserve">, 'Decision Intelligence Pro: Generative AI for Real-Time Authorization.' </w:t>
      </w:r>
      <w:proofErr w:type="spellStart"/>
      <w:r>
        <w:rPr>
          <w:i/>
          <w:iCs/>
          <w:color w:val="555555"/>
          <w:sz w:val="19"/>
          <w:szCs w:val="19"/>
        </w:rPr>
        <w:t>Mastercard</w:t>
      </w:r>
      <w:proofErr w:type="spellEnd"/>
      <w:r>
        <w:rPr>
          <w:i/>
          <w:iCs/>
          <w:color w:val="555555"/>
          <w:sz w:val="19"/>
          <w:szCs w:val="19"/>
        </w:rPr>
        <w:t xml:space="preserve"> Technology Blog, 2025</w:t>
      </w:r>
    </w:p>
    <w:p w:rsidR="00854B85" w:rsidRDefault="00854B85" w:rsidP="00854B85">
      <w:pPr>
        <w:pStyle w:val="ListParagraph"/>
        <w:numPr>
          <w:ilvl w:val="0"/>
          <w:numId w:val="2"/>
        </w:numPr>
        <w:spacing w:before="40" w:after="40"/>
      </w:pPr>
      <w:r>
        <w:rPr>
          <w:i/>
          <w:iCs/>
          <w:color w:val="555555"/>
          <w:sz w:val="19"/>
          <w:szCs w:val="19"/>
        </w:rPr>
        <w:t xml:space="preserve">The Financial Brand, 'AI-Powered </w:t>
      </w:r>
      <w:proofErr w:type="spellStart"/>
      <w:r>
        <w:rPr>
          <w:i/>
          <w:iCs/>
          <w:color w:val="555555"/>
          <w:sz w:val="19"/>
          <w:szCs w:val="19"/>
        </w:rPr>
        <w:t>Behavioral</w:t>
      </w:r>
      <w:proofErr w:type="spellEnd"/>
      <w:r>
        <w:rPr>
          <w:i/>
          <w:iCs/>
          <w:color w:val="555555"/>
          <w:sz w:val="19"/>
          <w:szCs w:val="19"/>
        </w:rPr>
        <w:t xml:space="preserve"> Biometrics: The Future of Continuous Authentication.' Jan 2026</w:t>
      </w:r>
    </w:p>
    <w:p w:rsidR="00854B85" w:rsidRDefault="00854B85" w:rsidP="00854B85">
      <w:pPr>
        <w:pStyle w:val="ListParagraph"/>
        <w:numPr>
          <w:ilvl w:val="0"/>
          <w:numId w:val="2"/>
        </w:numPr>
        <w:spacing w:before="40" w:after="40"/>
      </w:pPr>
      <w:proofErr w:type="spellStart"/>
      <w:r>
        <w:rPr>
          <w:i/>
          <w:iCs/>
          <w:color w:val="555555"/>
          <w:sz w:val="19"/>
          <w:szCs w:val="19"/>
        </w:rPr>
        <w:t>Tolosana</w:t>
      </w:r>
      <w:proofErr w:type="spellEnd"/>
      <w:r>
        <w:rPr>
          <w:i/>
          <w:iCs/>
          <w:color w:val="555555"/>
          <w:sz w:val="19"/>
          <w:szCs w:val="19"/>
        </w:rPr>
        <w:t>, R. et al. '</w:t>
      </w:r>
      <w:proofErr w:type="spellStart"/>
      <w:r>
        <w:rPr>
          <w:i/>
          <w:iCs/>
          <w:color w:val="555555"/>
          <w:sz w:val="19"/>
          <w:szCs w:val="19"/>
        </w:rPr>
        <w:t>BehavePassDB</w:t>
      </w:r>
      <w:proofErr w:type="spellEnd"/>
      <w:r>
        <w:rPr>
          <w:i/>
          <w:iCs/>
          <w:color w:val="555555"/>
          <w:sz w:val="19"/>
          <w:szCs w:val="19"/>
        </w:rPr>
        <w:t xml:space="preserve">: Public Database for Mobile </w:t>
      </w:r>
      <w:proofErr w:type="spellStart"/>
      <w:r>
        <w:rPr>
          <w:i/>
          <w:iCs/>
          <w:color w:val="555555"/>
          <w:sz w:val="19"/>
          <w:szCs w:val="19"/>
        </w:rPr>
        <w:t>Behavioral</w:t>
      </w:r>
      <w:proofErr w:type="spellEnd"/>
      <w:r>
        <w:rPr>
          <w:i/>
          <w:iCs/>
          <w:color w:val="555555"/>
          <w:sz w:val="19"/>
          <w:szCs w:val="19"/>
        </w:rPr>
        <w:t xml:space="preserve"> Biometrics.' Pattern Recognition, 2023</w:t>
      </w:r>
    </w:p>
    <w:p w:rsidR="00854B85" w:rsidRDefault="00854B85" w:rsidP="00854B85">
      <w:pPr>
        <w:pStyle w:val="ListParagraph"/>
        <w:numPr>
          <w:ilvl w:val="0"/>
          <w:numId w:val="2"/>
        </w:numPr>
        <w:spacing w:before="40" w:after="40"/>
      </w:pPr>
      <w:r>
        <w:rPr>
          <w:i/>
          <w:iCs/>
          <w:color w:val="555555"/>
          <w:sz w:val="19"/>
          <w:szCs w:val="19"/>
        </w:rPr>
        <w:t xml:space="preserve">Visa &amp; </w:t>
      </w:r>
      <w:proofErr w:type="spellStart"/>
      <w:r>
        <w:rPr>
          <w:i/>
          <w:iCs/>
          <w:color w:val="555555"/>
          <w:sz w:val="19"/>
          <w:szCs w:val="19"/>
        </w:rPr>
        <w:t>Celent</w:t>
      </w:r>
      <w:proofErr w:type="spellEnd"/>
      <w:r>
        <w:rPr>
          <w:i/>
          <w:iCs/>
          <w:color w:val="555555"/>
          <w:sz w:val="19"/>
          <w:szCs w:val="19"/>
        </w:rPr>
        <w:t xml:space="preserve">, 'Fraud Migration in the Age of Generative AI.' </w:t>
      </w:r>
      <w:proofErr w:type="spellStart"/>
      <w:r>
        <w:rPr>
          <w:i/>
          <w:iCs/>
          <w:color w:val="555555"/>
          <w:sz w:val="19"/>
          <w:szCs w:val="19"/>
        </w:rPr>
        <w:t>Celent</w:t>
      </w:r>
      <w:proofErr w:type="spellEnd"/>
      <w:r>
        <w:rPr>
          <w:i/>
          <w:iCs/>
          <w:color w:val="555555"/>
          <w:sz w:val="19"/>
          <w:szCs w:val="19"/>
        </w:rPr>
        <w:t xml:space="preserve"> Research Report, Oct 2025</w:t>
      </w:r>
    </w:p>
    <w:p w:rsidR="00854B85" w:rsidRDefault="00854B85" w:rsidP="00854B85">
      <w:pPr>
        <w:pBdr>
          <w:bottom w:val="single" w:sz="1" w:space="1" w:color="CCCCCC"/>
        </w:pBdr>
        <w:spacing w:before="200" w:after="100"/>
      </w:pPr>
    </w:p>
    <w:p w:rsidR="00854B85" w:rsidRDefault="00854B85" w:rsidP="00854B85">
      <w:pPr>
        <w:pBdr>
          <w:bottom w:val="single" w:sz="3" w:space="4" w:color="016FD0"/>
        </w:pBdr>
        <w:spacing w:before="400"/>
      </w:pPr>
      <w:proofErr w:type="gramStart"/>
      <w:r>
        <w:rPr>
          <w:b/>
          <w:bCs/>
          <w:color w:val="016FD0"/>
          <w:sz w:val="26"/>
          <w:szCs w:val="26"/>
        </w:rPr>
        <w:t xml:space="preserve">05  </w:t>
      </w:r>
      <w:r>
        <w:rPr>
          <w:b/>
          <w:bCs/>
          <w:color w:val="1A3A6B"/>
          <w:sz w:val="26"/>
          <w:szCs w:val="26"/>
        </w:rPr>
        <w:t>Life</w:t>
      </w:r>
      <w:proofErr w:type="gramEnd"/>
      <w:r>
        <w:rPr>
          <w:b/>
          <w:bCs/>
          <w:color w:val="1A3A6B"/>
          <w:sz w:val="26"/>
          <w:szCs w:val="26"/>
        </w:rPr>
        <w:t>-Event Prediction Engine: Inferring Financial Futures from Spend Signals</w:t>
      </w:r>
      <w:r>
        <w:rPr>
          <w:i/>
          <w:iCs/>
          <w:color w:val="016FD0"/>
          <w:sz w:val="20"/>
          <w:szCs w:val="20"/>
        </w:rPr>
        <w:t xml:space="preserve">   [Emerging]</w:t>
      </w:r>
    </w:p>
    <w:p w:rsidR="00854B85" w:rsidRDefault="00854B85" w:rsidP="00854B85">
      <w:pPr>
        <w:spacing w:before="140" w:after="80"/>
        <w:jc w:val="both"/>
      </w:pPr>
      <w:r>
        <w:lastRenderedPageBreak/>
        <w:t>The credit card has historically been a reactive product: it provides purchasing power when a customer decides to transact. The most significant competitive opportunity in the next three years — identified by Gartner as a top personalization priority for financial institutions — is transforming the card from a reactive payment instrument into a proactive financial life partner that anticipates a customer's needs before the customer articulates them.</w:t>
      </w:r>
    </w:p>
    <w:p w:rsidR="00854B85" w:rsidRDefault="00854B85" w:rsidP="00854B85">
      <w:pPr>
        <w:spacing w:before="140" w:after="80"/>
        <w:jc w:val="both"/>
      </w:pPr>
      <w:r>
        <w:t xml:space="preserve">American Express's closed-loop network generates a uniquely dense </w:t>
      </w:r>
      <w:proofErr w:type="spellStart"/>
      <w:r>
        <w:t>behavioral</w:t>
      </w:r>
      <w:proofErr w:type="spellEnd"/>
      <w:r>
        <w:t xml:space="preserve"> signal. Unlike bank cards where the issuer sees only one side of the transaction, </w:t>
      </w:r>
      <w:proofErr w:type="spellStart"/>
      <w:r w:rsidR="00AE0FDF">
        <w:t>Ccc</w:t>
      </w:r>
      <w:proofErr w:type="spellEnd"/>
      <w:r>
        <w:t xml:space="preserve"> sees merchant category, merchant name, spend amount, geographic location, time of day, and frequency patterns for both the consumer and business sides of every transaction. A generative model trained to detect "life event precursor signatures" — statistically validated clusters of spend pattern changes that historically precede major life transitions — can surface the right product, benefit, or communication at exactly the right inflection point in a customer's life.</w:t>
      </w:r>
    </w:p>
    <w:p w:rsidR="00854B85" w:rsidRDefault="00854B85" w:rsidP="00854B85">
      <w:pPr>
        <w:spacing w:before="180" w:after="60"/>
      </w:pPr>
      <w:r>
        <w:rPr>
          <w:b/>
          <w:bCs/>
          <w:color w:val="016FD0"/>
        </w:rPr>
        <w:t>Example</w:t>
      </w:r>
    </w:p>
    <w:p w:rsidR="00854B85" w:rsidRDefault="00854B85" w:rsidP="00854B85">
      <w:pPr>
        <w:spacing w:before="140" w:after="80"/>
        <w:jc w:val="both"/>
      </w:pPr>
      <w:r>
        <w:t xml:space="preserve">A cardholder in Austin, TX begins showing a composite pattern: recurring charges to "Buy </w:t>
      </w:r>
      <w:proofErr w:type="spellStart"/>
      <w:r>
        <w:t>Buy</w:t>
      </w:r>
      <w:proofErr w:type="spellEnd"/>
      <w:r>
        <w:t xml:space="preserve"> Baby" (+$400/month newly appearing), a Home Depot charge for $2,800 (large home project), and a </w:t>
      </w:r>
      <w:proofErr w:type="spellStart"/>
      <w:r>
        <w:t>pediatrician</w:t>
      </w:r>
      <w:proofErr w:type="spellEnd"/>
      <w:r>
        <w:t xml:space="preserve"> pre-authorization. The model calculates an 87% probability of first-child birth within 60 days. </w:t>
      </w:r>
      <w:proofErr w:type="spellStart"/>
      <w:r w:rsidR="00AE0FDF">
        <w:t>Ccc</w:t>
      </w:r>
      <w:r>
        <w:t>'s</w:t>
      </w:r>
      <w:proofErr w:type="spellEnd"/>
      <w:r>
        <w:t xml:space="preserve"> system proactively: (1) surfaces a targeted offer for </w:t>
      </w:r>
      <w:proofErr w:type="spellStart"/>
      <w:r w:rsidR="00AE0FDF">
        <w:t>Ccc</w:t>
      </w:r>
      <w:r>
        <w:t>'s</w:t>
      </w:r>
      <w:proofErr w:type="spellEnd"/>
      <w:r>
        <w:t xml:space="preserve"> premium baby-related merchant partners; (2) pre-approves a temporary credit limit increase to cover anticipated large purchases; (3) highlights the cardholder's existing travel insurance benefit covering </w:t>
      </w:r>
      <w:proofErr w:type="spellStart"/>
      <w:r>
        <w:t>newborn</w:t>
      </w:r>
      <w:proofErr w:type="spellEnd"/>
      <w:r>
        <w:t xml:space="preserve"> medical emergencies (often unknown to cardholders). The customer receives a single in-app notification — no cold call, no generic email blast — with a message that feels eerily personalized. In pilot studies of analogous proactive engagement models at European retail banks, proactive life-event messaging generated 3.2x the product conversion rate of standard campaign marketing.</w:t>
      </w:r>
    </w:p>
    <w:p w:rsidR="00854B85" w:rsidRDefault="00854B85" w:rsidP="00854B85">
      <w:pPr>
        <w:spacing w:before="180" w:after="60"/>
      </w:pPr>
      <w:r>
        <w:rPr>
          <w:b/>
          <w:bCs/>
          <w:color w:val="016FD0"/>
        </w:rPr>
        <w:t>Key Technical Points</w:t>
      </w:r>
    </w:p>
    <w:p w:rsidR="00854B85" w:rsidRDefault="00854B85" w:rsidP="00854B85">
      <w:pPr>
        <w:pStyle w:val="ListParagraph"/>
        <w:numPr>
          <w:ilvl w:val="0"/>
          <w:numId w:val="1"/>
        </w:numPr>
        <w:spacing w:before="60" w:after="40"/>
      </w:pPr>
      <w:r>
        <w:t xml:space="preserve">28 validated life-event signature clusters identified from historical </w:t>
      </w:r>
      <w:proofErr w:type="spellStart"/>
      <w:r w:rsidR="00AE0FDF">
        <w:t>Ccc</w:t>
      </w:r>
      <w:proofErr w:type="spellEnd"/>
      <w:r>
        <w:t xml:space="preserve"> transaction cohort analysis</w:t>
      </w:r>
    </w:p>
    <w:p w:rsidR="00854B85" w:rsidRDefault="00854B85" w:rsidP="00854B85">
      <w:pPr>
        <w:pStyle w:val="ListParagraph"/>
        <w:numPr>
          <w:ilvl w:val="0"/>
          <w:numId w:val="1"/>
        </w:numPr>
        <w:spacing w:before="60" w:after="40"/>
      </w:pPr>
      <w:r>
        <w:t>Model outputs a 60-day probability score across event categories (relocation, new child, new business, retirement)</w:t>
      </w:r>
    </w:p>
    <w:p w:rsidR="00854B85" w:rsidRDefault="00854B85" w:rsidP="00854B85">
      <w:pPr>
        <w:pStyle w:val="ListParagraph"/>
        <w:numPr>
          <w:ilvl w:val="0"/>
          <w:numId w:val="1"/>
        </w:numPr>
        <w:spacing w:before="60" w:after="40"/>
      </w:pPr>
      <w:r>
        <w:t xml:space="preserve">Triggers proactive outreach, benefit surfacing, or credit adjustment before customer contacts </w:t>
      </w:r>
      <w:proofErr w:type="spellStart"/>
      <w:r w:rsidR="00AE0FDF">
        <w:t>Ccc</w:t>
      </w:r>
      <w:proofErr w:type="spellEnd"/>
    </w:p>
    <w:p w:rsidR="00854B85" w:rsidRDefault="00854B85" w:rsidP="00854B85">
      <w:pPr>
        <w:pStyle w:val="ListParagraph"/>
        <w:numPr>
          <w:ilvl w:val="0"/>
          <w:numId w:val="1"/>
        </w:numPr>
        <w:spacing w:before="60" w:after="40"/>
      </w:pPr>
      <w:r>
        <w:t xml:space="preserve">Privacy by design: model operates on aggregated </w:t>
      </w:r>
      <w:proofErr w:type="spellStart"/>
      <w:r>
        <w:t>behavioral</w:t>
      </w:r>
      <w:proofErr w:type="spellEnd"/>
      <w:r>
        <w:t xml:space="preserve"> signals, not inferred personal attributes</w:t>
      </w:r>
    </w:p>
    <w:p w:rsidR="00854B85" w:rsidRDefault="00854B85" w:rsidP="00854B85">
      <w:pPr>
        <w:pStyle w:val="ListParagraph"/>
        <w:numPr>
          <w:ilvl w:val="0"/>
          <w:numId w:val="1"/>
        </w:numPr>
        <w:spacing w:before="60" w:after="40"/>
      </w:pPr>
      <w:r>
        <w:t>Closed-loop network data is the moat — Visa/MC issuers lack merchant-side signal to replicate this</w:t>
      </w:r>
    </w:p>
    <w:p w:rsidR="00854B85" w:rsidRDefault="00854B85" w:rsidP="00854B85">
      <w:pPr>
        <w:spacing w:before="180" w:after="60"/>
      </w:pPr>
      <w:r>
        <w:rPr>
          <w:b/>
          <w:bCs/>
          <w:color w:val="016FD0"/>
        </w:rPr>
        <w:t>References</w:t>
      </w:r>
    </w:p>
    <w:p w:rsidR="00854B85" w:rsidRDefault="00854B85" w:rsidP="00854B85">
      <w:pPr>
        <w:pStyle w:val="ListParagraph"/>
        <w:numPr>
          <w:ilvl w:val="0"/>
          <w:numId w:val="2"/>
        </w:numPr>
        <w:spacing w:before="40" w:after="40"/>
      </w:pPr>
      <w:r>
        <w:rPr>
          <w:i/>
          <w:iCs/>
          <w:color w:val="555555"/>
          <w:sz w:val="19"/>
          <w:szCs w:val="19"/>
        </w:rPr>
        <w:t>Gartner, 'Magic Quadrant for Personalization Engines: Financial Services Applications.' Gartner, Q3 2025</w:t>
      </w:r>
    </w:p>
    <w:p w:rsidR="00854B85" w:rsidRDefault="00854B85" w:rsidP="00854B85">
      <w:pPr>
        <w:pStyle w:val="ListParagraph"/>
        <w:numPr>
          <w:ilvl w:val="0"/>
          <w:numId w:val="2"/>
        </w:numPr>
        <w:spacing w:before="40" w:after="40"/>
      </w:pPr>
      <w:proofErr w:type="spellStart"/>
      <w:r>
        <w:rPr>
          <w:i/>
          <w:iCs/>
          <w:color w:val="555555"/>
          <w:sz w:val="19"/>
          <w:szCs w:val="19"/>
        </w:rPr>
        <w:t>Broadridge</w:t>
      </w:r>
      <w:proofErr w:type="spellEnd"/>
      <w:r>
        <w:rPr>
          <w:i/>
          <w:iCs/>
          <w:color w:val="555555"/>
          <w:sz w:val="19"/>
          <w:szCs w:val="19"/>
        </w:rPr>
        <w:t xml:space="preserve">, '2026 Digital Transformation and Next-Gen Personalization Study in Financial Services.' </w:t>
      </w:r>
      <w:proofErr w:type="spellStart"/>
      <w:r>
        <w:rPr>
          <w:i/>
          <w:iCs/>
          <w:color w:val="555555"/>
          <w:sz w:val="19"/>
          <w:szCs w:val="19"/>
        </w:rPr>
        <w:t>Broadridge</w:t>
      </w:r>
      <w:proofErr w:type="spellEnd"/>
      <w:r>
        <w:rPr>
          <w:i/>
          <w:iCs/>
          <w:color w:val="555555"/>
          <w:sz w:val="19"/>
          <w:szCs w:val="19"/>
        </w:rPr>
        <w:t>, 2026</w:t>
      </w:r>
    </w:p>
    <w:p w:rsidR="00854B85" w:rsidRDefault="00854B85" w:rsidP="00854B85">
      <w:pPr>
        <w:pStyle w:val="ListParagraph"/>
        <w:numPr>
          <w:ilvl w:val="0"/>
          <w:numId w:val="2"/>
        </w:numPr>
        <w:spacing w:before="40" w:after="40"/>
      </w:pPr>
      <w:r>
        <w:rPr>
          <w:i/>
          <w:iCs/>
          <w:color w:val="555555"/>
          <w:sz w:val="19"/>
          <w:szCs w:val="19"/>
        </w:rPr>
        <w:t>SSRN, 'Generative AI for Adaptive Financial Product Recommendation: A Life-Event Framework.' SSRN 4892341, 2025</w:t>
      </w:r>
    </w:p>
    <w:p w:rsidR="00854B85" w:rsidRDefault="00854B85" w:rsidP="00854B85">
      <w:pPr>
        <w:pStyle w:val="ListParagraph"/>
        <w:numPr>
          <w:ilvl w:val="0"/>
          <w:numId w:val="2"/>
        </w:numPr>
        <w:spacing w:before="40" w:after="40"/>
      </w:pPr>
      <w:proofErr w:type="spellStart"/>
      <w:r>
        <w:rPr>
          <w:i/>
          <w:iCs/>
          <w:color w:val="555555"/>
          <w:sz w:val="19"/>
          <w:szCs w:val="19"/>
        </w:rPr>
        <w:t>Ji</w:t>
      </w:r>
      <w:proofErr w:type="spellEnd"/>
      <w:r>
        <w:rPr>
          <w:i/>
          <w:iCs/>
          <w:color w:val="555555"/>
          <w:sz w:val="19"/>
          <w:szCs w:val="19"/>
        </w:rPr>
        <w:t xml:space="preserve">, S. et al. 'Predicting Future User </w:t>
      </w:r>
      <w:proofErr w:type="spellStart"/>
      <w:r>
        <w:rPr>
          <w:i/>
          <w:iCs/>
          <w:color w:val="555555"/>
          <w:sz w:val="19"/>
          <w:szCs w:val="19"/>
        </w:rPr>
        <w:t>Behavior</w:t>
      </w:r>
      <w:proofErr w:type="spellEnd"/>
      <w:r>
        <w:rPr>
          <w:i/>
          <w:iCs/>
          <w:color w:val="555555"/>
          <w:sz w:val="19"/>
          <w:szCs w:val="19"/>
        </w:rPr>
        <w:t xml:space="preserve"> Using Generative Models of Transaction Sequences.' KDD 2024</w:t>
      </w:r>
    </w:p>
    <w:p w:rsidR="00854B85" w:rsidRDefault="00854B85" w:rsidP="00854B85">
      <w:pPr>
        <w:pStyle w:val="ListParagraph"/>
        <w:numPr>
          <w:ilvl w:val="0"/>
          <w:numId w:val="2"/>
        </w:numPr>
        <w:spacing w:before="40" w:after="40"/>
      </w:pPr>
      <w:r>
        <w:rPr>
          <w:i/>
          <w:iCs/>
          <w:color w:val="555555"/>
          <w:sz w:val="19"/>
          <w:szCs w:val="19"/>
        </w:rPr>
        <w:t>Journal of Knowledge, Language and Society Technology, 'Adaptive Recommendation Systems for Financial Services.' JKLST, 2025</w:t>
      </w:r>
    </w:p>
    <w:p w:rsidR="00854B85" w:rsidRDefault="00854B85" w:rsidP="00854B85">
      <w:pPr>
        <w:pBdr>
          <w:bottom w:val="single" w:sz="1" w:space="1" w:color="CCCCCC"/>
        </w:pBdr>
        <w:spacing w:before="200" w:after="100"/>
      </w:pPr>
    </w:p>
    <w:p w:rsidR="00854B85" w:rsidRDefault="00854B85" w:rsidP="00854B85">
      <w:pPr>
        <w:pBdr>
          <w:bottom w:val="single" w:sz="3" w:space="4" w:color="016FD0"/>
        </w:pBdr>
        <w:spacing w:before="400"/>
      </w:pPr>
      <w:proofErr w:type="gramStart"/>
      <w:r>
        <w:rPr>
          <w:b/>
          <w:bCs/>
          <w:color w:val="016FD0"/>
          <w:sz w:val="26"/>
          <w:szCs w:val="26"/>
        </w:rPr>
        <w:t xml:space="preserve">06  </w:t>
      </w:r>
      <w:r>
        <w:rPr>
          <w:b/>
          <w:bCs/>
          <w:color w:val="1A3A6B"/>
          <w:sz w:val="26"/>
          <w:szCs w:val="26"/>
        </w:rPr>
        <w:t>Cross</w:t>
      </w:r>
      <w:proofErr w:type="gramEnd"/>
      <w:r>
        <w:rPr>
          <w:b/>
          <w:bCs/>
          <w:color w:val="1A3A6B"/>
          <w:sz w:val="26"/>
          <w:szCs w:val="26"/>
        </w:rPr>
        <w:t>-Network Federated Fraud Intelligence: Learning Without Sharing Data</w:t>
      </w:r>
      <w:r>
        <w:rPr>
          <w:i/>
          <w:iCs/>
          <w:color w:val="016FD0"/>
          <w:sz w:val="20"/>
          <w:szCs w:val="20"/>
        </w:rPr>
        <w:t xml:space="preserve">   [Research Frontier]</w:t>
      </w:r>
    </w:p>
    <w:p w:rsidR="00854B85" w:rsidRDefault="00854B85" w:rsidP="00854B85">
      <w:pPr>
        <w:spacing w:before="140" w:after="80"/>
        <w:jc w:val="both"/>
      </w:pPr>
      <w:r>
        <w:lastRenderedPageBreak/>
        <w:t xml:space="preserve">Modern fraud rings do not confine their activity to a single card network or institution. A synthetic identity fraudster may simultaneously exploit a Chase Visa, </w:t>
      </w:r>
      <w:proofErr w:type="gramStart"/>
      <w:r>
        <w:t>an</w:t>
      </w:r>
      <w:proofErr w:type="gramEnd"/>
      <w:r>
        <w:t xml:space="preserve"> </w:t>
      </w:r>
      <w:proofErr w:type="spellStart"/>
      <w:r w:rsidR="00AE0FDF">
        <w:t>Ccc</w:t>
      </w:r>
      <w:proofErr w:type="spellEnd"/>
      <w:r>
        <w:t xml:space="preserve"> Gold, and a small regional credit union — each institution seeing only a partial slice of the fraud pattern, none seeing enough to detect the underlying ring. This is the fundamental information asymmetry that organized fraud exploits: institutions cannot share the raw transaction data needed to collectively learn the cross-network fraud signature, because that data contains sensitive cardholder information protected by law.</w:t>
      </w:r>
    </w:p>
    <w:p w:rsidR="00854B85" w:rsidRDefault="00854B85" w:rsidP="00854B85">
      <w:pPr>
        <w:spacing w:before="140" w:after="80"/>
        <w:jc w:val="both"/>
      </w:pPr>
      <w:r>
        <w:t xml:space="preserve">Federated learning (FL) offers a solution: train a shared fraud detection model across multiple institutions where the raw data never leaves any party's firewall. Only encrypted model gradients are shared and aggregated. A January 2026 Nature paper and a 2025 PMC study specifically comparing </w:t>
      </w:r>
      <w:proofErr w:type="spellStart"/>
      <w:r>
        <w:t>Homomorphic</w:t>
      </w:r>
      <w:proofErr w:type="spellEnd"/>
      <w:r>
        <w:t xml:space="preserve"> Encryption-FL (HE-FL) vs. Differential Privacy-FL (DP-FL) for credit risk applications provide the most current technical foundation for this session.</w:t>
      </w:r>
    </w:p>
    <w:p w:rsidR="00854B85" w:rsidRDefault="00854B85" w:rsidP="00854B85">
      <w:pPr>
        <w:spacing w:before="180" w:after="60"/>
      </w:pPr>
      <w:r>
        <w:rPr>
          <w:b/>
          <w:bCs/>
          <w:color w:val="016FD0"/>
        </w:rPr>
        <w:t>Example</w:t>
      </w:r>
    </w:p>
    <w:p w:rsidR="00854B85" w:rsidRDefault="00AE0FDF" w:rsidP="00854B85">
      <w:pPr>
        <w:spacing w:before="140" w:after="80"/>
        <w:jc w:val="both"/>
      </w:pPr>
      <w:proofErr w:type="spellStart"/>
      <w:proofErr w:type="gramStart"/>
      <w:r>
        <w:t>Ccc</w:t>
      </w:r>
      <w:proofErr w:type="spellEnd"/>
      <w:proofErr w:type="gramEnd"/>
      <w:r w:rsidR="00854B85">
        <w:t xml:space="preserve">, three regional banks, and a large merchant network form a federated fraud detection consortium. Each party trains a local fraud model on their own transaction data. In each federated round, only the encrypted model weight updates are transmitted to a central aggregation server (which </w:t>
      </w:r>
      <w:proofErr w:type="spellStart"/>
      <w:proofErr w:type="gramStart"/>
      <w:r>
        <w:t>Ccc</w:t>
      </w:r>
      <w:proofErr w:type="spellEnd"/>
      <w:proofErr w:type="gramEnd"/>
      <w:r w:rsidR="00854B85">
        <w:t xml:space="preserve"> could operate as network orchestrator). The aggregated global model is returned to all parties. After 50 federated rounds: </w:t>
      </w:r>
      <w:proofErr w:type="spellStart"/>
      <w:r>
        <w:t>Ccc</w:t>
      </w:r>
      <w:r w:rsidR="00854B85">
        <w:t>'s</w:t>
      </w:r>
      <w:proofErr w:type="spellEnd"/>
      <w:r w:rsidR="00854B85">
        <w:t xml:space="preserve"> local model — which previously detected 73% of cross-network fraud ring transactions before authorization — improves to 89% detection, because it has learned patterns from 4 additional data sources it never directly accessed. The regional banks, which previously had insufficient fraud samples to train reliable models at all, now benefit from </w:t>
      </w:r>
      <w:proofErr w:type="spellStart"/>
      <w:proofErr w:type="gramStart"/>
      <w:r>
        <w:t>Ccc</w:t>
      </w:r>
      <w:r w:rsidR="00854B85">
        <w:t>'s</w:t>
      </w:r>
      <w:proofErr w:type="spellEnd"/>
      <w:proofErr w:type="gramEnd"/>
      <w:r w:rsidR="00854B85">
        <w:t xml:space="preserve"> rich fraud signal. The HE-FL architecture ensures that even </w:t>
      </w:r>
      <w:proofErr w:type="spellStart"/>
      <w:proofErr w:type="gramStart"/>
      <w:r>
        <w:t>Ccc</w:t>
      </w:r>
      <w:r w:rsidR="00854B85">
        <w:t>'s</w:t>
      </w:r>
      <w:proofErr w:type="spellEnd"/>
      <w:proofErr w:type="gramEnd"/>
      <w:r w:rsidR="00854B85">
        <w:t xml:space="preserve"> federated server cannot reconstruct any participant's raw data, satisfying all legal data-sharing constraints.</w:t>
      </w:r>
    </w:p>
    <w:p w:rsidR="00854B85" w:rsidRDefault="00854B85" w:rsidP="00854B85">
      <w:pPr>
        <w:spacing w:before="180" w:after="60"/>
      </w:pPr>
      <w:r>
        <w:rPr>
          <w:b/>
          <w:bCs/>
          <w:color w:val="016FD0"/>
        </w:rPr>
        <w:t>Key Technical Points</w:t>
      </w:r>
    </w:p>
    <w:p w:rsidR="00854B85" w:rsidRDefault="00854B85" w:rsidP="00854B85">
      <w:pPr>
        <w:pStyle w:val="ListParagraph"/>
        <w:numPr>
          <w:ilvl w:val="0"/>
          <w:numId w:val="1"/>
        </w:numPr>
        <w:spacing w:before="60" w:after="40"/>
      </w:pPr>
      <w:r>
        <w:t>HE-FL provides cryptographic guarantees: server cannot reconstruct raw data even from gradient aggregates</w:t>
      </w:r>
    </w:p>
    <w:p w:rsidR="00854B85" w:rsidRDefault="00854B85" w:rsidP="00854B85">
      <w:pPr>
        <w:pStyle w:val="ListParagraph"/>
        <w:numPr>
          <w:ilvl w:val="0"/>
          <w:numId w:val="1"/>
        </w:numPr>
        <w:spacing w:before="60" w:after="40"/>
      </w:pPr>
      <w:r>
        <w:t>DP-FL offers lighter computational overhead at cost of slightly weaker privacy guarantee (configurable epsilon)</w:t>
      </w:r>
    </w:p>
    <w:p w:rsidR="00854B85" w:rsidRDefault="00854B85" w:rsidP="00854B85">
      <w:pPr>
        <w:pStyle w:val="ListParagraph"/>
        <w:numPr>
          <w:ilvl w:val="0"/>
          <w:numId w:val="1"/>
        </w:numPr>
        <w:spacing w:before="60" w:after="40"/>
      </w:pPr>
      <w:r>
        <w:t>Cross-network model converges to superior fraud detection in 40–60 federated rounds in published benchmarks</w:t>
      </w:r>
    </w:p>
    <w:p w:rsidR="00854B85" w:rsidRDefault="00AE0FDF" w:rsidP="00854B85">
      <w:pPr>
        <w:pStyle w:val="ListParagraph"/>
        <w:numPr>
          <w:ilvl w:val="0"/>
          <w:numId w:val="1"/>
        </w:numPr>
        <w:spacing w:before="60" w:after="40"/>
      </w:pPr>
      <w:proofErr w:type="spellStart"/>
      <w:r>
        <w:t>Ccc</w:t>
      </w:r>
      <w:proofErr w:type="spellEnd"/>
      <w:r w:rsidR="00854B85">
        <w:t xml:space="preserve"> as network orchestrator generates significant competitive advantage: first-mover on cross-network fraud intelligence</w:t>
      </w:r>
    </w:p>
    <w:p w:rsidR="00854B85" w:rsidRDefault="00854B85" w:rsidP="00854B85">
      <w:pPr>
        <w:pStyle w:val="ListParagraph"/>
        <w:numPr>
          <w:ilvl w:val="0"/>
          <w:numId w:val="1"/>
        </w:numPr>
        <w:spacing w:before="60" w:after="40"/>
      </w:pPr>
      <w:r>
        <w:t>Architecture satisfies GDPR Article 28, OCC data-sharing guidelines, and PCI-DSS constraints simultaneously</w:t>
      </w:r>
    </w:p>
    <w:p w:rsidR="00854B85" w:rsidRDefault="00854B85" w:rsidP="00854B85">
      <w:pPr>
        <w:spacing w:before="180" w:after="60"/>
      </w:pPr>
      <w:r>
        <w:rPr>
          <w:b/>
          <w:bCs/>
          <w:color w:val="016FD0"/>
        </w:rPr>
        <w:t>References</w:t>
      </w:r>
    </w:p>
    <w:p w:rsidR="00854B85" w:rsidRDefault="00854B85" w:rsidP="00854B85">
      <w:pPr>
        <w:pStyle w:val="ListParagraph"/>
        <w:numPr>
          <w:ilvl w:val="0"/>
          <w:numId w:val="2"/>
        </w:numPr>
        <w:spacing w:before="40" w:after="40"/>
      </w:pPr>
      <w:r>
        <w:rPr>
          <w:i/>
          <w:iCs/>
          <w:color w:val="555555"/>
          <w:sz w:val="19"/>
          <w:szCs w:val="19"/>
        </w:rPr>
        <w:t>Li, X. et al. 'Federated Learning with Differential Privacy for Cross-Institutional Financial Fraud Detection.' Nature Scientific Reports, Jan 2026</w:t>
      </w:r>
    </w:p>
    <w:p w:rsidR="00854B85" w:rsidRDefault="00854B85" w:rsidP="00854B85">
      <w:pPr>
        <w:pStyle w:val="ListParagraph"/>
        <w:numPr>
          <w:ilvl w:val="0"/>
          <w:numId w:val="2"/>
        </w:numPr>
        <w:spacing w:before="40" w:after="40"/>
      </w:pPr>
      <w:r>
        <w:rPr>
          <w:i/>
          <w:iCs/>
          <w:color w:val="555555"/>
          <w:sz w:val="19"/>
          <w:szCs w:val="19"/>
        </w:rPr>
        <w:t>Chen, W. et al. '</w:t>
      </w:r>
      <w:proofErr w:type="spellStart"/>
      <w:r>
        <w:rPr>
          <w:i/>
          <w:iCs/>
          <w:color w:val="555555"/>
          <w:sz w:val="19"/>
          <w:szCs w:val="19"/>
        </w:rPr>
        <w:t>Homomorphic</w:t>
      </w:r>
      <w:proofErr w:type="spellEnd"/>
      <w:r>
        <w:rPr>
          <w:i/>
          <w:iCs/>
          <w:color w:val="555555"/>
          <w:sz w:val="19"/>
          <w:szCs w:val="19"/>
        </w:rPr>
        <w:t xml:space="preserve"> Encryption vs. Differential Privacy in Federated Credit Risk Models: A Comparative Study.' PMC/NCBI, 2025</w:t>
      </w:r>
    </w:p>
    <w:p w:rsidR="00854B85" w:rsidRDefault="00854B85" w:rsidP="00854B85">
      <w:pPr>
        <w:pStyle w:val="ListParagraph"/>
        <w:numPr>
          <w:ilvl w:val="0"/>
          <w:numId w:val="2"/>
        </w:numPr>
        <w:spacing w:before="40" w:after="40"/>
      </w:pPr>
      <w:r>
        <w:rPr>
          <w:i/>
          <w:iCs/>
          <w:color w:val="555555"/>
          <w:sz w:val="19"/>
          <w:szCs w:val="19"/>
        </w:rPr>
        <w:t>McMahan, H.B. et al. 'Communication-Efficient Learning of Deep Networks from Decentralized Data.' AISTATS 2017 (</w:t>
      </w:r>
      <w:proofErr w:type="spellStart"/>
      <w:r>
        <w:rPr>
          <w:i/>
          <w:iCs/>
          <w:color w:val="555555"/>
          <w:sz w:val="19"/>
          <w:szCs w:val="19"/>
        </w:rPr>
        <w:t>FedAvg</w:t>
      </w:r>
      <w:proofErr w:type="spellEnd"/>
      <w:r>
        <w:rPr>
          <w:i/>
          <w:iCs/>
          <w:color w:val="555555"/>
          <w:sz w:val="19"/>
          <w:szCs w:val="19"/>
        </w:rPr>
        <w:t xml:space="preserve"> original)</w:t>
      </w:r>
    </w:p>
    <w:p w:rsidR="00854B85" w:rsidRDefault="00854B85" w:rsidP="00854B85">
      <w:pPr>
        <w:pStyle w:val="ListParagraph"/>
        <w:numPr>
          <w:ilvl w:val="0"/>
          <w:numId w:val="2"/>
        </w:numPr>
        <w:spacing w:before="40" w:after="40"/>
      </w:pPr>
      <w:r>
        <w:rPr>
          <w:i/>
          <w:iCs/>
          <w:color w:val="555555"/>
          <w:sz w:val="19"/>
          <w:szCs w:val="19"/>
        </w:rPr>
        <w:t>IJARCST, 'Federated Learning Architectures for Financial Services: Survey and Practical Implementation Guide.' IJARCST 2025</w:t>
      </w:r>
    </w:p>
    <w:p w:rsidR="00854B85" w:rsidRDefault="00854B85" w:rsidP="00854B85">
      <w:pPr>
        <w:pStyle w:val="ListParagraph"/>
        <w:numPr>
          <w:ilvl w:val="0"/>
          <w:numId w:val="2"/>
        </w:numPr>
        <w:spacing w:before="40" w:after="40"/>
      </w:pPr>
      <w:r>
        <w:rPr>
          <w:i/>
          <w:iCs/>
          <w:color w:val="555555"/>
          <w:sz w:val="19"/>
          <w:szCs w:val="19"/>
        </w:rPr>
        <w:t>European Central Bank, 'Federated Machine Learning in Financial Supervision: Opportunities and Constraints.' ECB Occasional Paper, 2024</w:t>
      </w:r>
    </w:p>
    <w:p w:rsidR="00854B85" w:rsidRDefault="00854B85" w:rsidP="00854B85">
      <w:pPr>
        <w:pBdr>
          <w:bottom w:val="single" w:sz="1" w:space="1" w:color="CCCCCC"/>
        </w:pBdr>
        <w:spacing w:before="200" w:after="100"/>
      </w:pPr>
    </w:p>
    <w:p w:rsidR="00854B85" w:rsidRDefault="00854B85" w:rsidP="00854B85">
      <w:pPr>
        <w:pBdr>
          <w:bottom w:val="single" w:sz="3" w:space="4" w:color="016FD0"/>
        </w:pBdr>
        <w:spacing w:before="400"/>
      </w:pPr>
      <w:proofErr w:type="gramStart"/>
      <w:r>
        <w:rPr>
          <w:b/>
          <w:bCs/>
          <w:color w:val="016FD0"/>
          <w:sz w:val="26"/>
          <w:szCs w:val="26"/>
        </w:rPr>
        <w:lastRenderedPageBreak/>
        <w:t xml:space="preserve">07  </w:t>
      </w:r>
      <w:r>
        <w:rPr>
          <w:b/>
          <w:bCs/>
          <w:color w:val="1A3A6B"/>
          <w:sz w:val="26"/>
          <w:szCs w:val="26"/>
        </w:rPr>
        <w:t>Real</w:t>
      </w:r>
      <w:proofErr w:type="gramEnd"/>
      <w:r>
        <w:rPr>
          <w:b/>
          <w:bCs/>
          <w:color w:val="1A3A6B"/>
          <w:sz w:val="26"/>
          <w:szCs w:val="26"/>
        </w:rPr>
        <w:t xml:space="preserve">-Time Macro-Aware Credit Scoring: </w:t>
      </w:r>
      <w:proofErr w:type="spellStart"/>
      <w:r>
        <w:rPr>
          <w:b/>
          <w:bCs/>
          <w:color w:val="1A3A6B"/>
          <w:sz w:val="26"/>
          <w:szCs w:val="26"/>
        </w:rPr>
        <w:t>GenAI</w:t>
      </w:r>
      <w:proofErr w:type="spellEnd"/>
      <w:r>
        <w:rPr>
          <w:b/>
          <w:bCs/>
          <w:color w:val="1A3A6B"/>
          <w:sz w:val="26"/>
          <w:szCs w:val="26"/>
        </w:rPr>
        <w:t xml:space="preserve"> That Reads the Economy</w:t>
      </w:r>
      <w:r>
        <w:rPr>
          <w:i/>
          <w:iCs/>
          <w:color w:val="016FD0"/>
          <w:sz w:val="20"/>
          <w:szCs w:val="20"/>
        </w:rPr>
        <w:t xml:space="preserve">   [Novel]</w:t>
      </w:r>
    </w:p>
    <w:p w:rsidR="00854B85" w:rsidRDefault="00854B85" w:rsidP="00854B85">
      <w:pPr>
        <w:spacing w:before="140" w:after="80"/>
        <w:jc w:val="both"/>
      </w:pPr>
      <w:r>
        <w:t xml:space="preserve">Traditional credit scoring systems — FICO, </w:t>
      </w:r>
      <w:proofErr w:type="spellStart"/>
      <w:r>
        <w:t>VantageScore</w:t>
      </w:r>
      <w:proofErr w:type="spellEnd"/>
      <w:r>
        <w:t xml:space="preserve">, and their internal issuer derivatives — are fundamentally backward-looking. They assess the historical repayment </w:t>
      </w:r>
      <w:proofErr w:type="spellStart"/>
      <w:r>
        <w:t>behavior</w:t>
      </w:r>
      <w:proofErr w:type="spellEnd"/>
      <w:r>
        <w:t xml:space="preserve"> of an individual without incorporating the forward-looking macroeconomic context in which that individual's financial position is embedded. A score of 720 means something entirely different in a period of 2% unemployment versus 8% unemployment, for a software engineer in San Francisco versus a retail worker in a manufacturing-dependent mid-sized city.</w:t>
      </w:r>
    </w:p>
    <w:p w:rsidR="00854B85" w:rsidRDefault="00854B85" w:rsidP="00854B85">
      <w:pPr>
        <w:spacing w:before="140" w:after="80"/>
        <w:jc w:val="both"/>
      </w:pPr>
      <w:r>
        <w:t xml:space="preserve">Retrieval-Augmented Generation (RAG) combined with fine-tuned financial reasoning models now makes it technically feasible to build a hybrid credit scoring architecture that continuously updates individual risk assessments by fusing cardholder </w:t>
      </w:r>
      <w:proofErr w:type="spellStart"/>
      <w:r>
        <w:t>behavioral</w:t>
      </w:r>
      <w:proofErr w:type="spellEnd"/>
      <w:r>
        <w:t xml:space="preserve"> signals with live macroeconomic data streams: Federal Reserve rate decisions, sector-specific unemployment claims, regional housing price indices, and earnings season signals for major employers. This session presents the architecture and ethical guardrails for deploying such a system in a regulated credit environment.</w:t>
      </w:r>
    </w:p>
    <w:p w:rsidR="00854B85" w:rsidRDefault="00854B85" w:rsidP="00854B85">
      <w:pPr>
        <w:spacing w:before="180" w:after="60"/>
      </w:pPr>
      <w:r>
        <w:rPr>
          <w:b/>
          <w:bCs/>
          <w:color w:val="016FD0"/>
        </w:rPr>
        <w:t>Example</w:t>
      </w:r>
    </w:p>
    <w:p w:rsidR="00854B85" w:rsidRDefault="00AE0FDF" w:rsidP="00854B85">
      <w:pPr>
        <w:spacing w:before="140" w:after="80"/>
        <w:jc w:val="both"/>
      </w:pPr>
      <w:proofErr w:type="spellStart"/>
      <w:proofErr w:type="gramStart"/>
      <w:r>
        <w:t>Ccc</w:t>
      </w:r>
      <w:r w:rsidR="00854B85">
        <w:t>'s</w:t>
      </w:r>
      <w:proofErr w:type="spellEnd"/>
      <w:proofErr w:type="gramEnd"/>
      <w:r w:rsidR="00854B85">
        <w:t xml:space="preserve"> credit risk team manages a portfolio of 15 million US charge card accounts. In Q1 2026, the Fed signals three consecutive rate hikes. Simultaneously, a major US technology employer announces 12,000 layoffs. In </w:t>
      </w:r>
      <w:proofErr w:type="spellStart"/>
      <w:proofErr w:type="gramStart"/>
      <w:r>
        <w:t>Ccc</w:t>
      </w:r>
      <w:r w:rsidR="00854B85">
        <w:t>'s</w:t>
      </w:r>
      <w:proofErr w:type="spellEnd"/>
      <w:proofErr w:type="gramEnd"/>
      <w:r w:rsidR="00854B85">
        <w:t xml:space="preserve"> macro-aware scoring system: overnight, the RAG pipeline ingests the Fed announcement and the layoff report. For the 34,000 cardholders who work at the affected company (identified via enriched merchant payroll direct deposit patterns), the model computes an updated risk score incorporating the macro signal. Cardholders with low financial buffer (thin savings account proxy signals, recent balance carry patterns) see automated proactive credit limit guardrails applied before the first missed payment. Those with high buffer signals see no change. The system generates 34,000 individualized risk reassessments overnight — a process that previously required a quarterly manual review cycle.</w:t>
      </w:r>
    </w:p>
    <w:p w:rsidR="00854B85" w:rsidRDefault="00854B85" w:rsidP="00854B85">
      <w:pPr>
        <w:spacing w:before="180" w:after="60"/>
      </w:pPr>
      <w:r>
        <w:rPr>
          <w:b/>
          <w:bCs/>
          <w:color w:val="016FD0"/>
        </w:rPr>
        <w:t>Key Technical Points</w:t>
      </w:r>
    </w:p>
    <w:p w:rsidR="00854B85" w:rsidRDefault="00854B85" w:rsidP="00854B85">
      <w:pPr>
        <w:pStyle w:val="ListParagraph"/>
        <w:numPr>
          <w:ilvl w:val="0"/>
          <w:numId w:val="1"/>
        </w:numPr>
        <w:spacing w:before="60" w:after="40"/>
      </w:pPr>
      <w:r>
        <w:t>RAG over live macro feeds: Fed minutes, BLS unemployment claims, regional housing indices, sector ETF volatility</w:t>
      </w:r>
    </w:p>
    <w:p w:rsidR="00854B85" w:rsidRDefault="00854B85" w:rsidP="00854B85">
      <w:pPr>
        <w:pStyle w:val="ListParagraph"/>
        <w:numPr>
          <w:ilvl w:val="0"/>
          <w:numId w:val="1"/>
        </w:numPr>
        <w:spacing w:before="60" w:after="40"/>
      </w:pPr>
      <w:r>
        <w:t>Employer identification from payroll deposit signals enables sector-specific risk adjustment</w:t>
      </w:r>
    </w:p>
    <w:p w:rsidR="00854B85" w:rsidRDefault="00854B85" w:rsidP="00854B85">
      <w:pPr>
        <w:pStyle w:val="ListParagraph"/>
        <w:numPr>
          <w:ilvl w:val="0"/>
          <w:numId w:val="1"/>
        </w:numPr>
        <w:spacing w:before="60" w:after="40"/>
      </w:pPr>
      <w:r>
        <w:t>Proactive limit adjustment vs. reactive collections: 40–60% reduction in first-payment default in analogous pilots</w:t>
      </w:r>
    </w:p>
    <w:p w:rsidR="00854B85" w:rsidRDefault="00854B85" w:rsidP="00854B85">
      <w:pPr>
        <w:pStyle w:val="ListParagraph"/>
        <w:numPr>
          <w:ilvl w:val="0"/>
          <w:numId w:val="1"/>
        </w:numPr>
        <w:spacing w:before="60" w:after="40"/>
      </w:pPr>
      <w:r>
        <w:t>SR 11-7 compliance layer: every score change auto-generates a model risk explanation for regulatory audit trail</w:t>
      </w:r>
    </w:p>
    <w:p w:rsidR="00854B85" w:rsidRDefault="00854B85" w:rsidP="00854B85">
      <w:pPr>
        <w:pStyle w:val="ListParagraph"/>
        <w:numPr>
          <w:ilvl w:val="0"/>
          <w:numId w:val="1"/>
        </w:numPr>
        <w:spacing w:before="60" w:after="40"/>
      </w:pPr>
      <w:r>
        <w:t xml:space="preserve">Especially critical for </w:t>
      </w:r>
      <w:proofErr w:type="spellStart"/>
      <w:r w:rsidR="00AE0FDF">
        <w:t>Ccc</w:t>
      </w:r>
      <w:r>
        <w:t>'s</w:t>
      </w:r>
      <w:proofErr w:type="spellEnd"/>
      <w:r>
        <w:t xml:space="preserve"> charge card model: no </w:t>
      </w:r>
      <w:proofErr w:type="spellStart"/>
      <w:r>
        <w:t>preset</w:t>
      </w:r>
      <w:proofErr w:type="spellEnd"/>
      <w:r>
        <w:t xml:space="preserve"> spending limit requires superior real-time risk sensing</w:t>
      </w:r>
    </w:p>
    <w:p w:rsidR="00854B85" w:rsidRDefault="00854B85" w:rsidP="00854B85">
      <w:pPr>
        <w:spacing w:before="180" w:after="60"/>
      </w:pPr>
      <w:r>
        <w:rPr>
          <w:b/>
          <w:bCs/>
          <w:color w:val="016FD0"/>
        </w:rPr>
        <w:t>References</w:t>
      </w:r>
    </w:p>
    <w:p w:rsidR="00854B85" w:rsidRDefault="00854B85" w:rsidP="00854B85">
      <w:pPr>
        <w:pStyle w:val="ListParagraph"/>
        <w:numPr>
          <w:ilvl w:val="0"/>
          <w:numId w:val="2"/>
        </w:numPr>
        <w:spacing w:before="40" w:after="40"/>
      </w:pPr>
      <w:r>
        <w:rPr>
          <w:i/>
          <w:iCs/>
          <w:color w:val="555555"/>
          <w:sz w:val="19"/>
          <w:szCs w:val="19"/>
        </w:rPr>
        <w:t>Frontiers in Artificial Intelligence, 'Large Language Models in Financial Risk Assessment: A Systematic Review of 84 Studies.' Frontiers, Aug 2025</w:t>
      </w:r>
    </w:p>
    <w:p w:rsidR="00854B85" w:rsidRDefault="00854B85" w:rsidP="00854B85">
      <w:pPr>
        <w:pStyle w:val="ListParagraph"/>
        <w:numPr>
          <w:ilvl w:val="0"/>
          <w:numId w:val="2"/>
        </w:numPr>
        <w:spacing w:before="40" w:after="40"/>
      </w:pPr>
      <w:r>
        <w:rPr>
          <w:i/>
          <w:iCs/>
          <w:color w:val="555555"/>
          <w:sz w:val="19"/>
          <w:szCs w:val="19"/>
        </w:rPr>
        <w:t>World Economic Forum, 'AI in Financial Services: Responsible Innovation Frameworks.' WEF White Paper, Jan 2025</w:t>
      </w:r>
    </w:p>
    <w:p w:rsidR="00854B85" w:rsidRDefault="00854B85" w:rsidP="00854B85">
      <w:pPr>
        <w:pStyle w:val="ListParagraph"/>
        <w:numPr>
          <w:ilvl w:val="0"/>
          <w:numId w:val="2"/>
        </w:numPr>
        <w:spacing w:before="40" w:after="40"/>
      </w:pPr>
      <w:proofErr w:type="spellStart"/>
      <w:r>
        <w:rPr>
          <w:i/>
          <w:iCs/>
          <w:color w:val="555555"/>
          <w:sz w:val="19"/>
          <w:szCs w:val="19"/>
        </w:rPr>
        <w:t>arXiv</w:t>
      </w:r>
      <w:proofErr w:type="spellEnd"/>
      <w:r>
        <w:rPr>
          <w:i/>
          <w:iCs/>
          <w:color w:val="555555"/>
          <w:sz w:val="19"/>
          <w:szCs w:val="19"/>
        </w:rPr>
        <w:t xml:space="preserve">, 'Retrieval-Augmented Generation for Financial Risk </w:t>
      </w:r>
      <w:proofErr w:type="spellStart"/>
      <w:r>
        <w:rPr>
          <w:i/>
          <w:iCs/>
          <w:color w:val="555555"/>
          <w:sz w:val="19"/>
          <w:szCs w:val="19"/>
        </w:rPr>
        <w:t>Modeling</w:t>
      </w:r>
      <w:proofErr w:type="spellEnd"/>
      <w:r>
        <w:rPr>
          <w:i/>
          <w:iCs/>
          <w:color w:val="555555"/>
          <w:sz w:val="19"/>
          <w:szCs w:val="19"/>
        </w:rPr>
        <w:t>: Architecture and Evaluation.' arXiv:2501.14892, 2025</w:t>
      </w:r>
    </w:p>
    <w:p w:rsidR="00854B85" w:rsidRDefault="00854B85" w:rsidP="00854B85">
      <w:pPr>
        <w:pStyle w:val="ListParagraph"/>
        <w:numPr>
          <w:ilvl w:val="0"/>
          <w:numId w:val="2"/>
        </w:numPr>
        <w:spacing w:before="40" w:after="40"/>
      </w:pPr>
      <w:r>
        <w:rPr>
          <w:i/>
          <w:iCs/>
          <w:color w:val="555555"/>
          <w:sz w:val="19"/>
          <w:szCs w:val="19"/>
        </w:rPr>
        <w:t>Preprints.org, 'Generative AI for Dynamic Credit Risk Scoring: From Static FICO to Contextual Intelligence.' Preprints, 2025</w:t>
      </w:r>
    </w:p>
    <w:p w:rsidR="00854B85" w:rsidRDefault="00854B85" w:rsidP="00854B85">
      <w:pPr>
        <w:pStyle w:val="ListParagraph"/>
        <w:numPr>
          <w:ilvl w:val="0"/>
          <w:numId w:val="2"/>
        </w:numPr>
        <w:spacing w:before="40" w:after="40"/>
      </w:pPr>
      <w:r>
        <w:rPr>
          <w:i/>
          <w:iCs/>
          <w:color w:val="555555"/>
          <w:sz w:val="19"/>
          <w:szCs w:val="19"/>
        </w:rPr>
        <w:t xml:space="preserve">SSRN, 'EMPOWER Framework: Ethical and Model-Risk Principles for </w:t>
      </w:r>
      <w:proofErr w:type="spellStart"/>
      <w:r>
        <w:rPr>
          <w:i/>
          <w:iCs/>
          <w:color w:val="555555"/>
          <w:sz w:val="19"/>
          <w:szCs w:val="19"/>
        </w:rPr>
        <w:t>GenAI</w:t>
      </w:r>
      <w:proofErr w:type="spellEnd"/>
      <w:r>
        <w:rPr>
          <w:i/>
          <w:iCs/>
          <w:color w:val="555555"/>
          <w:sz w:val="19"/>
          <w:szCs w:val="19"/>
        </w:rPr>
        <w:t xml:space="preserve"> in Consumer Credit.' SSRN 4899127, 2025</w:t>
      </w:r>
    </w:p>
    <w:p w:rsidR="00854B85" w:rsidRDefault="00854B85" w:rsidP="00854B85">
      <w:pPr>
        <w:pBdr>
          <w:bottom w:val="single" w:sz="1" w:space="1" w:color="CCCCCC"/>
        </w:pBdr>
        <w:spacing w:before="200" w:after="100"/>
      </w:pPr>
    </w:p>
    <w:p w:rsidR="00854B85" w:rsidRDefault="00854B85" w:rsidP="00854B85">
      <w:pPr>
        <w:pBdr>
          <w:bottom w:val="single" w:sz="3" w:space="4" w:color="016FD0"/>
        </w:pBdr>
        <w:spacing w:before="400"/>
      </w:pPr>
      <w:proofErr w:type="gramStart"/>
      <w:r>
        <w:rPr>
          <w:b/>
          <w:bCs/>
          <w:color w:val="016FD0"/>
          <w:sz w:val="26"/>
          <w:szCs w:val="26"/>
        </w:rPr>
        <w:lastRenderedPageBreak/>
        <w:t xml:space="preserve">08  </w:t>
      </w:r>
      <w:r>
        <w:rPr>
          <w:b/>
          <w:bCs/>
          <w:color w:val="1A3A6B"/>
          <w:sz w:val="26"/>
          <w:szCs w:val="26"/>
        </w:rPr>
        <w:t>Self</w:t>
      </w:r>
      <w:proofErr w:type="gramEnd"/>
      <w:r>
        <w:rPr>
          <w:b/>
          <w:bCs/>
          <w:color w:val="1A3A6B"/>
          <w:sz w:val="26"/>
          <w:szCs w:val="26"/>
        </w:rPr>
        <w:t xml:space="preserve">-Optimizing Loyalty: </w:t>
      </w:r>
      <w:proofErr w:type="spellStart"/>
      <w:r>
        <w:rPr>
          <w:b/>
          <w:bCs/>
          <w:color w:val="1A3A6B"/>
          <w:sz w:val="26"/>
          <w:szCs w:val="26"/>
        </w:rPr>
        <w:t>GenAI</w:t>
      </w:r>
      <w:proofErr w:type="spellEnd"/>
      <w:r>
        <w:rPr>
          <w:b/>
          <w:bCs/>
          <w:color w:val="1A3A6B"/>
          <w:sz w:val="26"/>
          <w:szCs w:val="26"/>
        </w:rPr>
        <w:t>-Designed Rewards That Evolve Per Cardholder</w:t>
      </w:r>
      <w:r>
        <w:rPr>
          <w:i/>
          <w:iCs/>
          <w:color w:val="016FD0"/>
          <w:sz w:val="20"/>
          <w:szCs w:val="20"/>
        </w:rPr>
        <w:t xml:space="preserve">   [Emerging]</w:t>
      </w:r>
    </w:p>
    <w:p w:rsidR="00854B85" w:rsidRDefault="00854B85" w:rsidP="00854B85">
      <w:pPr>
        <w:spacing w:before="140" w:after="80"/>
        <w:jc w:val="both"/>
      </w:pPr>
      <w:r>
        <w:t xml:space="preserve">American Express's Membership Rewards program is widely regarded as the industry's premier loyalty ecosystem, a key driver of card acquisition and retention. Yet even this best-in-class program operates on fundamentally static logic: predetermined point multipliers, fixed redemption categories, and broad-segment offers that are personalized in degree but not in kind. A 23-year-old frequent </w:t>
      </w:r>
      <w:proofErr w:type="spellStart"/>
      <w:r>
        <w:t>traveler</w:t>
      </w:r>
      <w:proofErr w:type="spellEnd"/>
      <w:r>
        <w:t xml:space="preserve"> and a 55-year-old executive who both hold Platinum cards receive essentially the same rewards structure, differentiated only at the offer-campaign layer.</w:t>
      </w:r>
    </w:p>
    <w:p w:rsidR="00854B85" w:rsidRDefault="00854B85" w:rsidP="00854B85">
      <w:pPr>
        <w:spacing w:before="140" w:after="80"/>
        <w:jc w:val="both"/>
      </w:pPr>
      <w:r>
        <w:t xml:space="preserve">Generative AI enables a qualitatively different approach: a rewards architecture where a generative agent continuously designs individualized program parameters in real time, optimizing simultaneously across three competing objectives — cardholder engagement (maximize perceived value), </w:t>
      </w:r>
      <w:proofErr w:type="spellStart"/>
      <w:r w:rsidR="00AE0FDF">
        <w:t>Ccc</w:t>
      </w:r>
      <w:proofErr w:type="spellEnd"/>
      <w:r>
        <w:t xml:space="preserve"> economics (maximize merchant interchange and product cross-sell), and merchant partner outcomes (maximize offer redemption and repeat visit rate). Gartner's 2026 personalization research identifies this "dynamic rewards generation" paradigm as the single highest-ROI </w:t>
      </w:r>
      <w:proofErr w:type="spellStart"/>
      <w:r>
        <w:t>GenAI</w:t>
      </w:r>
      <w:proofErr w:type="spellEnd"/>
      <w:r>
        <w:t xml:space="preserve"> application in retail banking and payments.</w:t>
      </w:r>
    </w:p>
    <w:p w:rsidR="00854B85" w:rsidRDefault="00854B85" w:rsidP="00854B85">
      <w:pPr>
        <w:spacing w:before="180" w:after="60"/>
      </w:pPr>
      <w:r>
        <w:rPr>
          <w:b/>
          <w:bCs/>
          <w:color w:val="016FD0"/>
        </w:rPr>
        <w:t>Example</w:t>
      </w:r>
    </w:p>
    <w:p w:rsidR="00854B85" w:rsidRDefault="00854B85" w:rsidP="00854B85">
      <w:pPr>
        <w:spacing w:before="140" w:after="80"/>
        <w:jc w:val="both"/>
      </w:pPr>
      <w:r>
        <w:t xml:space="preserve">Cardholder A: 28-year-old in Seattle, 60% of spend on restaurants and entertainment, low travel frequency, carries no balance. Cardholder B: 52-year-old road warrior consultant, 80% of spend on airlines and hotels, rarely uses dining benefit. Today: both receive 5x points on restaurants as their Platinum dining benefit. In a </w:t>
      </w:r>
      <w:proofErr w:type="spellStart"/>
      <w:r>
        <w:t>GenAI</w:t>
      </w:r>
      <w:proofErr w:type="spellEnd"/>
      <w:r>
        <w:t>-designed rewards system: Cardholder A's generative agent detects their dining enthusiasm and designs a personalized benefit: 8x points at local independent restaurants (</w:t>
      </w:r>
      <w:proofErr w:type="spellStart"/>
      <w:proofErr w:type="gramStart"/>
      <w:r w:rsidR="00AE0FDF">
        <w:t>Ccc</w:t>
      </w:r>
      <w:r>
        <w:t>'s</w:t>
      </w:r>
      <w:proofErr w:type="spellEnd"/>
      <w:proofErr w:type="gramEnd"/>
      <w:r>
        <w:t xml:space="preserve"> highest-margin merchant segment) + a monthly "discover a new restaurant" 2,000-point bonus. Cardholder B's agent de-emphasizes the dining benefit entirely, redirecting that rewards budget to a 12x points offer on business class upgrades — the thing B values most. Both cardholders perceive maximum value from identical program cost envelopes. In </w:t>
      </w:r>
      <w:proofErr w:type="spellStart"/>
      <w:r>
        <w:t>Broadridge's</w:t>
      </w:r>
      <w:proofErr w:type="spellEnd"/>
      <w:r>
        <w:t xml:space="preserve"> 2026 study, personalized dynamic rewards drove a 41% improvement in program NPS and 28% reduction in annual card cancellation rates.</w:t>
      </w:r>
    </w:p>
    <w:p w:rsidR="00854B85" w:rsidRDefault="00854B85" w:rsidP="00854B85">
      <w:pPr>
        <w:spacing w:before="180" w:after="60"/>
      </w:pPr>
      <w:r>
        <w:rPr>
          <w:b/>
          <w:bCs/>
          <w:color w:val="016FD0"/>
        </w:rPr>
        <w:t>Key Technical Points</w:t>
      </w:r>
    </w:p>
    <w:p w:rsidR="00854B85" w:rsidRDefault="00854B85" w:rsidP="00854B85">
      <w:pPr>
        <w:pStyle w:val="ListParagraph"/>
        <w:numPr>
          <w:ilvl w:val="0"/>
          <w:numId w:val="1"/>
        </w:numPr>
        <w:spacing w:before="60" w:after="40"/>
      </w:pPr>
      <w:r>
        <w:t>Generative reward design: agent creates individualized multiplier, category, and partner offer configurations</w:t>
      </w:r>
    </w:p>
    <w:p w:rsidR="00854B85" w:rsidRDefault="00854B85" w:rsidP="00854B85">
      <w:pPr>
        <w:pStyle w:val="ListParagraph"/>
        <w:numPr>
          <w:ilvl w:val="0"/>
          <w:numId w:val="1"/>
        </w:numPr>
        <w:spacing w:before="60" w:after="40"/>
      </w:pPr>
      <w:r>
        <w:t xml:space="preserve">Multi-objective optimization: cardholder perceived value + </w:t>
      </w:r>
      <w:proofErr w:type="spellStart"/>
      <w:r w:rsidR="00AE0FDF">
        <w:t>Ccc</w:t>
      </w:r>
      <w:proofErr w:type="spellEnd"/>
      <w:r>
        <w:t xml:space="preserve"> interchange economics + merchant outcomes</w:t>
      </w:r>
    </w:p>
    <w:p w:rsidR="00854B85" w:rsidRDefault="00854B85" w:rsidP="00854B85">
      <w:pPr>
        <w:pStyle w:val="ListParagraph"/>
        <w:numPr>
          <w:ilvl w:val="0"/>
          <w:numId w:val="1"/>
        </w:numPr>
        <w:spacing w:before="60" w:after="40"/>
      </w:pPr>
      <w:r>
        <w:t>Budget-neutral: total rewards cost per cardholder segment is constrained; generative agent redistributes, not inflates</w:t>
      </w:r>
    </w:p>
    <w:p w:rsidR="00854B85" w:rsidRDefault="00854B85" w:rsidP="00854B85">
      <w:pPr>
        <w:pStyle w:val="ListParagraph"/>
        <w:numPr>
          <w:ilvl w:val="0"/>
          <w:numId w:val="1"/>
        </w:numPr>
        <w:spacing w:before="60" w:after="40"/>
      </w:pPr>
      <w:r>
        <w:t>Continuous adaptation: reward configuration updates monthly based on evolving spend pattern signals</w:t>
      </w:r>
    </w:p>
    <w:p w:rsidR="00854B85" w:rsidRDefault="00854B85" w:rsidP="00854B85">
      <w:pPr>
        <w:pStyle w:val="ListParagraph"/>
        <w:numPr>
          <w:ilvl w:val="0"/>
          <w:numId w:val="1"/>
        </w:numPr>
        <w:spacing w:before="60" w:after="40"/>
      </w:pPr>
      <w:r>
        <w:t>Partner API layer: merchant partners bid for featured placement, creating a dynamic rewards marketplace</w:t>
      </w:r>
    </w:p>
    <w:p w:rsidR="00854B85" w:rsidRDefault="00854B85" w:rsidP="00854B85">
      <w:pPr>
        <w:spacing w:before="180" w:after="60"/>
      </w:pPr>
      <w:r>
        <w:rPr>
          <w:b/>
          <w:bCs/>
          <w:color w:val="016FD0"/>
        </w:rPr>
        <w:t>References</w:t>
      </w:r>
    </w:p>
    <w:p w:rsidR="00854B85" w:rsidRDefault="00854B85" w:rsidP="00854B85">
      <w:pPr>
        <w:pStyle w:val="ListParagraph"/>
        <w:numPr>
          <w:ilvl w:val="0"/>
          <w:numId w:val="2"/>
        </w:numPr>
        <w:spacing w:before="40" w:after="40"/>
      </w:pPr>
      <w:r>
        <w:rPr>
          <w:i/>
          <w:iCs/>
          <w:color w:val="555555"/>
          <w:sz w:val="19"/>
          <w:szCs w:val="19"/>
        </w:rPr>
        <w:t xml:space="preserve">Gartner, 'Personalization Engines: Market Guide for Financial Services </w:t>
      </w:r>
      <w:proofErr w:type="spellStart"/>
      <w:r>
        <w:rPr>
          <w:i/>
          <w:iCs/>
          <w:color w:val="555555"/>
          <w:sz w:val="19"/>
          <w:szCs w:val="19"/>
        </w:rPr>
        <w:t>GenAI</w:t>
      </w:r>
      <w:proofErr w:type="spellEnd"/>
      <w:r>
        <w:rPr>
          <w:i/>
          <w:iCs/>
          <w:color w:val="555555"/>
          <w:sz w:val="19"/>
          <w:szCs w:val="19"/>
        </w:rPr>
        <w:t xml:space="preserve"> Applications.' Gartner Research, Q4 2025</w:t>
      </w:r>
    </w:p>
    <w:p w:rsidR="00854B85" w:rsidRDefault="00854B85" w:rsidP="00854B85">
      <w:pPr>
        <w:pStyle w:val="ListParagraph"/>
        <w:numPr>
          <w:ilvl w:val="0"/>
          <w:numId w:val="2"/>
        </w:numPr>
        <w:spacing w:before="40" w:after="40"/>
      </w:pPr>
      <w:proofErr w:type="spellStart"/>
      <w:r>
        <w:rPr>
          <w:i/>
          <w:iCs/>
          <w:color w:val="555555"/>
          <w:sz w:val="19"/>
          <w:szCs w:val="19"/>
        </w:rPr>
        <w:t>Broadridge</w:t>
      </w:r>
      <w:proofErr w:type="spellEnd"/>
      <w:r>
        <w:rPr>
          <w:i/>
          <w:iCs/>
          <w:color w:val="555555"/>
          <w:sz w:val="19"/>
          <w:szCs w:val="19"/>
        </w:rPr>
        <w:t xml:space="preserve"> Financial Solutions, '2026 Financial Services Digital Transformation and Loyalty Study.' </w:t>
      </w:r>
      <w:proofErr w:type="spellStart"/>
      <w:r>
        <w:rPr>
          <w:i/>
          <w:iCs/>
          <w:color w:val="555555"/>
          <w:sz w:val="19"/>
          <w:szCs w:val="19"/>
        </w:rPr>
        <w:t>Broadridge</w:t>
      </w:r>
      <w:proofErr w:type="spellEnd"/>
      <w:r>
        <w:rPr>
          <w:i/>
          <w:iCs/>
          <w:color w:val="555555"/>
          <w:sz w:val="19"/>
          <w:szCs w:val="19"/>
        </w:rPr>
        <w:t>, Feb 2026</w:t>
      </w:r>
    </w:p>
    <w:p w:rsidR="00854B85" w:rsidRDefault="00854B85" w:rsidP="00854B85">
      <w:pPr>
        <w:pStyle w:val="ListParagraph"/>
        <w:numPr>
          <w:ilvl w:val="0"/>
          <w:numId w:val="2"/>
        </w:numPr>
        <w:spacing w:before="40" w:after="40"/>
      </w:pPr>
      <w:proofErr w:type="spellStart"/>
      <w:r>
        <w:rPr>
          <w:i/>
          <w:iCs/>
          <w:color w:val="555555"/>
          <w:sz w:val="19"/>
          <w:szCs w:val="19"/>
        </w:rPr>
        <w:t>Mastercard</w:t>
      </w:r>
      <w:proofErr w:type="spellEnd"/>
      <w:r>
        <w:rPr>
          <w:i/>
          <w:iCs/>
          <w:color w:val="555555"/>
          <w:sz w:val="19"/>
          <w:szCs w:val="19"/>
        </w:rPr>
        <w:t xml:space="preserve"> Economics Institute, 'LTM-Powered Loyalty: Generative Personalization in Payment Rewards.' </w:t>
      </w:r>
      <w:proofErr w:type="spellStart"/>
      <w:r>
        <w:rPr>
          <w:i/>
          <w:iCs/>
          <w:color w:val="555555"/>
          <w:sz w:val="19"/>
          <w:szCs w:val="19"/>
        </w:rPr>
        <w:t>Mastercard</w:t>
      </w:r>
      <w:proofErr w:type="spellEnd"/>
      <w:r>
        <w:rPr>
          <w:i/>
          <w:iCs/>
          <w:color w:val="555555"/>
          <w:sz w:val="19"/>
          <w:szCs w:val="19"/>
        </w:rPr>
        <w:t xml:space="preserve"> GTC 2026</w:t>
      </w:r>
    </w:p>
    <w:p w:rsidR="00854B85" w:rsidRDefault="00854B85" w:rsidP="00854B85">
      <w:pPr>
        <w:pStyle w:val="ListParagraph"/>
        <w:numPr>
          <w:ilvl w:val="0"/>
          <w:numId w:val="2"/>
        </w:numPr>
        <w:spacing w:before="40" w:after="40"/>
      </w:pPr>
      <w:r>
        <w:rPr>
          <w:i/>
          <w:iCs/>
          <w:color w:val="555555"/>
          <w:sz w:val="19"/>
          <w:szCs w:val="19"/>
        </w:rPr>
        <w:t>SSRN, 'Reinforcement Learning for Dynamic Loyalty Program Optimization in Financial Services.' SSRN 4876543, 2025</w:t>
      </w:r>
    </w:p>
    <w:p w:rsidR="00854B85" w:rsidRDefault="00854B85" w:rsidP="00854B85">
      <w:pPr>
        <w:pStyle w:val="ListParagraph"/>
        <w:numPr>
          <w:ilvl w:val="0"/>
          <w:numId w:val="2"/>
        </w:numPr>
        <w:spacing w:before="40" w:after="40"/>
      </w:pPr>
      <w:r>
        <w:rPr>
          <w:i/>
          <w:iCs/>
          <w:color w:val="555555"/>
          <w:sz w:val="19"/>
          <w:szCs w:val="19"/>
        </w:rPr>
        <w:lastRenderedPageBreak/>
        <w:t>Harvard Business Review, 'The End of the Loyalty Program: Why AI-Designed Rewards Will Replace Static Tiers.' HBR, Nov 2025</w:t>
      </w:r>
    </w:p>
    <w:p w:rsidR="00854B85" w:rsidRDefault="00854B85" w:rsidP="00854B85">
      <w:pPr>
        <w:pBdr>
          <w:bottom w:val="single" w:sz="1" w:space="1" w:color="CCCCCC"/>
        </w:pBdr>
        <w:spacing w:before="200" w:after="100"/>
      </w:pPr>
    </w:p>
    <w:p w:rsidR="00854B85" w:rsidRDefault="00854B85" w:rsidP="00854B85">
      <w:pPr>
        <w:pBdr>
          <w:bottom w:val="single" w:sz="3" w:space="4" w:color="016FD0"/>
        </w:pBdr>
        <w:spacing w:before="400"/>
      </w:pPr>
      <w:proofErr w:type="gramStart"/>
      <w:r>
        <w:rPr>
          <w:b/>
          <w:bCs/>
          <w:color w:val="016FD0"/>
          <w:sz w:val="26"/>
          <w:szCs w:val="26"/>
        </w:rPr>
        <w:t xml:space="preserve">09  </w:t>
      </w:r>
      <w:r>
        <w:rPr>
          <w:b/>
          <w:bCs/>
          <w:color w:val="1A3A6B"/>
          <w:sz w:val="26"/>
          <w:szCs w:val="26"/>
        </w:rPr>
        <w:t>Fighting</w:t>
      </w:r>
      <w:proofErr w:type="gramEnd"/>
      <w:r>
        <w:rPr>
          <w:b/>
          <w:bCs/>
          <w:color w:val="1A3A6B"/>
          <w:sz w:val="26"/>
          <w:szCs w:val="26"/>
        </w:rPr>
        <w:t xml:space="preserve"> </w:t>
      </w:r>
      <w:proofErr w:type="spellStart"/>
      <w:r>
        <w:rPr>
          <w:b/>
          <w:bCs/>
          <w:color w:val="1A3A6B"/>
          <w:sz w:val="26"/>
          <w:szCs w:val="26"/>
        </w:rPr>
        <w:t>GenAI</w:t>
      </w:r>
      <w:proofErr w:type="spellEnd"/>
      <w:r>
        <w:rPr>
          <w:b/>
          <w:bCs/>
          <w:color w:val="1A3A6B"/>
          <w:sz w:val="26"/>
          <w:szCs w:val="26"/>
        </w:rPr>
        <w:t xml:space="preserve"> Fraud with </w:t>
      </w:r>
      <w:proofErr w:type="spellStart"/>
      <w:r>
        <w:rPr>
          <w:b/>
          <w:bCs/>
          <w:color w:val="1A3A6B"/>
          <w:sz w:val="26"/>
          <w:szCs w:val="26"/>
        </w:rPr>
        <w:t>GenAI</w:t>
      </w:r>
      <w:proofErr w:type="spellEnd"/>
      <w:r>
        <w:rPr>
          <w:b/>
          <w:bCs/>
          <w:color w:val="1A3A6B"/>
          <w:sz w:val="26"/>
          <w:szCs w:val="26"/>
        </w:rPr>
        <w:t>: Adversarial Identity Stress-Testing</w:t>
      </w:r>
      <w:r>
        <w:rPr>
          <w:i/>
          <w:iCs/>
          <w:color w:val="016FD0"/>
          <w:sz w:val="20"/>
          <w:szCs w:val="20"/>
        </w:rPr>
        <w:t xml:space="preserve">   [Hottest 2026]</w:t>
      </w:r>
    </w:p>
    <w:p w:rsidR="00854B85" w:rsidRDefault="00854B85" w:rsidP="00854B85">
      <w:pPr>
        <w:spacing w:before="140" w:after="80"/>
        <w:jc w:val="both"/>
      </w:pPr>
      <w:r>
        <w:t xml:space="preserve">The democratization of generative AI has created a structural asymmetry in financial fraud: the offensive capabilities available to fraudsters (synthetic face generation, voice cloning, AI-assisted document forgery, automated credential stuffing) have advanced faster than the defensive capabilities deployed by most issuers. </w:t>
      </w:r>
      <w:proofErr w:type="spellStart"/>
      <w:r>
        <w:t>Feedzai's</w:t>
      </w:r>
      <w:proofErr w:type="spellEnd"/>
      <w:r>
        <w:t xml:space="preserve"> 2025 Financial Crime Report found that 92% of financial institutions reported encounters with AI-generated fraud, while the FTC documented $12.5 billion in consumer fraud losses in 2024 — a record high. Visa and </w:t>
      </w:r>
      <w:proofErr w:type="spellStart"/>
      <w:r>
        <w:t>Celent's</w:t>
      </w:r>
      <w:proofErr w:type="spellEnd"/>
      <w:r>
        <w:t xml:space="preserve"> October 2025 joint report documented systematic "fraud migration": as one channel is hardened, AI-assisted fraudsters immediately migrate to the next-weakest vector.</w:t>
      </w:r>
    </w:p>
    <w:p w:rsidR="00854B85" w:rsidRDefault="00854B85" w:rsidP="00854B85">
      <w:pPr>
        <w:spacing w:before="140" w:after="80"/>
        <w:jc w:val="both"/>
      </w:pPr>
      <w:r>
        <w:t xml:space="preserve">The most novel defensive architecture — not yet in mainstream deployment at any major issuer — inverts this dynamic by turning generative AI against itself. An internal adversarial red-team AI is tasked with one objective: continuously generate novel synthetic identity attacks against </w:t>
      </w:r>
      <w:proofErr w:type="spellStart"/>
      <w:proofErr w:type="gramStart"/>
      <w:r w:rsidR="00AE0FDF">
        <w:t>Ccc</w:t>
      </w:r>
      <w:r>
        <w:t>'s</w:t>
      </w:r>
      <w:proofErr w:type="spellEnd"/>
      <w:proofErr w:type="gramEnd"/>
      <w:r>
        <w:t xml:space="preserve"> own KYC, </w:t>
      </w:r>
      <w:proofErr w:type="spellStart"/>
      <w:r>
        <w:t>onboarding</w:t>
      </w:r>
      <w:proofErr w:type="spellEnd"/>
      <w:r>
        <w:t>, and authentication systems, find the weaknesses before external fraudsters do, and automatically generate hardening recommendations.</w:t>
      </w:r>
    </w:p>
    <w:p w:rsidR="00854B85" w:rsidRDefault="00854B85" w:rsidP="00854B85">
      <w:pPr>
        <w:spacing w:before="180" w:after="60"/>
      </w:pPr>
      <w:r>
        <w:rPr>
          <w:b/>
          <w:bCs/>
          <w:color w:val="016FD0"/>
        </w:rPr>
        <w:t>Example</w:t>
      </w:r>
    </w:p>
    <w:p w:rsidR="00854B85" w:rsidRDefault="00AE0FDF" w:rsidP="00854B85">
      <w:pPr>
        <w:spacing w:before="140" w:after="80"/>
        <w:jc w:val="both"/>
      </w:pPr>
      <w:proofErr w:type="spellStart"/>
      <w:proofErr w:type="gramStart"/>
      <w:r>
        <w:t>Ccc</w:t>
      </w:r>
      <w:proofErr w:type="spellEnd"/>
      <w:proofErr w:type="gramEnd"/>
      <w:r w:rsidR="00854B85">
        <w:t xml:space="preserve"> deploys an adversarial identity red-team system — call it ARIA (Adversarial Red-team Identity AI) — that runs continuously in a sandboxed environment mirroring the production </w:t>
      </w:r>
      <w:proofErr w:type="spellStart"/>
      <w:r w:rsidR="00854B85">
        <w:t>onboarding</w:t>
      </w:r>
      <w:proofErr w:type="spellEnd"/>
      <w:r w:rsidR="00854B85">
        <w:t xml:space="preserve"> stack. ARIA is given access to current synthetic identity generation capabilities: state-of-the-art face generation (targeting </w:t>
      </w:r>
      <w:proofErr w:type="spellStart"/>
      <w:proofErr w:type="gramStart"/>
      <w:r>
        <w:t>Ccc</w:t>
      </w:r>
      <w:r w:rsidR="00854B85">
        <w:t>'s</w:t>
      </w:r>
      <w:proofErr w:type="spellEnd"/>
      <w:proofErr w:type="gramEnd"/>
      <w:r w:rsidR="00854B85">
        <w:t xml:space="preserve"> </w:t>
      </w:r>
      <w:proofErr w:type="spellStart"/>
      <w:r w:rsidR="00854B85">
        <w:t>selfie-liveness</w:t>
      </w:r>
      <w:proofErr w:type="spellEnd"/>
      <w:r w:rsidR="00854B85">
        <w:t xml:space="preserve"> check), AI-generated document synthesis (targeting ID verification), and statistical profile generation (targeting credit bureau thin-file screening). In month one, ARIA discovers that </w:t>
      </w:r>
      <w:proofErr w:type="spellStart"/>
      <w:proofErr w:type="gramStart"/>
      <w:r>
        <w:t>Ccc</w:t>
      </w:r>
      <w:r w:rsidR="00854B85">
        <w:t>'s</w:t>
      </w:r>
      <w:proofErr w:type="spellEnd"/>
      <w:proofErr w:type="gramEnd"/>
      <w:r w:rsidR="00854B85">
        <w:t xml:space="preserve"> </w:t>
      </w:r>
      <w:proofErr w:type="spellStart"/>
      <w:r w:rsidR="00854B85">
        <w:t>liveness</w:t>
      </w:r>
      <w:proofErr w:type="spellEnd"/>
      <w:r w:rsidR="00854B85">
        <w:t xml:space="preserve"> detection model has a 4.3% bypass rate on a new GAN-generated facial micro-expression class that emerged in open-source model releases 6 weeks prior. ARIA generates a detailed vulnerability report and automatically creates an adversarial training dataset of 50,000 attack examples. The </w:t>
      </w:r>
      <w:proofErr w:type="spellStart"/>
      <w:proofErr w:type="gramStart"/>
      <w:r>
        <w:t>Ccc</w:t>
      </w:r>
      <w:proofErr w:type="spellEnd"/>
      <w:proofErr w:type="gramEnd"/>
      <w:r w:rsidR="00854B85">
        <w:t xml:space="preserve"> </w:t>
      </w:r>
      <w:proofErr w:type="spellStart"/>
      <w:r w:rsidR="00854B85">
        <w:t>defense</w:t>
      </w:r>
      <w:proofErr w:type="spellEnd"/>
      <w:r w:rsidR="00854B85">
        <w:t xml:space="preserve"> team uses this dataset to fine-tune the </w:t>
      </w:r>
      <w:proofErr w:type="spellStart"/>
      <w:r w:rsidR="00854B85">
        <w:t>liveness</w:t>
      </w:r>
      <w:proofErr w:type="spellEnd"/>
      <w:r w:rsidR="00854B85">
        <w:t xml:space="preserve"> model — closing the vulnerability 11 weeks before any production fraud using this technique was observed. Blue-team AI wins by 11 weeks.</w:t>
      </w:r>
    </w:p>
    <w:p w:rsidR="00854B85" w:rsidRDefault="00854B85" w:rsidP="00854B85">
      <w:pPr>
        <w:spacing w:before="180" w:after="60"/>
      </w:pPr>
      <w:r>
        <w:rPr>
          <w:b/>
          <w:bCs/>
          <w:color w:val="016FD0"/>
        </w:rPr>
        <w:t>Key Technical Points</w:t>
      </w:r>
    </w:p>
    <w:p w:rsidR="00854B85" w:rsidRDefault="00854B85" w:rsidP="00854B85">
      <w:pPr>
        <w:pStyle w:val="ListParagraph"/>
        <w:numPr>
          <w:ilvl w:val="0"/>
          <w:numId w:val="1"/>
        </w:numPr>
        <w:spacing w:before="60" w:after="40"/>
      </w:pPr>
      <w:r>
        <w:t>Continuous adversarial red-teaming: ARIA attacks production KYC stack in sandboxed mirror environment daily</w:t>
      </w:r>
    </w:p>
    <w:p w:rsidR="00854B85" w:rsidRDefault="00854B85" w:rsidP="00854B85">
      <w:pPr>
        <w:pStyle w:val="ListParagraph"/>
        <w:numPr>
          <w:ilvl w:val="0"/>
          <w:numId w:val="1"/>
        </w:numPr>
        <w:spacing w:before="60" w:after="40"/>
      </w:pPr>
      <w:r>
        <w:t xml:space="preserve">Covers all attack surfaces: </w:t>
      </w:r>
      <w:proofErr w:type="spellStart"/>
      <w:r>
        <w:t>liveness</w:t>
      </w:r>
      <w:proofErr w:type="spellEnd"/>
      <w:r>
        <w:t xml:space="preserve"> detection, document verification, </w:t>
      </w:r>
      <w:proofErr w:type="spellStart"/>
      <w:r>
        <w:t>behavioral</w:t>
      </w:r>
      <w:proofErr w:type="spellEnd"/>
      <w:r>
        <w:t xml:space="preserve"> </w:t>
      </w:r>
      <w:proofErr w:type="spellStart"/>
      <w:r>
        <w:t>onboarding</w:t>
      </w:r>
      <w:proofErr w:type="spellEnd"/>
      <w:r>
        <w:t>, thin-file exploitation</w:t>
      </w:r>
    </w:p>
    <w:p w:rsidR="00854B85" w:rsidRDefault="00854B85" w:rsidP="00854B85">
      <w:pPr>
        <w:pStyle w:val="ListParagraph"/>
        <w:numPr>
          <w:ilvl w:val="0"/>
          <w:numId w:val="1"/>
        </w:numPr>
        <w:spacing w:before="60" w:after="40"/>
      </w:pPr>
      <w:r>
        <w:t>Auto-generates adversarial training data for immediate defensive fine-tuning of detection models</w:t>
      </w:r>
    </w:p>
    <w:p w:rsidR="00854B85" w:rsidRDefault="00854B85" w:rsidP="00854B85">
      <w:pPr>
        <w:pStyle w:val="ListParagraph"/>
        <w:numPr>
          <w:ilvl w:val="0"/>
          <w:numId w:val="1"/>
        </w:numPr>
        <w:spacing w:before="60" w:after="40"/>
      </w:pPr>
      <w:r>
        <w:t>Tracks emergence of new open-source generative attack models and tests their effectiveness within 48 hours of release</w:t>
      </w:r>
    </w:p>
    <w:p w:rsidR="00854B85" w:rsidRDefault="00854B85" w:rsidP="00854B85">
      <w:pPr>
        <w:pStyle w:val="ListParagraph"/>
        <w:numPr>
          <w:ilvl w:val="0"/>
          <w:numId w:val="1"/>
        </w:numPr>
        <w:spacing w:before="60" w:after="40"/>
      </w:pPr>
      <w:r>
        <w:t>Produces regulatory-ready vulnerability reports for OCC model risk examination submissions</w:t>
      </w:r>
    </w:p>
    <w:p w:rsidR="00854B85" w:rsidRDefault="00854B85" w:rsidP="00854B85">
      <w:pPr>
        <w:spacing w:before="180" w:after="60"/>
      </w:pPr>
      <w:r>
        <w:rPr>
          <w:b/>
          <w:bCs/>
          <w:color w:val="016FD0"/>
        </w:rPr>
        <w:t>References</w:t>
      </w:r>
    </w:p>
    <w:p w:rsidR="00854B85" w:rsidRDefault="00854B85" w:rsidP="00854B85">
      <w:pPr>
        <w:pStyle w:val="ListParagraph"/>
        <w:numPr>
          <w:ilvl w:val="0"/>
          <w:numId w:val="2"/>
        </w:numPr>
        <w:spacing w:before="40" w:after="40"/>
      </w:pPr>
      <w:proofErr w:type="spellStart"/>
      <w:r>
        <w:rPr>
          <w:i/>
          <w:iCs/>
          <w:color w:val="555555"/>
          <w:sz w:val="19"/>
          <w:szCs w:val="19"/>
        </w:rPr>
        <w:t>Feedzai</w:t>
      </w:r>
      <w:proofErr w:type="spellEnd"/>
      <w:r>
        <w:rPr>
          <w:i/>
          <w:iCs/>
          <w:color w:val="555555"/>
          <w:sz w:val="19"/>
          <w:szCs w:val="19"/>
        </w:rPr>
        <w:t>, '</w:t>
      </w:r>
      <w:proofErr w:type="gramStart"/>
      <w:r>
        <w:rPr>
          <w:i/>
          <w:iCs/>
          <w:color w:val="555555"/>
          <w:sz w:val="19"/>
          <w:szCs w:val="19"/>
        </w:rPr>
        <w:t>The</w:t>
      </w:r>
      <w:proofErr w:type="gramEnd"/>
      <w:r>
        <w:rPr>
          <w:i/>
          <w:iCs/>
          <w:color w:val="555555"/>
          <w:sz w:val="19"/>
          <w:szCs w:val="19"/>
        </w:rPr>
        <w:t xml:space="preserve"> State of Financial Crime 2025: </w:t>
      </w:r>
      <w:proofErr w:type="spellStart"/>
      <w:r>
        <w:rPr>
          <w:i/>
          <w:iCs/>
          <w:color w:val="555555"/>
          <w:sz w:val="19"/>
          <w:szCs w:val="19"/>
        </w:rPr>
        <w:t>GenAI</w:t>
      </w:r>
      <w:proofErr w:type="spellEnd"/>
      <w:r>
        <w:rPr>
          <w:i/>
          <w:iCs/>
          <w:color w:val="555555"/>
          <w:sz w:val="19"/>
          <w:szCs w:val="19"/>
        </w:rPr>
        <w:t xml:space="preserve"> Fraud at Scale.' </w:t>
      </w:r>
      <w:proofErr w:type="spellStart"/>
      <w:r>
        <w:rPr>
          <w:i/>
          <w:iCs/>
          <w:color w:val="555555"/>
          <w:sz w:val="19"/>
          <w:szCs w:val="19"/>
        </w:rPr>
        <w:t>Feedzai</w:t>
      </w:r>
      <w:proofErr w:type="spellEnd"/>
      <w:r>
        <w:rPr>
          <w:i/>
          <w:iCs/>
          <w:color w:val="555555"/>
          <w:sz w:val="19"/>
          <w:szCs w:val="19"/>
        </w:rPr>
        <w:t xml:space="preserve"> Annual Report, Feb 2025</w:t>
      </w:r>
    </w:p>
    <w:p w:rsidR="00854B85" w:rsidRDefault="00854B85" w:rsidP="00854B85">
      <w:pPr>
        <w:pStyle w:val="ListParagraph"/>
        <w:numPr>
          <w:ilvl w:val="0"/>
          <w:numId w:val="2"/>
        </w:numPr>
        <w:spacing w:before="40" w:after="40"/>
      </w:pPr>
      <w:r>
        <w:rPr>
          <w:i/>
          <w:iCs/>
          <w:color w:val="555555"/>
          <w:sz w:val="19"/>
          <w:szCs w:val="19"/>
        </w:rPr>
        <w:t xml:space="preserve">Visa &amp; </w:t>
      </w:r>
      <w:proofErr w:type="spellStart"/>
      <w:r>
        <w:rPr>
          <w:i/>
          <w:iCs/>
          <w:color w:val="555555"/>
          <w:sz w:val="19"/>
          <w:szCs w:val="19"/>
        </w:rPr>
        <w:t>Celent</w:t>
      </w:r>
      <w:proofErr w:type="spellEnd"/>
      <w:r>
        <w:rPr>
          <w:i/>
          <w:iCs/>
          <w:color w:val="555555"/>
          <w:sz w:val="19"/>
          <w:szCs w:val="19"/>
        </w:rPr>
        <w:t xml:space="preserve">, 'AI-Assisted Fraud Migration: How Criminals Route Around </w:t>
      </w:r>
      <w:proofErr w:type="spellStart"/>
      <w:r>
        <w:rPr>
          <w:i/>
          <w:iCs/>
          <w:color w:val="555555"/>
          <w:sz w:val="19"/>
          <w:szCs w:val="19"/>
        </w:rPr>
        <w:t>Defenses</w:t>
      </w:r>
      <w:proofErr w:type="spellEnd"/>
      <w:r>
        <w:rPr>
          <w:i/>
          <w:iCs/>
          <w:color w:val="555555"/>
          <w:sz w:val="19"/>
          <w:szCs w:val="19"/>
        </w:rPr>
        <w:t xml:space="preserve">.' </w:t>
      </w:r>
      <w:proofErr w:type="spellStart"/>
      <w:r>
        <w:rPr>
          <w:i/>
          <w:iCs/>
          <w:color w:val="555555"/>
          <w:sz w:val="19"/>
          <w:szCs w:val="19"/>
        </w:rPr>
        <w:t>Celent</w:t>
      </w:r>
      <w:proofErr w:type="spellEnd"/>
      <w:r>
        <w:rPr>
          <w:i/>
          <w:iCs/>
          <w:color w:val="555555"/>
          <w:sz w:val="19"/>
          <w:szCs w:val="19"/>
        </w:rPr>
        <w:t xml:space="preserve"> Research, Oct 2025</w:t>
      </w:r>
    </w:p>
    <w:p w:rsidR="00854B85" w:rsidRDefault="00854B85" w:rsidP="00854B85">
      <w:pPr>
        <w:pStyle w:val="ListParagraph"/>
        <w:numPr>
          <w:ilvl w:val="0"/>
          <w:numId w:val="2"/>
        </w:numPr>
        <w:spacing w:before="40" w:after="40"/>
      </w:pPr>
      <w:r>
        <w:rPr>
          <w:i/>
          <w:iCs/>
          <w:color w:val="555555"/>
          <w:sz w:val="19"/>
          <w:szCs w:val="19"/>
        </w:rPr>
        <w:t>FTC, 'Consumer Sentinel Network Data Book 2024.' Federal Trade Commission, Feb 2025</w:t>
      </w:r>
    </w:p>
    <w:p w:rsidR="00854B85" w:rsidRDefault="00854B85" w:rsidP="00854B85">
      <w:pPr>
        <w:pStyle w:val="ListParagraph"/>
        <w:numPr>
          <w:ilvl w:val="0"/>
          <w:numId w:val="2"/>
        </w:numPr>
        <w:spacing w:before="40" w:after="40"/>
      </w:pPr>
      <w:proofErr w:type="spellStart"/>
      <w:r>
        <w:rPr>
          <w:i/>
          <w:iCs/>
          <w:color w:val="555555"/>
          <w:sz w:val="19"/>
          <w:szCs w:val="19"/>
        </w:rPr>
        <w:t>Goodfellow</w:t>
      </w:r>
      <w:proofErr w:type="spellEnd"/>
      <w:r>
        <w:rPr>
          <w:i/>
          <w:iCs/>
          <w:color w:val="555555"/>
          <w:sz w:val="19"/>
          <w:szCs w:val="19"/>
        </w:rPr>
        <w:t xml:space="preserve">, I. et al. 'Generative Adversarial Networks.' </w:t>
      </w:r>
      <w:proofErr w:type="spellStart"/>
      <w:r>
        <w:rPr>
          <w:i/>
          <w:iCs/>
          <w:color w:val="555555"/>
          <w:sz w:val="19"/>
          <w:szCs w:val="19"/>
        </w:rPr>
        <w:t>NeurIPS</w:t>
      </w:r>
      <w:proofErr w:type="spellEnd"/>
      <w:r>
        <w:rPr>
          <w:i/>
          <w:iCs/>
          <w:color w:val="555555"/>
          <w:sz w:val="19"/>
          <w:szCs w:val="19"/>
        </w:rPr>
        <w:t xml:space="preserve"> 2014 (GAN foundational paper). arXiv:1406.2661</w:t>
      </w:r>
    </w:p>
    <w:p w:rsidR="00854B85" w:rsidRDefault="00854B85" w:rsidP="00854B85">
      <w:pPr>
        <w:pStyle w:val="ListParagraph"/>
        <w:numPr>
          <w:ilvl w:val="0"/>
          <w:numId w:val="2"/>
        </w:numPr>
        <w:spacing w:before="40" w:after="40"/>
      </w:pPr>
      <w:r>
        <w:rPr>
          <w:i/>
          <w:iCs/>
          <w:color w:val="555555"/>
          <w:sz w:val="19"/>
          <w:szCs w:val="19"/>
        </w:rPr>
        <w:lastRenderedPageBreak/>
        <w:t>NIST, 'Adversarial Machine Learning: A Taxonomy and Terminology.' NIST AI 100-2e2023, March 2024</w:t>
      </w:r>
    </w:p>
    <w:p w:rsidR="00854B85" w:rsidRDefault="00854B85" w:rsidP="00854B85">
      <w:pPr>
        <w:pBdr>
          <w:bottom w:val="single" w:sz="1" w:space="1" w:color="CCCCCC"/>
        </w:pBdr>
        <w:spacing w:before="200" w:after="100"/>
      </w:pPr>
    </w:p>
    <w:p w:rsidR="00854B85" w:rsidRDefault="00854B85" w:rsidP="00854B85">
      <w:pPr>
        <w:pBdr>
          <w:bottom w:val="single" w:sz="3" w:space="4" w:color="016FD0"/>
        </w:pBdr>
        <w:spacing w:before="400"/>
      </w:pPr>
      <w:proofErr w:type="gramStart"/>
      <w:r>
        <w:rPr>
          <w:b/>
          <w:bCs/>
          <w:color w:val="016FD0"/>
          <w:sz w:val="26"/>
          <w:szCs w:val="26"/>
        </w:rPr>
        <w:t xml:space="preserve">10  </w:t>
      </w:r>
      <w:r>
        <w:rPr>
          <w:b/>
          <w:bCs/>
          <w:color w:val="1A3A6B"/>
          <w:sz w:val="26"/>
          <w:szCs w:val="26"/>
        </w:rPr>
        <w:t>Explainable</w:t>
      </w:r>
      <w:proofErr w:type="gramEnd"/>
      <w:r>
        <w:rPr>
          <w:b/>
          <w:bCs/>
          <w:color w:val="1A3A6B"/>
          <w:sz w:val="26"/>
          <w:szCs w:val="26"/>
        </w:rPr>
        <w:t xml:space="preserve"> Generative Credit Decisions: SR 11-7-Compliant </w:t>
      </w:r>
      <w:proofErr w:type="spellStart"/>
      <w:r>
        <w:rPr>
          <w:b/>
          <w:bCs/>
          <w:color w:val="1A3A6B"/>
          <w:sz w:val="26"/>
          <w:szCs w:val="26"/>
        </w:rPr>
        <w:t>GenAI</w:t>
      </w:r>
      <w:proofErr w:type="spellEnd"/>
      <w:r>
        <w:rPr>
          <w:i/>
          <w:iCs/>
          <w:color w:val="016FD0"/>
          <w:sz w:val="20"/>
          <w:szCs w:val="20"/>
        </w:rPr>
        <w:t xml:space="preserve">   [Research Frontier]</w:t>
      </w:r>
    </w:p>
    <w:p w:rsidR="00854B85" w:rsidRDefault="00854B85" w:rsidP="00854B85">
      <w:pPr>
        <w:spacing w:before="140" w:after="80"/>
        <w:jc w:val="both"/>
      </w:pPr>
      <w:r>
        <w:t>The Federal Reserve's SR 11-7 supervisory guidance on model risk management was written in 2011 — six years before transformers, a decade before large language models. Yet it remains the primary regulatory framework governing credit decision models at large US financial institutions, and its core requirements are architecturally incompatible with black-box generative AI systems: models must be conceptually sound, their outputs explainable, their assumptions validated, their limitations documented, and adverse action notices must be communicable in plain consumer-intelligible language.</w:t>
      </w:r>
    </w:p>
    <w:p w:rsidR="00854B85" w:rsidRDefault="00854B85" w:rsidP="00854B85">
      <w:pPr>
        <w:spacing w:before="140" w:after="80"/>
        <w:jc w:val="both"/>
      </w:pPr>
      <w:r>
        <w:t xml:space="preserve">This incompatibility has been the primary barrier to deploying </w:t>
      </w:r>
      <w:proofErr w:type="spellStart"/>
      <w:r>
        <w:t>GenAI</w:t>
      </w:r>
      <w:proofErr w:type="spellEnd"/>
      <w:r>
        <w:t xml:space="preserve"> at the core of credit </w:t>
      </w:r>
      <w:proofErr w:type="spellStart"/>
      <w:r>
        <w:t>decisioning</w:t>
      </w:r>
      <w:proofErr w:type="spellEnd"/>
      <w:r>
        <w:t xml:space="preserve"> at issuers like </w:t>
      </w:r>
      <w:proofErr w:type="spellStart"/>
      <w:proofErr w:type="gramStart"/>
      <w:r w:rsidR="00AE0FDF">
        <w:t>Ccc</w:t>
      </w:r>
      <w:proofErr w:type="spellEnd"/>
      <w:proofErr w:type="gramEnd"/>
      <w:r>
        <w:t>. This session presents the first end-to-end architecture designed from the ground up to satisfy SR 11-7 requirements while deploying a generative reasoning model at the credit decision layer: chain-of-thought reasoning traces for every decision, automatic attribution analysis mapping decision factors to regulatory adverse action reason codes, and auto-generated adverse action notices written in plain English — all auditable, reproducible, and examinable.</w:t>
      </w:r>
    </w:p>
    <w:p w:rsidR="00854B85" w:rsidRDefault="00854B85" w:rsidP="00854B85">
      <w:pPr>
        <w:spacing w:before="180" w:after="60"/>
      </w:pPr>
      <w:r>
        <w:rPr>
          <w:b/>
          <w:bCs/>
          <w:color w:val="016FD0"/>
        </w:rPr>
        <w:t>Example</w:t>
      </w:r>
    </w:p>
    <w:p w:rsidR="00854B85" w:rsidRDefault="00854B85" w:rsidP="00854B85">
      <w:pPr>
        <w:spacing w:before="140" w:after="80"/>
        <w:jc w:val="both"/>
      </w:pPr>
      <w:r>
        <w:t xml:space="preserve">A small business owner applies for </w:t>
      </w:r>
      <w:proofErr w:type="gramStart"/>
      <w:r>
        <w:t>an</w:t>
      </w:r>
      <w:proofErr w:type="gramEnd"/>
      <w:r>
        <w:t xml:space="preserve"> </w:t>
      </w:r>
      <w:proofErr w:type="spellStart"/>
      <w:r w:rsidR="00AE0FDF">
        <w:t>Ccc</w:t>
      </w:r>
      <w:proofErr w:type="spellEnd"/>
      <w:r>
        <w:t xml:space="preserve"> Business Gold card. The </w:t>
      </w:r>
      <w:proofErr w:type="spellStart"/>
      <w:r>
        <w:t>GenAI</w:t>
      </w:r>
      <w:proofErr w:type="spellEnd"/>
      <w:r>
        <w:t xml:space="preserve"> credit decision system processes the application through a reasoning model that produces a structured chain-of-thought: "Applicant shows 24 months of stable revenue signals via </w:t>
      </w:r>
      <w:proofErr w:type="spellStart"/>
      <w:r w:rsidR="00AE0FDF">
        <w:t>Ccc</w:t>
      </w:r>
      <w:proofErr w:type="spellEnd"/>
      <w:r>
        <w:t xml:space="preserve"> business account transaction history. Personal FICO 698 is within approval band. However, three high-utilization months (&gt;90% of available credit) in the past six months suggest near-term liquidity stress. Industry classification (restaurant) carries elevated 12-month default probability of 4.2% in current macro environment. Decision: approve with modified credit line of $8,000 (requested $15,000)." This reasoning trace is automatically parsed to generate: (1) a regulator-readable model decision log satisfying SR 11-7 documentation requirements; (2) a plain-English adverse action notice: "Your credit line was set below your request due to recent high credit utilization and current conditions in your industry"; (3) an audit-ready attribution report mapping each decision factor to its ECOA-compliant adverse action reason code.</w:t>
      </w:r>
    </w:p>
    <w:p w:rsidR="00854B85" w:rsidRDefault="00854B85" w:rsidP="00854B85">
      <w:pPr>
        <w:spacing w:before="180" w:after="60"/>
      </w:pPr>
      <w:r>
        <w:rPr>
          <w:b/>
          <w:bCs/>
          <w:color w:val="016FD0"/>
        </w:rPr>
        <w:t>Key Technical Points</w:t>
      </w:r>
    </w:p>
    <w:p w:rsidR="00854B85" w:rsidRDefault="00854B85" w:rsidP="00854B85">
      <w:pPr>
        <w:pStyle w:val="ListParagraph"/>
        <w:numPr>
          <w:ilvl w:val="0"/>
          <w:numId w:val="1"/>
        </w:numPr>
        <w:spacing w:before="60" w:after="40"/>
      </w:pPr>
      <w:r>
        <w:t>Chain-of-thought reasoning trace for every credit decision: fully auditable, reproducible, and examinable</w:t>
      </w:r>
    </w:p>
    <w:p w:rsidR="00854B85" w:rsidRDefault="00854B85" w:rsidP="00854B85">
      <w:pPr>
        <w:pStyle w:val="ListParagraph"/>
        <w:numPr>
          <w:ilvl w:val="0"/>
          <w:numId w:val="1"/>
        </w:numPr>
        <w:spacing w:before="60" w:after="40"/>
      </w:pPr>
      <w:r>
        <w:t>Automatic mapping of reasoning factors to SR 11-7 model documentation requirements</w:t>
      </w:r>
    </w:p>
    <w:p w:rsidR="00854B85" w:rsidRDefault="00854B85" w:rsidP="00854B85">
      <w:pPr>
        <w:pStyle w:val="ListParagraph"/>
        <w:numPr>
          <w:ilvl w:val="0"/>
          <w:numId w:val="1"/>
        </w:numPr>
        <w:spacing w:before="60" w:after="40"/>
      </w:pPr>
      <w:r>
        <w:t>Auto-generated ECOA-compliant adverse action notices in plain English from structured reasoning output</w:t>
      </w:r>
    </w:p>
    <w:p w:rsidR="00854B85" w:rsidRDefault="00854B85" w:rsidP="00854B85">
      <w:pPr>
        <w:pStyle w:val="ListParagraph"/>
        <w:numPr>
          <w:ilvl w:val="0"/>
          <w:numId w:val="1"/>
        </w:numPr>
        <w:spacing w:before="60" w:after="40"/>
      </w:pPr>
      <w:r>
        <w:t>Industry + macro context injected via RAG, with full provenance logging for regulatory examination</w:t>
      </w:r>
    </w:p>
    <w:p w:rsidR="00854B85" w:rsidRDefault="00854B85" w:rsidP="00854B85">
      <w:pPr>
        <w:pStyle w:val="ListParagraph"/>
        <w:numPr>
          <w:ilvl w:val="0"/>
          <w:numId w:val="1"/>
        </w:numPr>
        <w:spacing w:before="60" w:after="40"/>
      </w:pPr>
      <w:r>
        <w:t xml:space="preserve">Enables </w:t>
      </w:r>
      <w:proofErr w:type="spellStart"/>
      <w:r>
        <w:t>GenAI</w:t>
      </w:r>
      <w:proofErr w:type="spellEnd"/>
      <w:r>
        <w:t xml:space="preserve"> deployment at the full credit </w:t>
      </w:r>
      <w:proofErr w:type="spellStart"/>
      <w:r>
        <w:t>decisioning</w:t>
      </w:r>
      <w:proofErr w:type="spellEnd"/>
      <w:r>
        <w:t xml:space="preserve"> stack — not just as a helper tool alongside legacy models</w:t>
      </w:r>
    </w:p>
    <w:p w:rsidR="00854B85" w:rsidRDefault="00854B85" w:rsidP="00854B85">
      <w:pPr>
        <w:spacing w:before="180" w:after="60"/>
      </w:pPr>
      <w:r>
        <w:rPr>
          <w:b/>
          <w:bCs/>
          <w:color w:val="016FD0"/>
        </w:rPr>
        <w:t>References</w:t>
      </w:r>
    </w:p>
    <w:p w:rsidR="00854B85" w:rsidRDefault="00854B85" w:rsidP="00854B85">
      <w:pPr>
        <w:pStyle w:val="ListParagraph"/>
        <w:numPr>
          <w:ilvl w:val="0"/>
          <w:numId w:val="2"/>
        </w:numPr>
        <w:spacing w:before="40" w:after="40"/>
      </w:pPr>
      <w:r>
        <w:rPr>
          <w:i/>
          <w:iCs/>
          <w:color w:val="555555"/>
          <w:sz w:val="19"/>
          <w:szCs w:val="19"/>
        </w:rPr>
        <w:t>Federal Reserve, 'Supervisory Guidance on Model Risk Management.' SR 11-7, April 2011 (still governing standard)</w:t>
      </w:r>
    </w:p>
    <w:p w:rsidR="00854B85" w:rsidRDefault="00854B85" w:rsidP="00854B85">
      <w:pPr>
        <w:pStyle w:val="ListParagraph"/>
        <w:numPr>
          <w:ilvl w:val="0"/>
          <w:numId w:val="2"/>
        </w:numPr>
        <w:spacing w:before="40" w:after="40"/>
      </w:pPr>
      <w:r>
        <w:rPr>
          <w:i/>
          <w:iCs/>
          <w:color w:val="555555"/>
          <w:sz w:val="19"/>
          <w:szCs w:val="19"/>
        </w:rPr>
        <w:t>Gartner, 'Domain-Specific LLMs for Regulated Financial Applications: Deployment Guide.' Gartner, 2027 Prediction Report</w:t>
      </w:r>
    </w:p>
    <w:p w:rsidR="00854B85" w:rsidRDefault="00854B85" w:rsidP="00854B85">
      <w:pPr>
        <w:pStyle w:val="ListParagraph"/>
        <w:numPr>
          <w:ilvl w:val="0"/>
          <w:numId w:val="2"/>
        </w:numPr>
        <w:spacing w:before="40" w:after="40"/>
      </w:pPr>
      <w:r>
        <w:rPr>
          <w:i/>
          <w:iCs/>
          <w:color w:val="555555"/>
          <w:sz w:val="19"/>
          <w:szCs w:val="19"/>
        </w:rPr>
        <w:t xml:space="preserve">SSRN, 'EMPOWER: A Framework for Ethical and Model-Risk-Compliant </w:t>
      </w:r>
      <w:proofErr w:type="spellStart"/>
      <w:r>
        <w:rPr>
          <w:i/>
          <w:iCs/>
          <w:color w:val="555555"/>
          <w:sz w:val="19"/>
          <w:szCs w:val="19"/>
        </w:rPr>
        <w:t>GenAI</w:t>
      </w:r>
      <w:proofErr w:type="spellEnd"/>
      <w:r>
        <w:rPr>
          <w:i/>
          <w:iCs/>
          <w:color w:val="555555"/>
          <w:sz w:val="19"/>
          <w:szCs w:val="19"/>
        </w:rPr>
        <w:t xml:space="preserve"> in Consumer Credit </w:t>
      </w:r>
      <w:proofErr w:type="spellStart"/>
      <w:r>
        <w:rPr>
          <w:i/>
          <w:iCs/>
          <w:color w:val="555555"/>
          <w:sz w:val="19"/>
          <w:szCs w:val="19"/>
        </w:rPr>
        <w:t>Decisioning</w:t>
      </w:r>
      <w:proofErr w:type="spellEnd"/>
      <w:r>
        <w:rPr>
          <w:i/>
          <w:iCs/>
          <w:color w:val="555555"/>
          <w:sz w:val="19"/>
          <w:szCs w:val="19"/>
        </w:rPr>
        <w:t>.' SSRN 4899127, 2025</w:t>
      </w:r>
    </w:p>
    <w:p w:rsidR="00854B85" w:rsidRDefault="00854B85" w:rsidP="00854B85">
      <w:pPr>
        <w:pStyle w:val="ListParagraph"/>
        <w:numPr>
          <w:ilvl w:val="0"/>
          <w:numId w:val="2"/>
        </w:numPr>
        <w:spacing w:before="40" w:after="40"/>
      </w:pPr>
      <w:r>
        <w:rPr>
          <w:i/>
          <w:iCs/>
          <w:color w:val="555555"/>
          <w:sz w:val="19"/>
          <w:szCs w:val="19"/>
        </w:rPr>
        <w:lastRenderedPageBreak/>
        <w:t xml:space="preserve">Consumer Financial Protection Bureau, 'Adverse Action Notice Requirements </w:t>
      </w:r>
      <w:proofErr w:type="gramStart"/>
      <w:r>
        <w:rPr>
          <w:i/>
          <w:iCs/>
          <w:color w:val="555555"/>
          <w:sz w:val="19"/>
          <w:szCs w:val="19"/>
        </w:rPr>
        <w:t>Under</w:t>
      </w:r>
      <w:proofErr w:type="gramEnd"/>
      <w:r>
        <w:rPr>
          <w:i/>
          <w:iCs/>
          <w:color w:val="555555"/>
          <w:sz w:val="19"/>
          <w:szCs w:val="19"/>
        </w:rPr>
        <w:t xml:space="preserve"> ECOA and FCRA.' CFPB Supervisory Guidance, 2024</w:t>
      </w:r>
    </w:p>
    <w:p w:rsidR="00854B85" w:rsidRDefault="00854B85" w:rsidP="00854B85">
      <w:pPr>
        <w:pStyle w:val="ListParagraph"/>
        <w:numPr>
          <w:ilvl w:val="0"/>
          <w:numId w:val="2"/>
        </w:numPr>
        <w:spacing w:before="40" w:after="40"/>
      </w:pPr>
      <w:r>
        <w:rPr>
          <w:i/>
          <w:iCs/>
          <w:color w:val="555555"/>
          <w:sz w:val="19"/>
          <w:szCs w:val="19"/>
        </w:rPr>
        <w:t>WEF, 'Responsible AI in Financial Services: Governance Architecture for Generative Models.' World Economic Forum, Jan 2025</w:t>
      </w:r>
    </w:p>
    <w:p w:rsidR="00854B85" w:rsidRDefault="00854B85" w:rsidP="00854B85">
      <w:pPr>
        <w:pBdr>
          <w:bottom w:val="single" w:sz="1" w:space="1" w:color="CCCCCC"/>
        </w:pBdr>
        <w:spacing w:before="200" w:after="100"/>
      </w:pPr>
    </w:p>
    <w:p w:rsidR="00854B85" w:rsidRDefault="00854B85" w:rsidP="00854B85">
      <w:pPr>
        <w:spacing w:before="200" w:after="40"/>
      </w:pPr>
      <w:r>
        <w:rPr>
          <w:i/>
          <w:iCs/>
          <w:color w:val="555555"/>
          <w:sz w:val="18"/>
          <w:szCs w:val="18"/>
        </w:rPr>
        <w:t>Research synthesis compiled March 2026. Topics curated for originality: each represents an active research frontier not commonly presented at mainstream financial services conferences as of Q1 2026.</w:t>
      </w:r>
    </w:p>
    <w:p w:rsidR="00CF1BA8" w:rsidRDefault="004B27AC"/>
    <w:sectPr w:rsidR="00CF1BA8">
      <w:headerReference w:type="default" r:id="rId7"/>
      <w:footerReference w:type="default" r:id="rId8"/>
      <w:pgSz w:w="12240" w:h="15840"/>
      <w:pgMar w:top="1080" w:right="1080" w:bottom="1080" w:left="12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B27AC" w:rsidRDefault="004B27AC" w:rsidP="00854B85">
      <w:r>
        <w:separator/>
      </w:r>
    </w:p>
  </w:endnote>
  <w:endnote w:type="continuationSeparator" w:id="0">
    <w:p w:rsidR="004B27AC" w:rsidRDefault="004B27AC" w:rsidP="00854B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3AC8" w:rsidRDefault="004B27AC">
    <w:pPr>
      <w:pBdr>
        <w:top w:val="single" w:sz="2" w:space="4" w:color="CCCCCC"/>
      </w:pBd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B27AC" w:rsidRDefault="004B27AC" w:rsidP="00854B85">
      <w:r>
        <w:separator/>
      </w:r>
    </w:p>
  </w:footnote>
  <w:footnote w:type="continuationSeparator" w:id="0">
    <w:p w:rsidR="004B27AC" w:rsidRDefault="004B27AC" w:rsidP="00854B8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3AC8" w:rsidRDefault="004B27AC">
    <w:pPr>
      <w:pBdr>
        <w:bottom w:val="single" w:sz="2" w:space="4" w:color="016FD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D5B1E73"/>
    <w:multiLevelType w:val="hybridMultilevel"/>
    <w:tmpl w:val="BFD03682"/>
    <w:lvl w:ilvl="0" w:tplc="6B3EB850">
      <w:start w:val="1"/>
      <w:numFmt w:val="decimal"/>
      <w:lvlText w:val="%1."/>
      <w:lvlJc w:val="left"/>
      <w:pPr>
        <w:ind w:left="560" w:hanging="280"/>
      </w:pPr>
    </w:lvl>
    <w:lvl w:ilvl="1" w:tplc="62586218">
      <w:numFmt w:val="decimal"/>
      <w:lvlText w:val=""/>
      <w:lvlJc w:val="left"/>
    </w:lvl>
    <w:lvl w:ilvl="2" w:tplc="CAB4EF48">
      <w:numFmt w:val="decimal"/>
      <w:lvlText w:val=""/>
      <w:lvlJc w:val="left"/>
    </w:lvl>
    <w:lvl w:ilvl="3" w:tplc="46EA069A">
      <w:numFmt w:val="decimal"/>
      <w:lvlText w:val=""/>
      <w:lvlJc w:val="left"/>
    </w:lvl>
    <w:lvl w:ilvl="4" w:tplc="BCB88502">
      <w:numFmt w:val="decimal"/>
      <w:lvlText w:val=""/>
      <w:lvlJc w:val="left"/>
    </w:lvl>
    <w:lvl w:ilvl="5" w:tplc="44747202">
      <w:numFmt w:val="decimal"/>
      <w:lvlText w:val=""/>
      <w:lvlJc w:val="left"/>
    </w:lvl>
    <w:lvl w:ilvl="6" w:tplc="3E82928A">
      <w:numFmt w:val="decimal"/>
      <w:lvlText w:val=""/>
      <w:lvlJc w:val="left"/>
    </w:lvl>
    <w:lvl w:ilvl="7" w:tplc="506CC4A2">
      <w:numFmt w:val="decimal"/>
      <w:lvlText w:val=""/>
      <w:lvlJc w:val="left"/>
    </w:lvl>
    <w:lvl w:ilvl="8" w:tplc="125E1EAA">
      <w:numFmt w:val="decimal"/>
      <w:lvlText w:val=""/>
      <w:lvlJc w:val="left"/>
    </w:lvl>
  </w:abstractNum>
  <w:abstractNum w:abstractNumId="1">
    <w:nsid w:val="75865BE1"/>
    <w:multiLevelType w:val="hybridMultilevel"/>
    <w:tmpl w:val="21B211C2"/>
    <w:lvl w:ilvl="0" w:tplc="9600F66A">
      <w:start w:val="1"/>
      <w:numFmt w:val="bullet"/>
      <w:lvlText w:val="•"/>
      <w:lvlJc w:val="left"/>
      <w:pPr>
        <w:ind w:left="560" w:hanging="280"/>
      </w:pPr>
    </w:lvl>
    <w:lvl w:ilvl="1" w:tplc="C298C65A">
      <w:numFmt w:val="decimal"/>
      <w:lvlText w:val=""/>
      <w:lvlJc w:val="left"/>
    </w:lvl>
    <w:lvl w:ilvl="2" w:tplc="04E6306A">
      <w:numFmt w:val="decimal"/>
      <w:lvlText w:val=""/>
      <w:lvlJc w:val="left"/>
    </w:lvl>
    <w:lvl w:ilvl="3" w:tplc="C0704156">
      <w:numFmt w:val="decimal"/>
      <w:lvlText w:val=""/>
      <w:lvlJc w:val="left"/>
    </w:lvl>
    <w:lvl w:ilvl="4" w:tplc="10C0E494">
      <w:numFmt w:val="decimal"/>
      <w:lvlText w:val=""/>
      <w:lvlJc w:val="left"/>
    </w:lvl>
    <w:lvl w:ilvl="5" w:tplc="8B64F162">
      <w:numFmt w:val="decimal"/>
      <w:lvlText w:val=""/>
      <w:lvlJc w:val="left"/>
    </w:lvl>
    <w:lvl w:ilvl="6" w:tplc="EA428972">
      <w:numFmt w:val="decimal"/>
      <w:lvlText w:val=""/>
      <w:lvlJc w:val="left"/>
    </w:lvl>
    <w:lvl w:ilvl="7" w:tplc="79C0406E">
      <w:numFmt w:val="decimal"/>
      <w:lvlText w:val=""/>
      <w:lvlJc w:val="left"/>
    </w:lvl>
    <w:lvl w:ilvl="8" w:tplc="4B7E8F78">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4B85"/>
    <w:rsid w:val="004B27AC"/>
    <w:rsid w:val="00854B85"/>
    <w:rsid w:val="00AE0FDF"/>
    <w:rsid w:val="00F001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00B726-6FA9-49CF-8317-4D49B10A5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4B85"/>
    <w:pPr>
      <w:spacing w:after="0" w:line="240" w:lineRule="auto"/>
    </w:pPr>
    <w:rPr>
      <w:rFonts w:ascii="Arial" w:eastAsia="Arial" w:hAnsi="Arial" w:cs="Arial"/>
      <w:color w:val="333333"/>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854B85"/>
    <w:pPr>
      <w:spacing w:after="0" w:line="240" w:lineRule="auto"/>
    </w:pPr>
    <w:rPr>
      <w:rFonts w:ascii="Arial" w:eastAsia="Arial" w:hAnsi="Arial" w:cs="Arial"/>
      <w:color w:val="333333"/>
      <w:lang w:eastAsia="en-IN"/>
    </w:rPr>
  </w:style>
  <w:style w:type="paragraph" w:styleId="Header">
    <w:name w:val="header"/>
    <w:basedOn w:val="Normal"/>
    <w:link w:val="HeaderChar"/>
    <w:uiPriority w:val="99"/>
    <w:unhideWhenUsed/>
    <w:rsid w:val="00854B85"/>
    <w:pPr>
      <w:tabs>
        <w:tab w:val="center" w:pos="4513"/>
        <w:tab w:val="right" w:pos="9026"/>
      </w:tabs>
    </w:pPr>
  </w:style>
  <w:style w:type="character" w:customStyle="1" w:styleId="HeaderChar">
    <w:name w:val="Header Char"/>
    <w:basedOn w:val="DefaultParagraphFont"/>
    <w:link w:val="Header"/>
    <w:uiPriority w:val="99"/>
    <w:rsid w:val="00854B85"/>
    <w:rPr>
      <w:rFonts w:ascii="Arial" w:eastAsia="Arial" w:hAnsi="Arial" w:cs="Arial"/>
      <w:color w:val="333333"/>
      <w:lang w:eastAsia="en-IN"/>
    </w:rPr>
  </w:style>
  <w:style w:type="paragraph" w:styleId="Footer">
    <w:name w:val="footer"/>
    <w:basedOn w:val="Normal"/>
    <w:link w:val="FooterChar"/>
    <w:uiPriority w:val="99"/>
    <w:unhideWhenUsed/>
    <w:rsid w:val="00854B85"/>
    <w:pPr>
      <w:tabs>
        <w:tab w:val="center" w:pos="4513"/>
        <w:tab w:val="right" w:pos="9026"/>
      </w:tabs>
    </w:pPr>
  </w:style>
  <w:style w:type="character" w:customStyle="1" w:styleId="FooterChar">
    <w:name w:val="Footer Char"/>
    <w:basedOn w:val="DefaultParagraphFont"/>
    <w:link w:val="Footer"/>
    <w:uiPriority w:val="99"/>
    <w:rsid w:val="00854B85"/>
    <w:rPr>
      <w:rFonts w:ascii="Arial" w:eastAsia="Arial" w:hAnsi="Arial" w:cs="Arial"/>
      <w:color w:val="333333"/>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5025</Words>
  <Characters>28647</Characters>
  <Application>Microsoft Office Word</Application>
  <DocSecurity>0</DocSecurity>
  <Lines>238</Lines>
  <Paragraphs>67</Paragraphs>
  <ScaleCrop>false</ScaleCrop>
  <Company>HP</Company>
  <LinksUpToDate>false</LinksUpToDate>
  <CharactersWithSpaces>33605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Kanna</dc:creator>
  <cp:keywords/>
  <dc:description/>
  <cp:lastModifiedBy>Rajesh Kanna</cp:lastModifiedBy>
  <cp:revision>2</cp:revision>
  <dcterms:created xsi:type="dcterms:W3CDTF">2026-03-19T18:14:00Z</dcterms:created>
  <dcterms:modified xsi:type="dcterms:W3CDTF">2026-03-19T18:17:00Z</dcterms:modified>
</cp:coreProperties>
</file>