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6EAC" w14:textId="77777777" w:rsidR="006C5E21" w:rsidRPr="00C4067F" w:rsidRDefault="00000000">
      <w:pPr>
        <w:spacing w:before="360"/>
        <w:rPr>
          <w:lang w:val="fr-FR"/>
        </w:rPr>
      </w:pPr>
      <w:r w:rsidRPr="00C4067F">
        <w:rPr>
          <w:b/>
          <w:color w:val="145B43"/>
          <w:sz w:val="18"/>
          <w:lang w:val="fr-FR"/>
        </w:rPr>
        <w:t>DOCUMENTATION TECHNIQUE</w:t>
      </w:r>
    </w:p>
    <w:p w14:paraId="2652B5B8" w14:textId="77777777" w:rsidR="006C5E21" w:rsidRPr="00C4067F" w:rsidRDefault="00000000">
      <w:pPr>
        <w:pStyle w:val="Titre"/>
        <w:rPr>
          <w:lang w:val="fr-FR"/>
        </w:rPr>
      </w:pPr>
      <w:r w:rsidRPr="00C4067F">
        <w:rPr>
          <w:lang w:val="fr-FR"/>
        </w:rPr>
        <w:t>Documentation technique</w:t>
      </w:r>
    </w:p>
    <w:p w14:paraId="4E1229A3" w14:textId="77777777" w:rsidR="006C5E21" w:rsidRPr="00C4067F" w:rsidRDefault="00000000">
      <w:pPr>
        <w:spacing w:after="300"/>
        <w:rPr>
          <w:lang w:val="fr-FR"/>
        </w:rPr>
      </w:pPr>
      <w:r w:rsidRPr="00C4067F">
        <w:rPr>
          <w:color w:val="4E6457"/>
          <w:sz w:val="22"/>
          <w:lang w:val="fr-FR"/>
        </w:rPr>
        <w:t>Technologies employées et fonctionnement local</w:t>
      </w:r>
    </w:p>
    <w:p w14:paraId="29D42B3B" w14:textId="77777777" w:rsidR="006C5E21" w:rsidRPr="00C4067F" w:rsidRDefault="00000000">
      <w:pPr>
        <w:pStyle w:val="Titre1"/>
        <w:rPr>
          <w:lang w:val="fr-FR"/>
        </w:rPr>
      </w:pPr>
      <w:r w:rsidRPr="00C4067F">
        <w:rPr>
          <w:lang w:val="fr-FR"/>
        </w:rPr>
        <w:t>1. Vue d'ensemble</w:t>
      </w:r>
    </w:p>
    <w:p w14:paraId="4B8B482E" w14:textId="3F2E3246" w:rsidR="006C5E21" w:rsidRPr="00C4067F" w:rsidRDefault="00000000">
      <w:pPr>
        <w:rPr>
          <w:lang w:val="fr-FR"/>
        </w:rPr>
      </w:pPr>
      <w:r w:rsidRPr="00C4067F">
        <w:rPr>
          <w:lang w:val="fr-FR"/>
        </w:rPr>
        <w:t xml:space="preserve">Le navigateur utilise une interface </w:t>
      </w:r>
      <w:proofErr w:type="spellStart"/>
      <w:r w:rsidRPr="00C4067F">
        <w:rPr>
          <w:lang w:val="fr-FR"/>
        </w:rPr>
        <w:t>React</w:t>
      </w:r>
      <w:proofErr w:type="spellEnd"/>
      <w:r w:rsidRPr="00C4067F">
        <w:rPr>
          <w:lang w:val="fr-FR"/>
        </w:rPr>
        <w:t xml:space="preserve"> servie par Nginx. Les appels métier passent par des API Java/Spring Boot. </w:t>
      </w:r>
      <w:proofErr w:type="spellStart"/>
      <w:r w:rsidRPr="00C4067F">
        <w:rPr>
          <w:lang w:val="fr-FR"/>
        </w:rPr>
        <w:t>Keycloak</w:t>
      </w:r>
      <w:proofErr w:type="spellEnd"/>
      <w:r w:rsidRPr="00C4067F">
        <w:rPr>
          <w:lang w:val="fr-FR"/>
        </w:rPr>
        <w:t xml:space="preserve"> gère l'identité et PostgreSQL conserve les données. Docker Compose démarre l'ensemble sur la machine de développement.</w:t>
      </w:r>
    </w:p>
    <w:p w14:paraId="395CED12" w14:textId="77777777" w:rsidR="006C5E21" w:rsidRPr="00C4067F" w:rsidRDefault="00000000">
      <w:pPr>
        <w:rPr>
          <w:lang w:val="fr-FR"/>
        </w:rPr>
      </w:pPr>
      <w:r w:rsidRPr="00C4067F">
        <w:rPr>
          <w:lang w:val="fr-FR"/>
        </w:rPr>
        <w:t>Les services communiquent principalement en REST. Chaque service possède sa base logique et ses migrations ; cette séparation évite qu'un domaine modifie directement les données d'un autre.</w:t>
      </w:r>
    </w:p>
    <w:p w14:paraId="3CFF95A5" w14:textId="77777777" w:rsidR="006C5E21" w:rsidRDefault="00000000">
      <w:pPr>
        <w:pStyle w:val="Titre1"/>
      </w:pPr>
      <w:r>
        <w:t>2. Technologies principales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5896"/>
      </w:tblGrid>
      <w:tr w:rsidR="006C5E21" w14:paraId="66B873E9" w14:textId="77777777">
        <w:trPr>
          <w:jc w:val="center"/>
        </w:trPr>
        <w:tc>
          <w:tcPr>
            <w:tcW w:w="2891" w:type="dxa"/>
            <w:shd w:val="clear" w:color="auto" w:fill="EAF0E3"/>
          </w:tcPr>
          <w:p w14:paraId="341CA712" w14:textId="77777777" w:rsidR="006C5E21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Technologie</w:t>
            </w:r>
          </w:p>
        </w:tc>
        <w:tc>
          <w:tcPr>
            <w:tcW w:w="5896" w:type="dxa"/>
            <w:shd w:val="clear" w:color="auto" w:fill="EAF0E3"/>
          </w:tcPr>
          <w:p w14:paraId="4A4225FF" w14:textId="77777777" w:rsidR="006C5E21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Rôle dans TOQ</w:t>
            </w:r>
          </w:p>
        </w:tc>
      </w:tr>
      <w:tr w:rsidR="006C5E21" w:rsidRPr="00C4067F" w14:paraId="17885E49" w14:textId="77777777">
        <w:trPr>
          <w:jc w:val="center"/>
        </w:trPr>
        <w:tc>
          <w:tcPr>
            <w:tcW w:w="2891" w:type="dxa"/>
            <w:shd w:val="clear" w:color="auto" w:fill="FAF7EC"/>
            <w:vAlign w:val="center"/>
          </w:tcPr>
          <w:p w14:paraId="4D43AE66" w14:textId="77777777" w:rsidR="006C5E21" w:rsidRDefault="00000000">
            <w:pPr>
              <w:spacing w:after="40"/>
            </w:pPr>
            <w:r>
              <w:rPr>
                <w:sz w:val="18"/>
              </w:rPr>
              <w:t>React + TypeScript + Vite</w:t>
            </w:r>
          </w:p>
        </w:tc>
        <w:tc>
          <w:tcPr>
            <w:tcW w:w="5896" w:type="dxa"/>
            <w:shd w:val="clear" w:color="auto" w:fill="FAF7EC"/>
            <w:vAlign w:val="center"/>
          </w:tcPr>
          <w:p w14:paraId="38866974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Interface web, pages, formulaires et composants visuels.</w:t>
            </w:r>
          </w:p>
        </w:tc>
      </w:tr>
      <w:tr w:rsidR="006C5E21" w:rsidRPr="00C4067F" w14:paraId="13C0F135" w14:textId="77777777">
        <w:trPr>
          <w:jc w:val="center"/>
        </w:trPr>
        <w:tc>
          <w:tcPr>
            <w:tcW w:w="2891" w:type="dxa"/>
            <w:vAlign w:val="center"/>
          </w:tcPr>
          <w:p w14:paraId="6595D382" w14:textId="77777777" w:rsidR="006C5E21" w:rsidRDefault="00000000">
            <w:pPr>
              <w:spacing w:after="40"/>
            </w:pPr>
            <w:r>
              <w:rPr>
                <w:sz w:val="18"/>
              </w:rPr>
              <w:t>Java 21 + Spring Boot</w:t>
            </w:r>
          </w:p>
        </w:tc>
        <w:tc>
          <w:tcPr>
            <w:tcW w:w="5896" w:type="dxa"/>
            <w:vAlign w:val="center"/>
          </w:tcPr>
          <w:p w14:paraId="3FE01CE2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API REST et règles métier des cinq services.</w:t>
            </w:r>
          </w:p>
        </w:tc>
      </w:tr>
      <w:tr w:rsidR="006C5E21" w:rsidRPr="00C4067F" w14:paraId="5E6C6B58" w14:textId="77777777">
        <w:trPr>
          <w:jc w:val="center"/>
        </w:trPr>
        <w:tc>
          <w:tcPr>
            <w:tcW w:w="2891" w:type="dxa"/>
            <w:shd w:val="clear" w:color="auto" w:fill="FAF7EC"/>
            <w:vAlign w:val="center"/>
          </w:tcPr>
          <w:p w14:paraId="6BF22F54" w14:textId="77777777" w:rsidR="006C5E21" w:rsidRDefault="00000000">
            <w:pPr>
              <w:spacing w:after="40"/>
            </w:pPr>
            <w:r>
              <w:rPr>
                <w:sz w:val="18"/>
              </w:rPr>
              <w:t>PostgreSQL + Flyway</w:t>
            </w:r>
          </w:p>
        </w:tc>
        <w:tc>
          <w:tcPr>
            <w:tcW w:w="5896" w:type="dxa"/>
            <w:shd w:val="clear" w:color="auto" w:fill="FAF7EC"/>
            <w:vAlign w:val="center"/>
          </w:tcPr>
          <w:p w14:paraId="450EA8BE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Stockage persistant et évolution contrôlée des schémas.</w:t>
            </w:r>
          </w:p>
        </w:tc>
      </w:tr>
      <w:tr w:rsidR="006C5E21" w:rsidRPr="00C4067F" w14:paraId="6B039686" w14:textId="77777777">
        <w:trPr>
          <w:jc w:val="center"/>
        </w:trPr>
        <w:tc>
          <w:tcPr>
            <w:tcW w:w="2891" w:type="dxa"/>
            <w:vAlign w:val="center"/>
          </w:tcPr>
          <w:p w14:paraId="005F0582" w14:textId="77777777" w:rsidR="006C5E21" w:rsidRDefault="00000000">
            <w:pPr>
              <w:spacing w:after="40"/>
            </w:pPr>
            <w:proofErr w:type="spellStart"/>
            <w:r>
              <w:rPr>
                <w:sz w:val="18"/>
              </w:rPr>
              <w:t>Keycloak</w:t>
            </w:r>
            <w:proofErr w:type="spellEnd"/>
          </w:p>
        </w:tc>
        <w:tc>
          <w:tcPr>
            <w:tcW w:w="5896" w:type="dxa"/>
            <w:vAlign w:val="center"/>
          </w:tcPr>
          <w:p w14:paraId="58630D57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Inscription, connexion, rôles et émission des jetons d'accès.</w:t>
            </w:r>
          </w:p>
        </w:tc>
      </w:tr>
      <w:tr w:rsidR="006C5E21" w:rsidRPr="00C4067F" w14:paraId="39B3E4B0" w14:textId="77777777">
        <w:trPr>
          <w:jc w:val="center"/>
        </w:trPr>
        <w:tc>
          <w:tcPr>
            <w:tcW w:w="2891" w:type="dxa"/>
            <w:shd w:val="clear" w:color="auto" w:fill="FAF7EC"/>
            <w:vAlign w:val="center"/>
          </w:tcPr>
          <w:p w14:paraId="03B28BB1" w14:textId="77777777" w:rsidR="006C5E21" w:rsidRDefault="00000000">
            <w:pPr>
              <w:spacing w:after="40"/>
            </w:pPr>
            <w:r>
              <w:rPr>
                <w:sz w:val="18"/>
              </w:rPr>
              <w:t>Nginx</w:t>
            </w:r>
          </w:p>
        </w:tc>
        <w:tc>
          <w:tcPr>
            <w:tcW w:w="5896" w:type="dxa"/>
            <w:shd w:val="clear" w:color="auto" w:fill="FAF7EC"/>
            <w:vAlign w:val="center"/>
          </w:tcPr>
          <w:p w14:paraId="73A5C643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Service des fichiers du frontend et aiguillage des requêtes API.</w:t>
            </w:r>
          </w:p>
        </w:tc>
      </w:tr>
      <w:tr w:rsidR="006C5E21" w:rsidRPr="00C4067F" w14:paraId="61FC7C5D" w14:textId="77777777">
        <w:trPr>
          <w:jc w:val="center"/>
        </w:trPr>
        <w:tc>
          <w:tcPr>
            <w:tcW w:w="2891" w:type="dxa"/>
            <w:vAlign w:val="center"/>
          </w:tcPr>
          <w:p w14:paraId="45590097" w14:textId="77777777" w:rsidR="006C5E21" w:rsidRDefault="00000000">
            <w:pPr>
              <w:spacing w:after="40"/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5896" w:type="dxa"/>
            <w:vAlign w:val="center"/>
          </w:tcPr>
          <w:p w14:paraId="027873BB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Exécution reproductible des composants en local.</w:t>
            </w:r>
          </w:p>
        </w:tc>
      </w:tr>
      <w:tr w:rsidR="006C5E21" w:rsidRPr="00C4067F" w14:paraId="18525300" w14:textId="77777777">
        <w:trPr>
          <w:jc w:val="center"/>
        </w:trPr>
        <w:tc>
          <w:tcPr>
            <w:tcW w:w="2891" w:type="dxa"/>
            <w:shd w:val="clear" w:color="auto" w:fill="FAF7EC"/>
            <w:vAlign w:val="center"/>
          </w:tcPr>
          <w:p w14:paraId="2E3BD4CE" w14:textId="77777777" w:rsidR="006C5E21" w:rsidRDefault="00000000">
            <w:pPr>
              <w:spacing w:after="40"/>
            </w:pPr>
            <w:r>
              <w:rPr>
                <w:sz w:val="18"/>
              </w:rPr>
              <w:t>GitLab CI/CD</w:t>
            </w:r>
          </w:p>
        </w:tc>
        <w:tc>
          <w:tcPr>
            <w:tcW w:w="5896" w:type="dxa"/>
            <w:shd w:val="clear" w:color="auto" w:fill="FAF7EC"/>
            <w:vAlign w:val="center"/>
          </w:tcPr>
          <w:p w14:paraId="485FA539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Fichier de pipeline pour contrôler et construire le projet ; déploiement distant différé.</w:t>
            </w:r>
          </w:p>
        </w:tc>
      </w:tr>
    </w:tbl>
    <w:p w14:paraId="2946F1EE" w14:textId="77777777" w:rsidR="006C5E21" w:rsidRPr="00C4067F" w:rsidRDefault="006C5E21">
      <w:pPr>
        <w:rPr>
          <w:lang w:val="fr-FR"/>
        </w:rPr>
      </w:pPr>
    </w:p>
    <w:p w14:paraId="21BC0384" w14:textId="77777777" w:rsidR="006C5E21" w:rsidRDefault="00000000">
      <w:pPr>
        <w:pStyle w:val="Titre1"/>
      </w:pPr>
      <w:r>
        <w:t>3. Répartition des services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06"/>
      </w:tblGrid>
      <w:tr w:rsidR="006C5E21" w14:paraId="6BFB14CB" w14:textId="77777777">
        <w:trPr>
          <w:jc w:val="center"/>
        </w:trPr>
        <w:tc>
          <w:tcPr>
            <w:tcW w:w="2381" w:type="dxa"/>
            <w:shd w:val="clear" w:color="auto" w:fill="EAF0E3"/>
          </w:tcPr>
          <w:p w14:paraId="44DFA071" w14:textId="77777777" w:rsidR="006C5E21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Service</w:t>
            </w:r>
          </w:p>
        </w:tc>
        <w:tc>
          <w:tcPr>
            <w:tcW w:w="6406" w:type="dxa"/>
            <w:shd w:val="clear" w:color="auto" w:fill="EAF0E3"/>
          </w:tcPr>
          <w:p w14:paraId="521ADF73" w14:textId="77777777" w:rsidR="006C5E21" w:rsidRDefault="00000000">
            <w:pPr>
              <w:spacing w:after="40"/>
            </w:pPr>
            <w:r>
              <w:rPr>
                <w:b/>
                <w:color w:val="145B43"/>
                <w:sz w:val="18"/>
              </w:rPr>
              <w:t>Responsabilité</w:t>
            </w:r>
          </w:p>
        </w:tc>
      </w:tr>
      <w:tr w:rsidR="006C5E21" w:rsidRPr="00C4067F" w14:paraId="27590C38" w14:textId="77777777">
        <w:trPr>
          <w:jc w:val="center"/>
        </w:trPr>
        <w:tc>
          <w:tcPr>
            <w:tcW w:w="2381" w:type="dxa"/>
            <w:shd w:val="clear" w:color="auto" w:fill="FAF7EC"/>
            <w:vAlign w:val="center"/>
          </w:tcPr>
          <w:p w14:paraId="1A599DAB" w14:textId="77777777" w:rsidR="006C5E21" w:rsidRDefault="00000000">
            <w:pPr>
              <w:spacing w:after="40"/>
            </w:pPr>
            <w:r>
              <w:rPr>
                <w:sz w:val="18"/>
              </w:rPr>
              <w:t>User</w:t>
            </w:r>
          </w:p>
        </w:tc>
        <w:tc>
          <w:tcPr>
            <w:tcW w:w="6406" w:type="dxa"/>
            <w:shd w:val="clear" w:color="auto" w:fill="FAF7EC"/>
            <w:vAlign w:val="center"/>
          </w:tcPr>
          <w:p w14:paraId="7B026E94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 xml:space="preserve">Profil, préférences, allergies, objectifs et assistant </w:t>
            </w:r>
            <w:proofErr w:type="spellStart"/>
            <w:r w:rsidRPr="00C4067F">
              <w:rPr>
                <w:sz w:val="18"/>
                <w:lang w:val="fr-FR"/>
              </w:rPr>
              <w:t>TOQi</w:t>
            </w:r>
            <w:proofErr w:type="spellEnd"/>
            <w:r w:rsidRPr="00C4067F">
              <w:rPr>
                <w:sz w:val="18"/>
                <w:lang w:val="fr-FR"/>
              </w:rPr>
              <w:t>.</w:t>
            </w:r>
          </w:p>
        </w:tc>
      </w:tr>
      <w:tr w:rsidR="006C5E21" w:rsidRPr="00C4067F" w14:paraId="4B7A32F3" w14:textId="77777777">
        <w:trPr>
          <w:jc w:val="center"/>
        </w:trPr>
        <w:tc>
          <w:tcPr>
            <w:tcW w:w="2381" w:type="dxa"/>
            <w:vAlign w:val="center"/>
          </w:tcPr>
          <w:p w14:paraId="1E367BEA" w14:textId="77777777" w:rsidR="006C5E21" w:rsidRDefault="00000000">
            <w:pPr>
              <w:spacing w:after="40"/>
            </w:pPr>
            <w:r>
              <w:rPr>
                <w:sz w:val="18"/>
              </w:rPr>
              <w:t>Recipe</w:t>
            </w:r>
          </w:p>
        </w:tc>
        <w:tc>
          <w:tcPr>
            <w:tcW w:w="6406" w:type="dxa"/>
            <w:vAlign w:val="center"/>
          </w:tcPr>
          <w:p w14:paraId="2B3C82FF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Recettes personnelles, ingrédients, étapes, images et modèles externes.</w:t>
            </w:r>
          </w:p>
        </w:tc>
      </w:tr>
      <w:tr w:rsidR="006C5E21" w:rsidRPr="00C4067F" w14:paraId="68B3A050" w14:textId="77777777">
        <w:trPr>
          <w:jc w:val="center"/>
        </w:trPr>
        <w:tc>
          <w:tcPr>
            <w:tcW w:w="2381" w:type="dxa"/>
            <w:shd w:val="clear" w:color="auto" w:fill="FAF7EC"/>
            <w:vAlign w:val="center"/>
          </w:tcPr>
          <w:p w14:paraId="2A01649A" w14:textId="77777777" w:rsidR="006C5E21" w:rsidRDefault="00000000">
            <w:pPr>
              <w:spacing w:after="40"/>
            </w:pPr>
            <w:r>
              <w:rPr>
                <w:sz w:val="18"/>
              </w:rPr>
              <w:t>Nutrition</w:t>
            </w:r>
          </w:p>
        </w:tc>
        <w:tc>
          <w:tcPr>
            <w:tcW w:w="6406" w:type="dxa"/>
            <w:shd w:val="clear" w:color="auto" w:fill="FAF7EC"/>
            <w:vAlign w:val="center"/>
          </w:tcPr>
          <w:p w14:paraId="127D36FF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Recherche d'aliments et calcul des apports nutritionnels.</w:t>
            </w:r>
          </w:p>
        </w:tc>
      </w:tr>
      <w:tr w:rsidR="006C5E21" w:rsidRPr="00C4067F" w14:paraId="5935BDA9" w14:textId="77777777">
        <w:trPr>
          <w:jc w:val="center"/>
        </w:trPr>
        <w:tc>
          <w:tcPr>
            <w:tcW w:w="2381" w:type="dxa"/>
            <w:vAlign w:val="center"/>
          </w:tcPr>
          <w:p w14:paraId="4E1A086F" w14:textId="77777777" w:rsidR="006C5E21" w:rsidRDefault="00000000">
            <w:pPr>
              <w:spacing w:after="40"/>
            </w:pPr>
            <w:r>
              <w:rPr>
                <w:sz w:val="18"/>
              </w:rPr>
              <w:t>Planner</w:t>
            </w:r>
          </w:p>
        </w:tc>
        <w:tc>
          <w:tcPr>
            <w:tcW w:w="6406" w:type="dxa"/>
            <w:vAlign w:val="center"/>
          </w:tcPr>
          <w:p w14:paraId="57C26F54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Repas de la semaine, portions et listes de courses.</w:t>
            </w:r>
          </w:p>
        </w:tc>
      </w:tr>
      <w:tr w:rsidR="006C5E21" w:rsidRPr="00C4067F" w14:paraId="6232550A" w14:textId="77777777">
        <w:trPr>
          <w:jc w:val="center"/>
        </w:trPr>
        <w:tc>
          <w:tcPr>
            <w:tcW w:w="2381" w:type="dxa"/>
            <w:shd w:val="clear" w:color="auto" w:fill="FAF7EC"/>
            <w:vAlign w:val="center"/>
          </w:tcPr>
          <w:p w14:paraId="7DB9D58E" w14:textId="77777777" w:rsidR="006C5E21" w:rsidRDefault="00000000">
            <w:pPr>
              <w:spacing w:after="40"/>
            </w:pPr>
            <w:r>
              <w:rPr>
                <w:sz w:val="18"/>
              </w:rPr>
              <w:t>Social</w:t>
            </w:r>
          </w:p>
        </w:tc>
        <w:tc>
          <w:tcPr>
            <w:tcW w:w="6406" w:type="dxa"/>
            <w:shd w:val="clear" w:color="auto" w:fill="FAF7EC"/>
            <w:vAlign w:val="center"/>
          </w:tcPr>
          <w:p w14:paraId="5D42AEA2" w14:textId="77777777" w:rsidR="006C5E21" w:rsidRPr="00C4067F" w:rsidRDefault="00000000">
            <w:pPr>
              <w:spacing w:after="40"/>
              <w:rPr>
                <w:lang w:val="fr-FR"/>
              </w:rPr>
            </w:pPr>
            <w:r w:rsidRPr="00C4067F">
              <w:rPr>
                <w:sz w:val="18"/>
                <w:lang w:val="fr-FR"/>
              </w:rPr>
              <w:t>Publications, commentaires, likes et favoris.</w:t>
            </w:r>
          </w:p>
        </w:tc>
      </w:tr>
    </w:tbl>
    <w:p w14:paraId="3FF558D1" w14:textId="77777777" w:rsidR="006C5E21" w:rsidRPr="00C4067F" w:rsidRDefault="006C5E21">
      <w:pPr>
        <w:rPr>
          <w:lang w:val="fr-FR"/>
        </w:rPr>
      </w:pPr>
    </w:p>
    <w:p w14:paraId="425D3141" w14:textId="77777777" w:rsidR="006C5E21" w:rsidRPr="00C4067F" w:rsidRDefault="00000000">
      <w:pPr>
        <w:pStyle w:val="Titre1"/>
        <w:rPr>
          <w:lang w:val="fr-FR"/>
        </w:rPr>
      </w:pPr>
      <w:r w:rsidRPr="00C4067F">
        <w:rPr>
          <w:lang w:val="fr-FR"/>
        </w:rPr>
        <w:t>4. Services et données externes</w:t>
      </w:r>
    </w:p>
    <w:p w14:paraId="0C37509A" w14:textId="77777777" w:rsidR="006C5E21" w:rsidRPr="00C4067F" w:rsidRDefault="00000000">
      <w:pPr>
        <w:rPr>
          <w:lang w:val="fr-FR"/>
        </w:rPr>
      </w:pPr>
      <w:proofErr w:type="spellStart"/>
      <w:r w:rsidRPr="00C4067F">
        <w:rPr>
          <w:lang w:val="fr-FR"/>
        </w:rPr>
        <w:t>TheMealDB</w:t>
      </w:r>
      <w:proofErr w:type="spellEnd"/>
      <w:r w:rsidRPr="00C4067F">
        <w:rPr>
          <w:lang w:val="fr-FR"/>
        </w:rPr>
        <w:t xml:space="preserve"> fournit des idées de recettes. Open Food </w:t>
      </w:r>
      <w:proofErr w:type="spellStart"/>
      <w:r w:rsidRPr="00C4067F">
        <w:rPr>
          <w:lang w:val="fr-FR"/>
        </w:rPr>
        <w:t>Facts</w:t>
      </w:r>
      <w:proofErr w:type="spellEnd"/>
      <w:r w:rsidRPr="00C4067F">
        <w:rPr>
          <w:lang w:val="fr-FR"/>
        </w:rPr>
        <w:t xml:space="preserve"> sert à reconnaître les produits par code-barres. La base française CIQUAL fournit des valeurs nutritionnelles génériques lorsque l'utilisateur choisit un aliment équivalent. Gemini alimente l'assistant et la traduction des recettes lorsque la clé API locale est configurée.</w:t>
      </w:r>
    </w:p>
    <w:p w14:paraId="0D41364D" w14:textId="7CCFA80A" w:rsidR="006C5E21" w:rsidRPr="00C4067F" w:rsidRDefault="00000000" w:rsidP="00C4067F">
      <w:pPr>
        <w:rPr>
          <w:lang w:val="fr-FR"/>
        </w:rPr>
      </w:pPr>
      <w:r w:rsidRPr="00C4067F">
        <w:rPr>
          <w:lang w:val="fr-FR"/>
        </w:rPr>
        <w:t xml:space="preserve">Ces sources n'ont pas le même niveau de précision : les valeurs d'un produit Open Food </w:t>
      </w:r>
      <w:proofErr w:type="spellStart"/>
      <w:r w:rsidRPr="00C4067F">
        <w:rPr>
          <w:lang w:val="fr-FR"/>
        </w:rPr>
        <w:t>Facts</w:t>
      </w:r>
      <w:proofErr w:type="spellEnd"/>
      <w:r w:rsidRPr="00C4067F">
        <w:rPr>
          <w:lang w:val="fr-FR"/>
        </w:rPr>
        <w:t xml:space="preserve"> sont distinguées des estimations issues d'un aliment CIQUAL. Les recettes et conseils générés doivent être relus avant utilisation.</w:t>
      </w:r>
    </w:p>
    <w:p w14:paraId="19CCF0F5" w14:textId="3E0D1B17" w:rsidR="006C5E21" w:rsidRDefault="00C4067F">
      <w:pPr>
        <w:pStyle w:val="Titre1"/>
      </w:pPr>
      <w:r>
        <w:lastRenderedPageBreak/>
        <w:t>5</w:t>
      </w:r>
      <w:r w:rsidR="00000000">
        <w:t>. Sécurité et exploitation</w:t>
      </w:r>
    </w:p>
    <w:p w14:paraId="66449755" w14:textId="77777777" w:rsidR="006C5E21" w:rsidRPr="00C4067F" w:rsidRDefault="00000000">
      <w:pPr>
        <w:rPr>
          <w:lang w:val="fr-FR"/>
        </w:rPr>
      </w:pPr>
      <w:r w:rsidRPr="00C4067F">
        <w:rPr>
          <w:lang w:val="fr-FR"/>
        </w:rPr>
        <w:t xml:space="preserve">Le frontend lance la connexion </w:t>
      </w:r>
      <w:proofErr w:type="spellStart"/>
      <w:r w:rsidRPr="00C4067F">
        <w:rPr>
          <w:lang w:val="fr-FR"/>
        </w:rPr>
        <w:t>Keycloak</w:t>
      </w:r>
      <w:proofErr w:type="spellEnd"/>
      <w:r w:rsidRPr="00C4067F">
        <w:rPr>
          <w:lang w:val="fr-FR"/>
        </w:rPr>
        <w:t xml:space="preserve"> avec </w:t>
      </w:r>
      <w:proofErr w:type="spellStart"/>
      <w:r w:rsidRPr="00C4067F">
        <w:rPr>
          <w:lang w:val="fr-FR"/>
        </w:rPr>
        <w:t>Authorization</w:t>
      </w:r>
      <w:proofErr w:type="spellEnd"/>
      <w:r w:rsidRPr="00C4067F">
        <w:rPr>
          <w:lang w:val="fr-FR"/>
        </w:rPr>
        <w:t xml:space="preserve"> Code + PKCE. Les services vérifient les jetons et l'appartenance des données à l'utilisateur. Les mots de passe et la clé Gemini ne sont pas intégrés au frontend ; les secrets locaux restent </w:t>
      </w:r>
      <w:proofErr w:type="gramStart"/>
      <w:r w:rsidRPr="00C4067F">
        <w:rPr>
          <w:lang w:val="fr-FR"/>
        </w:rPr>
        <w:t>dans .</w:t>
      </w:r>
      <w:proofErr w:type="spellStart"/>
      <w:r w:rsidRPr="00C4067F">
        <w:rPr>
          <w:lang w:val="fr-FR"/>
        </w:rPr>
        <w:t>env</w:t>
      </w:r>
      <w:proofErr w:type="spellEnd"/>
      <w:proofErr w:type="gramEnd"/>
      <w:r w:rsidRPr="00C4067F">
        <w:rPr>
          <w:lang w:val="fr-FR"/>
        </w:rPr>
        <w:t xml:space="preserve">, </w:t>
      </w:r>
      <w:proofErr w:type="gramStart"/>
      <w:r w:rsidRPr="00C4067F">
        <w:rPr>
          <w:lang w:val="fr-FR"/>
        </w:rPr>
        <w:t>hors</w:t>
      </w:r>
      <w:proofErr w:type="gramEnd"/>
      <w:r w:rsidRPr="00C4067F">
        <w:rPr>
          <w:lang w:val="fr-FR"/>
        </w:rPr>
        <w:t xml:space="preserve"> Git.</w:t>
      </w:r>
    </w:p>
    <w:p w14:paraId="706E77C9" w14:textId="65D47B15" w:rsidR="006C5E21" w:rsidRPr="00C4067F" w:rsidRDefault="00000000">
      <w:pPr>
        <w:rPr>
          <w:lang w:val="fr-FR"/>
        </w:rPr>
      </w:pPr>
      <w:r w:rsidRPr="00C4067F">
        <w:rPr>
          <w:lang w:val="fr-FR"/>
        </w:rPr>
        <w:t xml:space="preserve">Seuls Nginx et </w:t>
      </w:r>
      <w:proofErr w:type="spellStart"/>
      <w:r w:rsidRPr="00C4067F">
        <w:rPr>
          <w:lang w:val="fr-FR"/>
        </w:rPr>
        <w:t>Keycloak</w:t>
      </w:r>
      <w:proofErr w:type="spellEnd"/>
      <w:r w:rsidRPr="00C4067F">
        <w:rPr>
          <w:lang w:val="fr-FR"/>
        </w:rPr>
        <w:t xml:space="preserve"> exposent un port sur l'hôte. Les services métier et PostgreSQL restent sur les réseaux Docker internes. Les sondes de santé et les tests aident à vérifier un démarrage correct.</w:t>
      </w:r>
    </w:p>
    <w:p w14:paraId="58F6470A" w14:textId="2382CFF7" w:rsidR="006C5E21" w:rsidRPr="00C4067F" w:rsidRDefault="006C5E21">
      <w:pPr>
        <w:spacing w:before="160"/>
        <w:rPr>
          <w:lang w:val="fr-FR"/>
        </w:rPr>
      </w:pPr>
    </w:p>
    <w:sectPr w:rsidR="006C5E21" w:rsidRPr="00C4067F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0856" w14:textId="77777777" w:rsidR="001E6FD3" w:rsidRDefault="001E6FD3">
      <w:pPr>
        <w:spacing w:after="0" w:line="240" w:lineRule="auto"/>
      </w:pPr>
      <w:r>
        <w:separator/>
      </w:r>
    </w:p>
  </w:endnote>
  <w:endnote w:type="continuationSeparator" w:id="0">
    <w:p w14:paraId="76F5D094" w14:textId="77777777" w:rsidR="001E6FD3" w:rsidRDefault="001E6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8CB3" w14:textId="77777777" w:rsidR="006C5E21" w:rsidRPr="00C4067F" w:rsidRDefault="00000000">
    <w:pPr>
      <w:pStyle w:val="Pieddepage"/>
      <w:jc w:val="center"/>
      <w:rPr>
        <w:lang w:val="fr-FR"/>
      </w:rPr>
    </w:pPr>
    <w:r w:rsidRPr="00C4067F">
      <w:rPr>
        <w:color w:val="4E6457"/>
        <w:sz w:val="16"/>
        <w:lang w:val="fr-FR"/>
      </w:rPr>
      <w:t>TOQ — Documentation technique  |  30 septembre 2026  |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5FF37" w14:textId="77777777" w:rsidR="001E6FD3" w:rsidRDefault="001E6FD3">
      <w:pPr>
        <w:spacing w:after="0" w:line="240" w:lineRule="auto"/>
      </w:pPr>
      <w:r>
        <w:separator/>
      </w:r>
    </w:p>
  </w:footnote>
  <w:footnote w:type="continuationSeparator" w:id="0">
    <w:p w14:paraId="3C7D7658" w14:textId="77777777" w:rsidR="001E6FD3" w:rsidRDefault="001E6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B39D" w14:textId="77777777" w:rsidR="006C5E21" w:rsidRDefault="00000000">
    <w:proofErr w:type="gramStart"/>
    <w:r>
      <w:rPr>
        <w:b/>
        <w:color w:val="145B43"/>
        <w:sz w:val="16"/>
      </w:rPr>
      <w:t>TOQ  |</w:t>
    </w:r>
    <w:proofErr w:type="gramEnd"/>
    <w:r>
      <w:rPr>
        <w:b/>
        <w:color w:val="145B43"/>
        <w:sz w:val="16"/>
      </w:rPr>
      <w:t xml:space="preserve">  Think • Organize • Quick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212888">
    <w:abstractNumId w:val="8"/>
  </w:num>
  <w:num w:numId="2" w16cid:durableId="1040476675">
    <w:abstractNumId w:val="6"/>
  </w:num>
  <w:num w:numId="3" w16cid:durableId="207421712">
    <w:abstractNumId w:val="5"/>
  </w:num>
  <w:num w:numId="4" w16cid:durableId="1882015991">
    <w:abstractNumId w:val="4"/>
  </w:num>
  <w:num w:numId="5" w16cid:durableId="1768235431">
    <w:abstractNumId w:val="7"/>
  </w:num>
  <w:num w:numId="6" w16cid:durableId="343409384">
    <w:abstractNumId w:val="3"/>
  </w:num>
  <w:num w:numId="7" w16cid:durableId="1693873076">
    <w:abstractNumId w:val="2"/>
  </w:num>
  <w:num w:numId="8" w16cid:durableId="3633144">
    <w:abstractNumId w:val="1"/>
  </w:num>
  <w:num w:numId="9" w16cid:durableId="69615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FD3"/>
    <w:rsid w:val="0029639D"/>
    <w:rsid w:val="00326F90"/>
    <w:rsid w:val="006C5E21"/>
    <w:rsid w:val="00A5363F"/>
    <w:rsid w:val="00AA1D8D"/>
    <w:rsid w:val="00B47730"/>
    <w:rsid w:val="00C406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C68CE"/>
  <w14:defaultImageDpi w14:val="300"/>
  <w15:docId w15:val="{5FCD2294-B2F3-4002-80CE-3A3F8F17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83D31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45B43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45B43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5B43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</dc:title>
  <dc:subject>Projet TOQ</dc:subject>
  <dc:creator>Équipe TOQ</dc:creator>
  <cp:keywords/>
  <dc:description>generated by python-docx</dc:description>
  <cp:lastModifiedBy>Erwan AOUCHICHE</cp:lastModifiedBy>
  <cp:revision>3</cp:revision>
  <dcterms:created xsi:type="dcterms:W3CDTF">2013-12-23T23:15:00Z</dcterms:created>
  <dcterms:modified xsi:type="dcterms:W3CDTF">2026-09-30T12:31:00Z</dcterms:modified>
  <cp:category/>
</cp:coreProperties>
</file>